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F6B5" w14:textId="0EFDFEAF" w:rsidR="001E3BF6" w:rsidRPr="001E3BF6" w:rsidRDefault="00351210" w:rsidP="009F7466">
      <w:pPr>
        <w:ind w:right="544"/>
      </w:pPr>
      <w:r>
        <w:rPr>
          <w:noProof/>
        </w:rPr>
        <mc:AlternateContent>
          <mc:Choice Requires="wps">
            <w:drawing>
              <wp:anchor distT="0" distB="0" distL="114300" distR="114300" simplePos="0" relativeHeight="251660288" behindDoc="0" locked="0" layoutInCell="1" allowOverlap="1" wp14:anchorId="4CE533CC" wp14:editId="4D90601C">
                <wp:simplePos x="0" y="0"/>
                <wp:positionH relativeFrom="column">
                  <wp:posOffset>676656</wp:posOffset>
                </wp:positionH>
                <wp:positionV relativeFrom="paragraph">
                  <wp:posOffset>3744976</wp:posOffset>
                </wp:positionV>
                <wp:extent cx="4887341" cy="3675888"/>
                <wp:effectExtent l="0" t="0" r="0" b="0"/>
                <wp:wrapNone/>
                <wp:docPr id="1" name="Text Box 1"/>
                <wp:cNvGraphicFramePr/>
                <a:graphic xmlns:a="http://schemas.openxmlformats.org/drawingml/2006/main">
                  <a:graphicData uri="http://schemas.microsoft.com/office/word/2010/wordprocessingShape">
                    <wps:wsp>
                      <wps:cNvSpPr txBox="1"/>
                      <wps:spPr>
                        <a:xfrm>
                          <a:off x="0" y="0"/>
                          <a:ext cx="4887341" cy="3675888"/>
                        </a:xfrm>
                        <a:prstGeom prst="rect">
                          <a:avLst/>
                        </a:prstGeom>
                        <a:noFill/>
                        <a:ln w="6350">
                          <a:noFill/>
                        </a:ln>
                      </wps:spPr>
                      <wps:txbx>
                        <w:txbxContent>
                          <w:p w14:paraId="0839B42A" w14:textId="52EF9065" w:rsidR="004D3B69" w:rsidRPr="004D3B69" w:rsidRDefault="00EC631E" w:rsidP="004D3B69">
                            <w:pPr>
                              <w:spacing w:after="120" w:line="240" w:lineRule="auto"/>
                              <w:rPr>
                                <w:b/>
                                <w:bCs/>
                                <w:color w:val="FFFFFF" w:themeColor="background1"/>
                                <w:sz w:val="32"/>
                                <w:szCs w:val="32"/>
                              </w:rPr>
                            </w:pPr>
                            <w:r>
                              <w:rPr>
                                <w:b/>
                                <w:bCs/>
                                <w:color w:val="FFFFFF" w:themeColor="background1"/>
                                <w:sz w:val="32"/>
                                <w:szCs w:val="32"/>
                              </w:rPr>
                              <w:t>Comprehensive</w:t>
                            </w:r>
                            <w:r w:rsidR="004D3B69" w:rsidRPr="004D3B69">
                              <w:rPr>
                                <w:b/>
                                <w:bCs/>
                                <w:color w:val="FFFFFF" w:themeColor="background1"/>
                                <w:sz w:val="32"/>
                                <w:szCs w:val="32"/>
                              </w:rPr>
                              <w:t xml:space="preserve"> </w:t>
                            </w:r>
                            <w:r w:rsidR="00A95B3F" w:rsidRPr="004D3B69">
                              <w:rPr>
                                <w:b/>
                                <w:bCs/>
                                <w:color w:val="FFFFFF" w:themeColor="background1"/>
                                <w:sz w:val="32"/>
                                <w:szCs w:val="32"/>
                              </w:rPr>
                              <w:t>Alternative Report</w:t>
                            </w:r>
                            <w:r w:rsidR="00DA710B">
                              <w:rPr>
                                <w:b/>
                                <w:bCs/>
                                <w:color w:val="FFFFFF" w:themeColor="background1"/>
                                <w:sz w:val="32"/>
                                <w:szCs w:val="32"/>
                              </w:rPr>
                              <w:t xml:space="preserve"> on Aotearoa New Zealand</w:t>
                            </w:r>
                            <w:r w:rsidR="00A95B3F" w:rsidRPr="004D3B69">
                              <w:rPr>
                                <w:b/>
                                <w:bCs/>
                                <w:color w:val="FFFFFF" w:themeColor="background1"/>
                                <w:sz w:val="32"/>
                                <w:szCs w:val="32"/>
                              </w:rPr>
                              <w:t xml:space="preserve">: </w:t>
                            </w:r>
                          </w:p>
                          <w:p w14:paraId="4C08C022" w14:textId="1225EDA0" w:rsidR="00BB50A4" w:rsidRPr="004D3B69" w:rsidRDefault="00A95B3F" w:rsidP="004D3B69">
                            <w:pPr>
                              <w:spacing w:after="120" w:line="240" w:lineRule="auto"/>
                              <w:rPr>
                                <w:b/>
                                <w:bCs/>
                                <w:color w:val="FFFFFF" w:themeColor="background1"/>
                                <w:sz w:val="32"/>
                                <w:szCs w:val="32"/>
                              </w:rPr>
                            </w:pPr>
                            <w:r w:rsidRPr="004D3B69">
                              <w:rPr>
                                <w:b/>
                                <w:bCs/>
                                <w:color w:val="FFFFFF" w:themeColor="background1"/>
                                <w:sz w:val="32"/>
                                <w:szCs w:val="32"/>
                              </w:rPr>
                              <w:t>Written Input</w:t>
                            </w:r>
                            <w:r w:rsidR="00BB50A4" w:rsidRPr="004D3B69">
                              <w:rPr>
                                <w:b/>
                                <w:bCs/>
                                <w:color w:val="FFFFFF" w:themeColor="background1"/>
                                <w:sz w:val="32"/>
                                <w:szCs w:val="32"/>
                              </w:rPr>
                              <w:t xml:space="preserve">s to State Report </w:t>
                            </w:r>
                            <w:r w:rsidR="00760EC1">
                              <w:rPr>
                                <w:b/>
                                <w:bCs/>
                                <w:color w:val="FFFFFF" w:themeColor="background1"/>
                                <w:sz w:val="32"/>
                                <w:szCs w:val="32"/>
                              </w:rPr>
                              <w:t>(SRP)</w:t>
                            </w:r>
                          </w:p>
                          <w:p w14:paraId="03ADCD45" w14:textId="77777777" w:rsidR="00BB50A4" w:rsidRDefault="00BB50A4" w:rsidP="007901C0">
                            <w:pPr>
                              <w:rPr>
                                <w:color w:val="FFFFFF" w:themeColor="background1"/>
                                <w:sz w:val="24"/>
                                <w:szCs w:val="24"/>
                              </w:rPr>
                            </w:pPr>
                          </w:p>
                          <w:p w14:paraId="0C40A116" w14:textId="3F1AB586" w:rsidR="00BB50A4" w:rsidRPr="004D3B69" w:rsidRDefault="00BB50A4" w:rsidP="007901C0">
                            <w:pPr>
                              <w:rPr>
                                <w:color w:val="FFFFFF" w:themeColor="background1"/>
                                <w:sz w:val="28"/>
                                <w:szCs w:val="28"/>
                              </w:rPr>
                            </w:pPr>
                            <w:r w:rsidRPr="004D3B69">
                              <w:rPr>
                                <w:color w:val="FFFFFF" w:themeColor="background1"/>
                                <w:sz w:val="28"/>
                                <w:szCs w:val="28"/>
                              </w:rPr>
                              <w:t xml:space="preserve">Submitted to the </w:t>
                            </w:r>
                            <w:r w:rsidR="007901C0" w:rsidRPr="004D3B69">
                              <w:rPr>
                                <w:color w:val="FFFFFF" w:themeColor="background1"/>
                                <w:sz w:val="28"/>
                                <w:szCs w:val="28"/>
                              </w:rPr>
                              <w:t>United Nations Committee on the Rights of the Child</w:t>
                            </w:r>
                            <w:r w:rsidR="00760EC1">
                              <w:rPr>
                                <w:color w:val="FFFFFF" w:themeColor="background1"/>
                                <w:sz w:val="28"/>
                                <w:szCs w:val="28"/>
                              </w:rPr>
                              <w:t xml:space="preserve"> for the </w:t>
                            </w:r>
                            <w:r w:rsidRPr="004D3B69">
                              <w:rPr>
                                <w:color w:val="FFFFFF" w:themeColor="background1"/>
                                <w:sz w:val="28"/>
                                <w:szCs w:val="28"/>
                              </w:rPr>
                              <w:t>93</w:t>
                            </w:r>
                            <w:r w:rsidR="00760EC1" w:rsidRPr="00760EC1">
                              <w:rPr>
                                <w:color w:val="FFFFFF" w:themeColor="background1"/>
                                <w:sz w:val="28"/>
                                <w:szCs w:val="28"/>
                                <w:vertAlign w:val="superscript"/>
                              </w:rPr>
                              <w:t>rd</w:t>
                            </w:r>
                            <w:r w:rsidR="00760EC1">
                              <w:rPr>
                                <w:color w:val="FFFFFF" w:themeColor="background1"/>
                                <w:sz w:val="28"/>
                                <w:szCs w:val="28"/>
                              </w:rPr>
                              <w:t xml:space="preserve"> pre-session (September 2022)</w:t>
                            </w:r>
                            <w:r w:rsidRPr="004D3B69">
                              <w:rPr>
                                <w:color w:val="FFFFFF" w:themeColor="background1"/>
                                <w:sz w:val="28"/>
                                <w:szCs w:val="28"/>
                              </w:rPr>
                              <w:t xml:space="preserve"> </w:t>
                            </w:r>
                          </w:p>
                          <w:p w14:paraId="0A06AC38" w14:textId="77777777" w:rsidR="0052291A" w:rsidRPr="004D3B69" w:rsidRDefault="0052291A" w:rsidP="007901C0">
                            <w:pPr>
                              <w:rPr>
                                <w:color w:val="FFFFFF" w:themeColor="background1"/>
                                <w:sz w:val="28"/>
                                <w:szCs w:val="28"/>
                              </w:rPr>
                            </w:pPr>
                          </w:p>
                          <w:p w14:paraId="022A68C3" w14:textId="60A63847" w:rsidR="00351210" w:rsidRPr="004D3B69" w:rsidRDefault="00A95B3F" w:rsidP="004252D5">
                            <w:pPr>
                              <w:pStyle w:val="Title"/>
                              <w:spacing w:line="360" w:lineRule="auto"/>
                              <w:rPr>
                                <w:color w:val="FFFFFF" w:themeColor="background1"/>
                                <w:sz w:val="28"/>
                                <w:szCs w:val="28"/>
                              </w:rPr>
                            </w:pPr>
                            <w:r w:rsidRPr="004D3B69">
                              <w:rPr>
                                <w:color w:val="FFFFFF" w:themeColor="background1"/>
                                <w:sz w:val="28"/>
                                <w:szCs w:val="28"/>
                              </w:rPr>
                              <w:t>15 August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533CC" id="_x0000_t202" coordsize="21600,21600" o:spt="202" path="m,l,21600r21600,l21600,xe">
                <v:stroke joinstyle="miter"/>
                <v:path gradientshapeok="t" o:connecttype="rect"/>
              </v:shapetype>
              <v:shape id="Text Box 1" o:spid="_x0000_s1026" type="#_x0000_t202" style="position:absolute;margin-left:53.3pt;margin-top:294.9pt;width:384.85pt;height:28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" filled="f" stroked="f" strokeweight=".5pt">
                <v:textbox>
                  <w:txbxContent>
                    <w:p w14:paraId="0839B42A" w14:textId="52EF9065" w:rsidR="004D3B69" w:rsidRPr="004D3B69" w:rsidRDefault="00EC631E" w:rsidP="004D3B69">
                      <w:pPr>
                        <w:spacing w:after="120" w:line="240" w:lineRule="auto"/>
                        <w:rPr>
                          <w:b/>
                          <w:bCs/>
                          <w:color w:val="FFFFFF" w:themeColor="background1"/>
                          <w:sz w:val="32"/>
                          <w:szCs w:val="32"/>
                        </w:rPr>
                      </w:pPr>
                      <w:r>
                        <w:rPr>
                          <w:b/>
                          <w:bCs/>
                          <w:color w:val="FFFFFF" w:themeColor="background1"/>
                          <w:sz w:val="32"/>
                          <w:szCs w:val="32"/>
                        </w:rPr>
                        <w:t>Comprehensive</w:t>
                      </w:r>
                      <w:r w:rsidR="004D3B69" w:rsidRPr="004D3B69">
                        <w:rPr>
                          <w:b/>
                          <w:bCs/>
                          <w:color w:val="FFFFFF" w:themeColor="background1"/>
                          <w:sz w:val="32"/>
                          <w:szCs w:val="32"/>
                        </w:rPr>
                        <w:t xml:space="preserve"> </w:t>
                      </w:r>
                      <w:r w:rsidR="00A95B3F" w:rsidRPr="004D3B69">
                        <w:rPr>
                          <w:b/>
                          <w:bCs/>
                          <w:color w:val="FFFFFF" w:themeColor="background1"/>
                          <w:sz w:val="32"/>
                          <w:szCs w:val="32"/>
                        </w:rPr>
                        <w:t>Alternative Report</w:t>
                      </w:r>
                      <w:r w:rsidR="00DA710B">
                        <w:rPr>
                          <w:b/>
                          <w:bCs/>
                          <w:color w:val="FFFFFF" w:themeColor="background1"/>
                          <w:sz w:val="32"/>
                          <w:szCs w:val="32"/>
                        </w:rPr>
                        <w:t xml:space="preserve"> on Aotearoa New Zealand</w:t>
                      </w:r>
                      <w:r w:rsidR="00A95B3F" w:rsidRPr="004D3B69">
                        <w:rPr>
                          <w:b/>
                          <w:bCs/>
                          <w:color w:val="FFFFFF" w:themeColor="background1"/>
                          <w:sz w:val="32"/>
                          <w:szCs w:val="32"/>
                        </w:rPr>
                        <w:t xml:space="preserve">: </w:t>
                      </w:r>
                    </w:p>
                    <w:p w14:paraId="4C08C022" w14:textId="1225EDA0" w:rsidR="00BB50A4" w:rsidRPr="004D3B69" w:rsidRDefault="00A95B3F" w:rsidP="004D3B69">
                      <w:pPr>
                        <w:spacing w:after="120" w:line="240" w:lineRule="auto"/>
                        <w:rPr>
                          <w:b/>
                          <w:bCs/>
                          <w:color w:val="FFFFFF" w:themeColor="background1"/>
                          <w:sz w:val="32"/>
                          <w:szCs w:val="32"/>
                        </w:rPr>
                      </w:pPr>
                      <w:r w:rsidRPr="004D3B69">
                        <w:rPr>
                          <w:b/>
                          <w:bCs/>
                          <w:color w:val="FFFFFF" w:themeColor="background1"/>
                          <w:sz w:val="32"/>
                          <w:szCs w:val="32"/>
                        </w:rPr>
                        <w:t>Written Input</w:t>
                      </w:r>
                      <w:r w:rsidR="00BB50A4" w:rsidRPr="004D3B69">
                        <w:rPr>
                          <w:b/>
                          <w:bCs/>
                          <w:color w:val="FFFFFF" w:themeColor="background1"/>
                          <w:sz w:val="32"/>
                          <w:szCs w:val="32"/>
                        </w:rPr>
                        <w:t xml:space="preserve">s to State Report </w:t>
                      </w:r>
                      <w:r w:rsidR="00760EC1">
                        <w:rPr>
                          <w:b/>
                          <w:bCs/>
                          <w:color w:val="FFFFFF" w:themeColor="background1"/>
                          <w:sz w:val="32"/>
                          <w:szCs w:val="32"/>
                        </w:rPr>
                        <w:t>(SRP)</w:t>
                      </w:r>
                    </w:p>
                    <w:p w14:paraId="03ADCD45" w14:textId="77777777" w:rsidR="00BB50A4" w:rsidRDefault="00BB50A4" w:rsidP="007901C0">
                      <w:pPr>
                        <w:rPr>
                          <w:color w:val="FFFFFF" w:themeColor="background1"/>
                          <w:sz w:val="24"/>
                          <w:szCs w:val="24"/>
                        </w:rPr>
                      </w:pPr>
                    </w:p>
                    <w:p w14:paraId="0C40A116" w14:textId="3F1AB586" w:rsidR="00BB50A4" w:rsidRPr="004D3B69" w:rsidRDefault="00BB50A4" w:rsidP="007901C0">
                      <w:pPr>
                        <w:rPr>
                          <w:color w:val="FFFFFF" w:themeColor="background1"/>
                          <w:sz w:val="28"/>
                          <w:szCs w:val="28"/>
                        </w:rPr>
                      </w:pPr>
                      <w:r w:rsidRPr="004D3B69">
                        <w:rPr>
                          <w:color w:val="FFFFFF" w:themeColor="background1"/>
                          <w:sz w:val="28"/>
                          <w:szCs w:val="28"/>
                        </w:rPr>
                        <w:t xml:space="preserve">Submitted to the </w:t>
                      </w:r>
                      <w:r w:rsidR="007901C0" w:rsidRPr="004D3B69">
                        <w:rPr>
                          <w:color w:val="FFFFFF" w:themeColor="background1"/>
                          <w:sz w:val="28"/>
                          <w:szCs w:val="28"/>
                        </w:rPr>
                        <w:t>United Nations Committee on the Rights of the Child</w:t>
                      </w:r>
                      <w:r w:rsidR="00760EC1">
                        <w:rPr>
                          <w:color w:val="FFFFFF" w:themeColor="background1"/>
                          <w:sz w:val="28"/>
                          <w:szCs w:val="28"/>
                        </w:rPr>
                        <w:t xml:space="preserve"> for the </w:t>
                      </w:r>
                      <w:r w:rsidRPr="004D3B69">
                        <w:rPr>
                          <w:color w:val="FFFFFF" w:themeColor="background1"/>
                          <w:sz w:val="28"/>
                          <w:szCs w:val="28"/>
                        </w:rPr>
                        <w:t>93</w:t>
                      </w:r>
                      <w:r w:rsidR="00760EC1" w:rsidRPr="00760EC1">
                        <w:rPr>
                          <w:color w:val="FFFFFF" w:themeColor="background1"/>
                          <w:sz w:val="28"/>
                          <w:szCs w:val="28"/>
                          <w:vertAlign w:val="superscript"/>
                        </w:rPr>
                        <w:t>rd</w:t>
                      </w:r>
                      <w:r w:rsidR="00760EC1">
                        <w:rPr>
                          <w:color w:val="FFFFFF" w:themeColor="background1"/>
                          <w:sz w:val="28"/>
                          <w:szCs w:val="28"/>
                        </w:rPr>
                        <w:t xml:space="preserve"> pre-session (September 2022)</w:t>
                      </w:r>
                      <w:r w:rsidRPr="004D3B69">
                        <w:rPr>
                          <w:color w:val="FFFFFF" w:themeColor="background1"/>
                          <w:sz w:val="28"/>
                          <w:szCs w:val="28"/>
                        </w:rPr>
                        <w:t xml:space="preserve"> </w:t>
                      </w:r>
                    </w:p>
                    <w:p w14:paraId="0A06AC38" w14:textId="77777777" w:rsidR="0052291A" w:rsidRPr="004D3B69" w:rsidRDefault="0052291A" w:rsidP="007901C0">
                      <w:pPr>
                        <w:rPr>
                          <w:color w:val="FFFFFF" w:themeColor="background1"/>
                          <w:sz w:val="28"/>
                          <w:szCs w:val="28"/>
                        </w:rPr>
                      </w:pPr>
                    </w:p>
                    <w:p w14:paraId="022A68C3" w14:textId="60A63847" w:rsidR="00351210" w:rsidRPr="004D3B69" w:rsidRDefault="00A95B3F" w:rsidP="004252D5">
                      <w:pPr>
                        <w:pStyle w:val="Title"/>
                        <w:spacing w:line="360" w:lineRule="auto"/>
                        <w:rPr>
                          <w:color w:val="FFFFFF" w:themeColor="background1"/>
                          <w:sz w:val="28"/>
                          <w:szCs w:val="28"/>
                        </w:rPr>
                      </w:pPr>
                      <w:r w:rsidRPr="004D3B69">
                        <w:rPr>
                          <w:color w:val="FFFFFF" w:themeColor="background1"/>
                          <w:sz w:val="28"/>
                          <w:szCs w:val="28"/>
                        </w:rPr>
                        <w:t>15 August 2022</w:t>
                      </w:r>
                    </w:p>
                  </w:txbxContent>
                </v:textbox>
              </v:shape>
            </w:pict>
          </mc:Fallback>
        </mc:AlternateContent>
      </w:r>
      <w:r>
        <w:br w:type="page"/>
      </w:r>
    </w:p>
    <w:p w14:paraId="0B194CF8" w14:textId="77777777" w:rsidR="009F7466" w:rsidRDefault="009F7466" w:rsidP="009F7466">
      <w:pPr>
        <w:pStyle w:val="Heading1"/>
        <w:spacing w:line="360" w:lineRule="auto"/>
        <w:ind w:right="544"/>
      </w:pPr>
      <w:bookmarkStart w:id="0" w:name="_Toc111485428"/>
      <w:r>
        <w:lastRenderedPageBreak/>
        <w:t>Dedication</w:t>
      </w:r>
      <w:bookmarkEnd w:id="0"/>
    </w:p>
    <w:p w14:paraId="64AA8901" w14:textId="77777777" w:rsidR="009F7466" w:rsidRPr="00E7687D" w:rsidRDefault="009F7466" w:rsidP="009F7466">
      <w:pPr>
        <w:pStyle w:val="Heading2"/>
        <w:ind w:right="544"/>
        <w:rPr>
          <w:rFonts w:asciiTheme="minorHAnsi" w:hAnsiTheme="minorHAnsi" w:cstheme="minorHAnsi"/>
          <w:lang w:val="mi-NZ"/>
        </w:rPr>
      </w:pPr>
    </w:p>
    <w:p w14:paraId="7D56CD11" w14:textId="77777777" w:rsidR="009F7466" w:rsidRPr="009F7466" w:rsidRDefault="009F7466" w:rsidP="009F7466">
      <w:pPr>
        <w:ind w:right="544"/>
        <w:jc w:val="center"/>
        <w:rPr>
          <w:rFonts w:cstheme="minorHAnsi"/>
          <w:color w:val="000000"/>
          <w:sz w:val="22"/>
          <w:szCs w:val="22"/>
        </w:rPr>
      </w:pPr>
      <w:r w:rsidRPr="009F7466">
        <w:rPr>
          <w:rFonts w:cstheme="minorHAnsi"/>
          <w:i/>
          <w:iCs/>
          <w:color w:val="000000"/>
          <w:sz w:val="22"/>
          <w:szCs w:val="22"/>
        </w:rPr>
        <w:t xml:space="preserve">He </w:t>
      </w:r>
      <w:proofErr w:type="spellStart"/>
      <w:r w:rsidRPr="009F7466">
        <w:rPr>
          <w:rFonts w:cstheme="minorHAnsi"/>
          <w:i/>
          <w:iCs/>
          <w:color w:val="000000"/>
          <w:sz w:val="22"/>
          <w:szCs w:val="22"/>
        </w:rPr>
        <w:t>manu</w:t>
      </w:r>
      <w:proofErr w:type="spellEnd"/>
      <w:r w:rsidRPr="009F7466">
        <w:rPr>
          <w:rFonts w:cstheme="minorHAnsi"/>
          <w:i/>
          <w:iCs/>
          <w:color w:val="000000"/>
          <w:sz w:val="22"/>
          <w:szCs w:val="22"/>
        </w:rPr>
        <w:t xml:space="preserve"> he </w:t>
      </w:r>
      <w:proofErr w:type="spellStart"/>
      <w:r w:rsidRPr="009F7466">
        <w:rPr>
          <w:rFonts w:cstheme="minorHAnsi"/>
          <w:i/>
          <w:iCs/>
          <w:color w:val="000000"/>
          <w:sz w:val="22"/>
          <w:szCs w:val="22"/>
        </w:rPr>
        <w:t>kōrero</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mai</w:t>
      </w:r>
      <w:proofErr w:type="spellEnd"/>
      <w:r w:rsidRPr="009F7466">
        <w:rPr>
          <w:rFonts w:cstheme="minorHAnsi"/>
          <w:i/>
          <w:iCs/>
          <w:color w:val="000000"/>
          <w:sz w:val="22"/>
          <w:szCs w:val="22"/>
        </w:rPr>
        <w:t xml:space="preserve"> ki a </w:t>
      </w:r>
      <w:proofErr w:type="spellStart"/>
      <w:r w:rsidRPr="009F7466">
        <w:rPr>
          <w:rFonts w:cstheme="minorHAnsi"/>
          <w:i/>
          <w:iCs/>
          <w:color w:val="000000"/>
          <w:sz w:val="22"/>
          <w:szCs w:val="22"/>
        </w:rPr>
        <w:t>tātou</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kua</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hinga</w:t>
      </w:r>
      <w:proofErr w:type="spellEnd"/>
      <w:r w:rsidRPr="009F7466">
        <w:rPr>
          <w:rFonts w:cstheme="minorHAnsi"/>
          <w:i/>
          <w:iCs/>
          <w:color w:val="000000"/>
          <w:sz w:val="22"/>
          <w:szCs w:val="22"/>
        </w:rPr>
        <w:t xml:space="preserve"> he totara ki </w:t>
      </w:r>
      <w:proofErr w:type="spellStart"/>
      <w:r w:rsidRPr="009F7466">
        <w:rPr>
          <w:rFonts w:cstheme="minorHAnsi"/>
          <w:i/>
          <w:iCs/>
          <w:color w:val="000000"/>
          <w:sz w:val="22"/>
          <w:szCs w:val="22"/>
        </w:rPr>
        <w:t>te</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wao</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nui</w:t>
      </w:r>
      <w:proofErr w:type="spellEnd"/>
      <w:r w:rsidRPr="009F7466">
        <w:rPr>
          <w:rFonts w:cstheme="minorHAnsi"/>
          <w:i/>
          <w:iCs/>
          <w:color w:val="000000"/>
          <w:sz w:val="22"/>
          <w:szCs w:val="22"/>
        </w:rPr>
        <w:t xml:space="preserve"> ā Tane. </w:t>
      </w:r>
      <w:proofErr w:type="spellStart"/>
      <w:r w:rsidRPr="009F7466">
        <w:rPr>
          <w:rFonts w:cstheme="minorHAnsi"/>
          <w:i/>
          <w:iCs/>
          <w:color w:val="000000"/>
          <w:sz w:val="22"/>
          <w:szCs w:val="22"/>
        </w:rPr>
        <w:t>Kua</w:t>
      </w:r>
      <w:proofErr w:type="spellEnd"/>
      <w:r w:rsidRPr="009F7466">
        <w:rPr>
          <w:rFonts w:cstheme="minorHAnsi"/>
          <w:i/>
          <w:iCs/>
          <w:color w:val="000000"/>
          <w:sz w:val="22"/>
          <w:szCs w:val="22"/>
        </w:rPr>
        <w:t xml:space="preserve"> mate </w:t>
      </w:r>
      <w:proofErr w:type="spellStart"/>
      <w:r w:rsidRPr="009F7466">
        <w:rPr>
          <w:rFonts w:cstheme="minorHAnsi"/>
          <w:i/>
          <w:iCs/>
          <w:color w:val="000000"/>
          <w:sz w:val="22"/>
          <w:szCs w:val="22"/>
        </w:rPr>
        <w:t>tētahi</w:t>
      </w:r>
      <w:proofErr w:type="spellEnd"/>
      <w:r w:rsidRPr="009F7466">
        <w:rPr>
          <w:rFonts w:cstheme="minorHAnsi"/>
          <w:i/>
          <w:iCs/>
          <w:color w:val="000000"/>
          <w:sz w:val="22"/>
          <w:szCs w:val="22"/>
        </w:rPr>
        <w:t xml:space="preserve"> he </w:t>
      </w:r>
      <w:proofErr w:type="spellStart"/>
      <w:r w:rsidRPr="009F7466">
        <w:rPr>
          <w:rFonts w:cstheme="minorHAnsi"/>
          <w:i/>
          <w:iCs/>
          <w:color w:val="000000"/>
          <w:sz w:val="22"/>
          <w:szCs w:val="22"/>
        </w:rPr>
        <w:t>rangatira</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nui</w:t>
      </w:r>
      <w:proofErr w:type="spellEnd"/>
      <w:r w:rsidRPr="009F7466">
        <w:rPr>
          <w:rFonts w:cstheme="minorHAnsi"/>
          <w:i/>
          <w:iCs/>
          <w:color w:val="000000"/>
          <w:sz w:val="22"/>
          <w:szCs w:val="22"/>
        </w:rPr>
        <w:t xml:space="preserve">. Kei a </w:t>
      </w:r>
      <w:proofErr w:type="spellStart"/>
      <w:r w:rsidRPr="009F7466">
        <w:rPr>
          <w:rFonts w:cstheme="minorHAnsi"/>
          <w:i/>
          <w:iCs/>
          <w:color w:val="000000"/>
          <w:sz w:val="22"/>
          <w:szCs w:val="22"/>
        </w:rPr>
        <w:t>koe</w:t>
      </w:r>
      <w:proofErr w:type="spellEnd"/>
      <w:r w:rsidRPr="009F7466">
        <w:rPr>
          <w:rFonts w:cstheme="minorHAnsi"/>
          <w:i/>
          <w:iCs/>
          <w:color w:val="000000"/>
          <w:sz w:val="22"/>
          <w:szCs w:val="22"/>
        </w:rPr>
        <w:t xml:space="preserve"> e </w:t>
      </w:r>
      <w:proofErr w:type="spellStart"/>
      <w:r w:rsidRPr="009F7466">
        <w:rPr>
          <w:rFonts w:cstheme="minorHAnsi"/>
          <w:i/>
          <w:iCs/>
          <w:color w:val="000000"/>
          <w:sz w:val="22"/>
          <w:szCs w:val="22"/>
        </w:rPr>
        <w:t>te</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hoa</w:t>
      </w:r>
      <w:proofErr w:type="spellEnd"/>
      <w:r w:rsidRPr="009F7466">
        <w:rPr>
          <w:rFonts w:cstheme="minorHAnsi"/>
          <w:i/>
          <w:iCs/>
          <w:color w:val="000000"/>
          <w:sz w:val="22"/>
          <w:szCs w:val="22"/>
        </w:rPr>
        <w:t xml:space="preserve"> a </w:t>
      </w:r>
      <w:proofErr w:type="spellStart"/>
      <w:r w:rsidRPr="009F7466">
        <w:rPr>
          <w:rFonts w:cstheme="minorHAnsi"/>
          <w:i/>
          <w:iCs/>
          <w:color w:val="000000"/>
          <w:sz w:val="22"/>
          <w:szCs w:val="22"/>
        </w:rPr>
        <w:t>Tā</w:t>
      </w:r>
      <w:proofErr w:type="spellEnd"/>
      <w:r w:rsidRPr="009F7466">
        <w:rPr>
          <w:rFonts w:cstheme="minorHAnsi"/>
          <w:i/>
          <w:iCs/>
          <w:color w:val="000000"/>
          <w:sz w:val="22"/>
          <w:szCs w:val="22"/>
        </w:rPr>
        <w:t xml:space="preserve"> Ian, </w:t>
      </w:r>
      <w:proofErr w:type="spellStart"/>
      <w:r w:rsidRPr="009F7466">
        <w:rPr>
          <w:rFonts w:cstheme="minorHAnsi"/>
          <w:i/>
          <w:iCs/>
          <w:color w:val="000000"/>
          <w:sz w:val="22"/>
          <w:szCs w:val="22"/>
        </w:rPr>
        <w:t>haere</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okioki</w:t>
      </w:r>
      <w:proofErr w:type="spellEnd"/>
      <w:r w:rsidRPr="009F7466">
        <w:rPr>
          <w:rFonts w:cstheme="minorHAnsi"/>
          <w:i/>
          <w:iCs/>
          <w:color w:val="000000"/>
          <w:sz w:val="22"/>
          <w:szCs w:val="22"/>
        </w:rPr>
        <w:t xml:space="preserve"> ki ō </w:t>
      </w:r>
      <w:proofErr w:type="spellStart"/>
      <w:r w:rsidRPr="009F7466">
        <w:rPr>
          <w:rFonts w:cstheme="minorHAnsi"/>
          <w:i/>
          <w:iCs/>
          <w:color w:val="000000"/>
          <w:sz w:val="22"/>
          <w:szCs w:val="22"/>
        </w:rPr>
        <w:t>tīpuna</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Haere</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haere</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haere</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atu</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rā</w:t>
      </w:r>
      <w:proofErr w:type="spellEnd"/>
      <w:r w:rsidRPr="009F7466">
        <w:rPr>
          <w:rFonts w:cstheme="minorHAnsi"/>
          <w:i/>
          <w:iCs/>
          <w:color w:val="000000"/>
          <w:sz w:val="22"/>
          <w:szCs w:val="22"/>
        </w:rPr>
        <w:t xml:space="preserve">. Ko </w:t>
      </w:r>
      <w:proofErr w:type="spellStart"/>
      <w:r w:rsidRPr="009F7466">
        <w:rPr>
          <w:rFonts w:cstheme="minorHAnsi"/>
          <w:i/>
          <w:iCs/>
          <w:color w:val="000000"/>
          <w:sz w:val="22"/>
          <w:szCs w:val="22"/>
        </w:rPr>
        <w:t>tātou</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kua</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mahue</w:t>
      </w:r>
      <w:proofErr w:type="spellEnd"/>
      <w:r w:rsidRPr="009F7466">
        <w:rPr>
          <w:rFonts w:cstheme="minorHAnsi"/>
          <w:i/>
          <w:iCs/>
          <w:color w:val="000000"/>
          <w:sz w:val="22"/>
          <w:szCs w:val="22"/>
        </w:rPr>
        <w:t xml:space="preserve"> ki muri, </w:t>
      </w:r>
      <w:proofErr w:type="spellStart"/>
      <w:r w:rsidRPr="009F7466">
        <w:rPr>
          <w:rFonts w:cstheme="minorHAnsi"/>
          <w:i/>
          <w:iCs/>
          <w:color w:val="000000"/>
          <w:sz w:val="22"/>
          <w:szCs w:val="22"/>
        </w:rPr>
        <w:t>tino</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pōuri</w:t>
      </w:r>
      <w:proofErr w:type="spellEnd"/>
      <w:r w:rsidRPr="009F7466">
        <w:rPr>
          <w:rFonts w:cstheme="minorHAnsi"/>
          <w:i/>
          <w:iCs/>
          <w:color w:val="000000"/>
          <w:sz w:val="22"/>
          <w:szCs w:val="22"/>
        </w:rPr>
        <w:t xml:space="preserve"> ō </w:t>
      </w:r>
      <w:proofErr w:type="spellStart"/>
      <w:r w:rsidRPr="009F7466">
        <w:rPr>
          <w:rFonts w:cstheme="minorHAnsi"/>
          <w:i/>
          <w:iCs/>
          <w:color w:val="000000"/>
          <w:sz w:val="22"/>
          <w:szCs w:val="22"/>
        </w:rPr>
        <w:t>mātou</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ngākau</w:t>
      </w:r>
      <w:proofErr w:type="spellEnd"/>
      <w:r w:rsidRPr="009F7466">
        <w:rPr>
          <w:rFonts w:cstheme="minorHAnsi"/>
          <w:i/>
          <w:iCs/>
          <w:color w:val="000000"/>
          <w:sz w:val="22"/>
          <w:szCs w:val="22"/>
        </w:rPr>
        <w:t xml:space="preserve">, ka </w:t>
      </w:r>
      <w:proofErr w:type="spellStart"/>
      <w:r w:rsidRPr="009F7466">
        <w:rPr>
          <w:rFonts w:cstheme="minorHAnsi"/>
          <w:i/>
          <w:iCs/>
          <w:color w:val="000000"/>
          <w:sz w:val="22"/>
          <w:szCs w:val="22"/>
        </w:rPr>
        <w:t>rere</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ngā</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roimata</w:t>
      </w:r>
      <w:proofErr w:type="spellEnd"/>
      <w:r w:rsidRPr="009F7466">
        <w:rPr>
          <w:rFonts w:cstheme="minorHAnsi"/>
          <w:i/>
          <w:iCs/>
          <w:color w:val="000000"/>
          <w:sz w:val="22"/>
          <w:szCs w:val="22"/>
        </w:rPr>
        <w:t>.</w:t>
      </w:r>
    </w:p>
    <w:p w14:paraId="0605FFFD" w14:textId="77777777" w:rsidR="009F7466" w:rsidRPr="009F7466" w:rsidRDefault="009F7466" w:rsidP="009F7466">
      <w:pPr>
        <w:ind w:right="544"/>
        <w:jc w:val="center"/>
        <w:rPr>
          <w:rFonts w:cstheme="minorHAnsi"/>
          <w:color w:val="000000"/>
          <w:sz w:val="22"/>
          <w:szCs w:val="22"/>
        </w:rPr>
      </w:pPr>
      <w:r w:rsidRPr="009F7466">
        <w:rPr>
          <w:rFonts w:cstheme="minorHAnsi"/>
          <w:i/>
          <w:iCs/>
          <w:color w:val="000000"/>
          <w:sz w:val="22"/>
          <w:szCs w:val="22"/>
        </w:rPr>
        <w:t> </w:t>
      </w:r>
    </w:p>
    <w:p w14:paraId="2F3A354C" w14:textId="77777777" w:rsidR="009F7466" w:rsidRPr="009F7466" w:rsidRDefault="009F7466" w:rsidP="009F7466">
      <w:pPr>
        <w:ind w:right="544"/>
        <w:jc w:val="center"/>
        <w:rPr>
          <w:rFonts w:cstheme="minorHAnsi"/>
          <w:color w:val="000000"/>
          <w:sz w:val="22"/>
          <w:szCs w:val="22"/>
        </w:rPr>
      </w:pPr>
      <w:r w:rsidRPr="009F7466">
        <w:rPr>
          <w:rFonts w:cstheme="minorHAnsi"/>
          <w:i/>
          <w:iCs/>
          <w:color w:val="000000"/>
          <w:sz w:val="22"/>
          <w:szCs w:val="22"/>
        </w:rPr>
        <w:t xml:space="preserve">E mihi ana ki a </w:t>
      </w:r>
      <w:proofErr w:type="spellStart"/>
      <w:r w:rsidRPr="009F7466">
        <w:rPr>
          <w:rFonts w:cstheme="minorHAnsi"/>
          <w:i/>
          <w:iCs/>
          <w:color w:val="000000"/>
          <w:sz w:val="22"/>
          <w:szCs w:val="22"/>
        </w:rPr>
        <w:t>koe</w:t>
      </w:r>
      <w:proofErr w:type="spellEnd"/>
      <w:r w:rsidRPr="009F7466">
        <w:rPr>
          <w:rFonts w:cstheme="minorHAnsi"/>
          <w:i/>
          <w:iCs/>
          <w:color w:val="000000"/>
          <w:sz w:val="22"/>
          <w:szCs w:val="22"/>
        </w:rPr>
        <w:t xml:space="preserve"> e </w:t>
      </w:r>
      <w:proofErr w:type="spellStart"/>
      <w:r w:rsidRPr="009F7466">
        <w:rPr>
          <w:rFonts w:cstheme="minorHAnsi"/>
          <w:i/>
          <w:iCs/>
          <w:color w:val="000000"/>
          <w:sz w:val="22"/>
          <w:szCs w:val="22"/>
        </w:rPr>
        <w:t>hoa</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mō</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tō</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kaiarahi</w:t>
      </w:r>
      <w:proofErr w:type="spellEnd"/>
      <w:r w:rsidRPr="009F7466">
        <w:rPr>
          <w:rFonts w:cstheme="minorHAnsi"/>
          <w:i/>
          <w:iCs/>
          <w:color w:val="000000"/>
          <w:sz w:val="22"/>
          <w:szCs w:val="22"/>
        </w:rPr>
        <w:t xml:space="preserve"> ki a koutou </w:t>
      </w:r>
      <w:proofErr w:type="spellStart"/>
      <w:r w:rsidRPr="009F7466">
        <w:rPr>
          <w:rFonts w:cstheme="minorHAnsi"/>
          <w:i/>
          <w:iCs/>
          <w:color w:val="000000"/>
          <w:sz w:val="22"/>
          <w:szCs w:val="22"/>
        </w:rPr>
        <w:t>mō</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ngā</w:t>
      </w:r>
      <w:proofErr w:type="spellEnd"/>
      <w:r w:rsidRPr="009F7466">
        <w:rPr>
          <w:rFonts w:cstheme="minorHAnsi"/>
          <w:i/>
          <w:iCs/>
          <w:color w:val="000000"/>
          <w:sz w:val="22"/>
          <w:szCs w:val="22"/>
        </w:rPr>
        <w:t xml:space="preserve"> mahi </w:t>
      </w:r>
      <w:proofErr w:type="spellStart"/>
      <w:r w:rsidRPr="009F7466">
        <w:rPr>
          <w:rFonts w:cstheme="minorHAnsi"/>
          <w:i/>
          <w:iCs/>
          <w:color w:val="000000"/>
          <w:sz w:val="22"/>
          <w:szCs w:val="22"/>
        </w:rPr>
        <w:t>hei</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hiki</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ake</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hei</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whakahōnore</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i</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ngā</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tamariki</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kei</w:t>
      </w:r>
      <w:proofErr w:type="spellEnd"/>
      <w:r w:rsidRPr="009F7466">
        <w:rPr>
          <w:rFonts w:cstheme="minorHAnsi"/>
          <w:i/>
          <w:iCs/>
          <w:color w:val="000000"/>
          <w:sz w:val="22"/>
          <w:szCs w:val="22"/>
        </w:rPr>
        <w:t xml:space="preserve"> roto </w:t>
      </w:r>
      <w:proofErr w:type="spellStart"/>
      <w:r w:rsidRPr="009F7466">
        <w:rPr>
          <w:rFonts w:cstheme="minorHAnsi"/>
          <w:i/>
          <w:iCs/>
          <w:color w:val="000000"/>
          <w:sz w:val="22"/>
          <w:szCs w:val="22"/>
        </w:rPr>
        <w:t>i</w:t>
      </w:r>
      <w:proofErr w:type="spellEnd"/>
      <w:r w:rsidRPr="009F7466">
        <w:rPr>
          <w:rFonts w:cstheme="minorHAnsi"/>
          <w:i/>
          <w:iCs/>
          <w:color w:val="000000"/>
          <w:sz w:val="22"/>
          <w:szCs w:val="22"/>
        </w:rPr>
        <w:t xml:space="preserve"> Aotearoa.</w:t>
      </w:r>
    </w:p>
    <w:p w14:paraId="671B7AC6" w14:textId="77777777" w:rsidR="009F7466" w:rsidRPr="009F7466" w:rsidRDefault="009F7466" w:rsidP="009F7466">
      <w:pPr>
        <w:ind w:right="544"/>
        <w:jc w:val="center"/>
        <w:rPr>
          <w:rFonts w:cstheme="minorHAnsi"/>
          <w:color w:val="000000"/>
          <w:sz w:val="22"/>
          <w:szCs w:val="22"/>
        </w:rPr>
      </w:pPr>
      <w:r w:rsidRPr="009F7466">
        <w:rPr>
          <w:rFonts w:cstheme="minorHAnsi"/>
          <w:i/>
          <w:iCs/>
          <w:color w:val="000000"/>
          <w:sz w:val="22"/>
          <w:szCs w:val="22"/>
        </w:rPr>
        <w:t> </w:t>
      </w:r>
    </w:p>
    <w:p w14:paraId="2441F9CA" w14:textId="77777777" w:rsidR="009F7466" w:rsidRPr="009F7466" w:rsidRDefault="009F7466" w:rsidP="009F7466">
      <w:pPr>
        <w:ind w:right="544"/>
        <w:jc w:val="center"/>
        <w:rPr>
          <w:rFonts w:cstheme="minorHAnsi"/>
          <w:color w:val="000000"/>
          <w:sz w:val="22"/>
          <w:szCs w:val="22"/>
        </w:rPr>
      </w:pPr>
      <w:r w:rsidRPr="009F7466">
        <w:rPr>
          <w:rFonts w:cstheme="minorHAnsi"/>
          <w:i/>
          <w:iCs/>
          <w:color w:val="000000"/>
          <w:sz w:val="22"/>
          <w:szCs w:val="22"/>
        </w:rPr>
        <w:t xml:space="preserve">E </w:t>
      </w:r>
      <w:proofErr w:type="spellStart"/>
      <w:r w:rsidRPr="009F7466">
        <w:rPr>
          <w:rFonts w:cstheme="minorHAnsi"/>
          <w:i/>
          <w:iCs/>
          <w:color w:val="000000"/>
          <w:sz w:val="22"/>
          <w:szCs w:val="22"/>
        </w:rPr>
        <w:t>te</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rangatira</w:t>
      </w:r>
      <w:proofErr w:type="spellEnd"/>
      <w:r w:rsidRPr="009F7466">
        <w:rPr>
          <w:rFonts w:cstheme="minorHAnsi"/>
          <w:i/>
          <w:iCs/>
          <w:color w:val="000000"/>
          <w:sz w:val="22"/>
          <w:szCs w:val="22"/>
        </w:rPr>
        <w:t xml:space="preserve"> a </w:t>
      </w:r>
      <w:proofErr w:type="spellStart"/>
      <w:r w:rsidRPr="009F7466">
        <w:rPr>
          <w:rFonts w:cstheme="minorHAnsi"/>
          <w:i/>
          <w:iCs/>
          <w:color w:val="000000"/>
          <w:sz w:val="22"/>
          <w:szCs w:val="22"/>
        </w:rPr>
        <w:t>Tā</w:t>
      </w:r>
      <w:proofErr w:type="spellEnd"/>
      <w:r w:rsidRPr="009F7466">
        <w:rPr>
          <w:rFonts w:cstheme="minorHAnsi"/>
          <w:i/>
          <w:iCs/>
          <w:color w:val="000000"/>
          <w:sz w:val="22"/>
          <w:szCs w:val="22"/>
        </w:rPr>
        <w:t xml:space="preserve"> Ian, </w:t>
      </w:r>
      <w:proofErr w:type="spellStart"/>
      <w:r w:rsidRPr="009F7466">
        <w:rPr>
          <w:rFonts w:cstheme="minorHAnsi"/>
          <w:i/>
          <w:iCs/>
          <w:color w:val="000000"/>
          <w:sz w:val="22"/>
          <w:szCs w:val="22"/>
        </w:rPr>
        <w:t>tō</w:t>
      </w:r>
      <w:proofErr w:type="spellEnd"/>
      <w:r w:rsidRPr="009F7466">
        <w:rPr>
          <w:rFonts w:cstheme="minorHAnsi"/>
          <w:i/>
          <w:iCs/>
          <w:color w:val="000000"/>
          <w:sz w:val="22"/>
          <w:szCs w:val="22"/>
        </w:rPr>
        <w:t xml:space="preserve"> mahi </w:t>
      </w:r>
      <w:proofErr w:type="spellStart"/>
      <w:r w:rsidRPr="009F7466">
        <w:rPr>
          <w:rFonts w:cstheme="minorHAnsi"/>
          <w:i/>
          <w:iCs/>
          <w:color w:val="000000"/>
          <w:sz w:val="22"/>
          <w:szCs w:val="22"/>
        </w:rPr>
        <w:t>i</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konei</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i</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te</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mata</w:t>
      </w:r>
      <w:proofErr w:type="spellEnd"/>
      <w:r w:rsidRPr="009F7466">
        <w:rPr>
          <w:rFonts w:cstheme="minorHAnsi"/>
          <w:i/>
          <w:iCs/>
          <w:color w:val="000000"/>
          <w:sz w:val="22"/>
          <w:szCs w:val="22"/>
        </w:rPr>
        <w:t xml:space="preserve"> ō </w:t>
      </w:r>
      <w:proofErr w:type="spellStart"/>
      <w:r w:rsidRPr="009F7466">
        <w:rPr>
          <w:rFonts w:cstheme="minorHAnsi"/>
          <w:i/>
          <w:iCs/>
          <w:color w:val="000000"/>
          <w:sz w:val="22"/>
          <w:szCs w:val="22"/>
        </w:rPr>
        <w:t>te</w:t>
      </w:r>
      <w:proofErr w:type="spellEnd"/>
      <w:r w:rsidRPr="009F7466">
        <w:rPr>
          <w:rFonts w:cstheme="minorHAnsi"/>
          <w:i/>
          <w:iCs/>
          <w:color w:val="000000"/>
          <w:sz w:val="22"/>
          <w:szCs w:val="22"/>
        </w:rPr>
        <w:t xml:space="preserve"> whenua </w:t>
      </w:r>
      <w:proofErr w:type="spellStart"/>
      <w:r w:rsidRPr="009F7466">
        <w:rPr>
          <w:rFonts w:cstheme="minorHAnsi"/>
          <w:i/>
          <w:iCs/>
          <w:color w:val="000000"/>
          <w:sz w:val="22"/>
          <w:szCs w:val="22"/>
        </w:rPr>
        <w:t>kua</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oti</w:t>
      </w:r>
      <w:proofErr w:type="spellEnd"/>
      <w:r w:rsidRPr="009F7466">
        <w:rPr>
          <w:rFonts w:cstheme="minorHAnsi"/>
          <w:i/>
          <w:iCs/>
          <w:color w:val="000000"/>
          <w:sz w:val="22"/>
          <w:szCs w:val="22"/>
        </w:rPr>
        <w:t xml:space="preserve">. Moe </w:t>
      </w:r>
      <w:proofErr w:type="spellStart"/>
      <w:r w:rsidRPr="009F7466">
        <w:rPr>
          <w:rFonts w:cstheme="minorHAnsi"/>
          <w:i/>
          <w:iCs/>
          <w:color w:val="000000"/>
          <w:sz w:val="22"/>
          <w:szCs w:val="22"/>
        </w:rPr>
        <w:t>mai</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moe</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mai</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moe</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mai</w:t>
      </w:r>
      <w:proofErr w:type="spellEnd"/>
      <w:r w:rsidRPr="009F7466">
        <w:rPr>
          <w:rFonts w:cstheme="minorHAnsi"/>
          <w:i/>
          <w:iCs/>
          <w:color w:val="000000"/>
          <w:sz w:val="22"/>
          <w:szCs w:val="22"/>
        </w:rPr>
        <w:t xml:space="preserve"> </w:t>
      </w:r>
      <w:proofErr w:type="spellStart"/>
      <w:r w:rsidRPr="009F7466">
        <w:rPr>
          <w:rFonts w:cstheme="minorHAnsi"/>
          <w:i/>
          <w:iCs/>
          <w:color w:val="000000"/>
          <w:sz w:val="22"/>
          <w:szCs w:val="22"/>
        </w:rPr>
        <w:t>rā</w:t>
      </w:r>
      <w:proofErr w:type="spellEnd"/>
      <w:r w:rsidRPr="009F7466">
        <w:rPr>
          <w:rFonts w:cstheme="minorHAnsi"/>
          <w:i/>
          <w:iCs/>
          <w:color w:val="000000"/>
          <w:sz w:val="22"/>
          <w:szCs w:val="22"/>
        </w:rPr>
        <w:t>.</w:t>
      </w:r>
    </w:p>
    <w:p w14:paraId="12187787" w14:textId="77777777" w:rsidR="009F7466" w:rsidRPr="009F7466" w:rsidRDefault="009F7466" w:rsidP="009F7466">
      <w:pPr>
        <w:ind w:right="544"/>
        <w:jc w:val="center"/>
        <w:rPr>
          <w:rFonts w:cstheme="minorHAnsi"/>
          <w:color w:val="000000"/>
          <w:sz w:val="22"/>
          <w:szCs w:val="22"/>
        </w:rPr>
      </w:pPr>
      <w:r w:rsidRPr="009F7466">
        <w:rPr>
          <w:rFonts w:cstheme="minorHAnsi"/>
          <w:i/>
          <w:iCs/>
          <w:color w:val="000000"/>
          <w:sz w:val="22"/>
          <w:szCs w:val="22"/>
        </w:rPr>
        <w:t> </w:t>
      </w:r>
    </w:p>
    <w:p w14:paraId="4FAE31E9" w14:textId="77777777" w:rsidR="009F7466" w:rsidRPr="009F7466" w:rsidRDefault="009F7466" w:rsidP="009F7466">
      <w:pPr>
        <w:ind w:right="544"/>
        <w:jc w:val="center"/>
        <w:rPr>
          <w:rFonts w:cstheme="minorHAnsi"/>
          <w:color w:val="000000"/>
          <w:sz w:val="22"/>
          <w:szCs w:val="22"/>
        </w:rPr>
      </w:pPr>
      <w:r w:rsidRPr="009F7466">
        <w:rPr>
          <w:rFonts w:cstheme="minorHAnsi"/>
          <w:i/>
          <w:iCs/>
          <w:color w:val="000000"/>
          <w:sz w:val="22"/>
          <w:szCs w:val="22"/>
        </w:rPr>
        <w:t> </w:t>
      </w:r>
    </w:p>
    <w:p w14:paraId="68BD9680" w14:textId="77777777" w:rsidR="009F7466" w:rsidRPr="009F7466" w:rsidRDefault="009F7466" w:rsidP="009F7466">
      <w:pPr>
        <w:ind w:right="544"/>
        <w:jc w:val="center"/>
        <w:rPr>
          <w:rFonts w:cstheme="minorHAnsi"/>
          <w:color w:val="000000"/>
          <w:sz w:val="22"/>
          <w:szCs w:val="22"/>
        </w:rPr>
      </w:pPr>
      <w:r w:rsidRPr="009F7466">
        <w:rPr>
          <w:rFonts w:cstheme="minorHAnsi"/>
          <w:i/>
          <w:iCs/>
          <w:color w:val="000000"/>
          <w:sz w:val="22"/>
          <w:szCs w:val="22"/>
        </w:rPr>
        <w:t xml:space="preserve">A bird told </w:t>
      </w:r>
      <w:proofErr w:type="gramStart"/>
      <w:r w:rsidRPr="009F7466">
        <w:rPr>
          <w:rFonts w:cstheme="minorHAnsi"/>
          <w:i/>
          <w:iCs/>
          <w:color w:val="000000"/>
          <w:sz w:val="22"/>
          <w:szCs w:val="22"/>
        </w:rPr>
        <w:t>us</w:t>
      </w:r>
      <w:proofErr w:type="gramEnd"/>
      <w:r w:rsidRPr="009F7466">
        <w:rPr>
          <w:rFonts w:cstheme="minorHAnsi"/>
          <w:i/>
          <w:iCs/>
          <w:color w:val="000000"/>
          <w:sz w:val="22"/>
          <w:szCs w:val="22"/>
        </w:rPr>
        <w:t xml:space="preserve"> a Totara in Tane's forest has fallen. A great chief has passed. To our friend, Sir Ian, go and be with your ancestors. Go now. We who are left behind have heavy hearts and our tears flow.</w:t>
      </w:r>
    </w:p>
    <w:p w14:paraId="4C43AB0E" w14:textId="77777777" w:rsidR="009F7466" w:rsidRPr="009F7466" w:rsidRDefault="009F7466" w:rsidP="009F7466">
      <w:pPr>
        <w:ind w:right="544"/>
        <w:jc w:val="center"/>
        <w:rPr>
          <w:rFonts w:cstheme="minorHAnsi"/>
          <w:color w:val="000000"/>
          <w:sz w:val="22"/>
          <w:szCs w:val="22"/>
        </w:rPr>
      </w:pPr>
      <w:r w:rsidRPr="009F7466">
        <w:rPr>
          <w:rFonts w:cstheme="minorHAnsi"/>
          <w:i/>
          <w:iCs/>
          <w:color w:val="000000"/>
          <w:sz w:val="22"/>
          <w:szCs w:val="22"/>
        </w:rPr>
        <w:t> </w:t>
      </w:r>
    </w:p>
    <w:p w14:paraId="5B0609E8" w14:textId="77777777" w:rsidR="009F7466" w:rsidRPr="009F7466" w:rsidRDefault="009F7466" w:rsidP="009F7466">
      <w:pPr>
        <w:ind w:right="544"/>
        <w:jc w:val="center"/>
        <w:rPr>
          <w:rFonts w:cstheme="minorHAnsi"/>
          <w:color w:val="000000"/>
          <w:sz w:val="22"/>
          <w:szCs w:val="22"/>
        </w:rPr>
      </w:pPr>
      <w:r w:rsidRPr="009F7466">
        <w:rPr>
          <w:rFonts w:cstheme="minorHAnsi"/>
          <w:i/>
          <w:iCs/>
          <w:color w:val="000000"/>
          <w:sz w:val="22"/>
          <w:szCs w:val="22"/>
        </w:rPr>
        <w:t xml:space="preserve">We thank you for your leadership and the work you did to </w:t>
      </w:r>
      <w:proofErr w:type="gramStart"/>
      <w:r w:rsidRPr="009F7466">
        <w:rPr>
          <w:rFonts w:cstheme="minorHAnsi"/>
          <w:i/>
          <w:iCs/>
          <w:color w:val="000000"/>
          <w:sz w:val="22"/>
          <w:szCs w:val="22"/>
        </w:rPr>
        <w:t>lift up</w:t>
      </w:r>
      <w:proofErr w:type="gramEnd"/>
      <w:r w:rsidRPr="009F7466">
        <w:rPr>
          <w:rFonts w:cstheme="minorHAnsi"/>
          <w:i/>
          <w:iCs/>
          <w:color w:val="000000"/>
          <w:sz w:val="22"/>
          <w:szCs w:val="22"/>
        </w:rPr>
        <w:t xml:space="preserve"> and honour children in Aotearoa.</w:t>
      </w:r>
    </w:p>
    <w:p w14:paraId="11B6F09C" w14:textId="77777777" w:rsidR="009F7466" w:rsidRPr="009F7466" w:rsidRDefault="009F7466" w:rsidP="009F7466">
      <w:pPr>
        <w:ind w:right="544"/>
        <w:jc w:val="center"/>
        <w:rPr>
          <w:rFonts w:cstheme="minorHAnsi"/>
          <w:color w:val="000000"/>
          <w:sz w:val="22"/>
          <w:szCs w:val="22"/>
        </w:rPr>
      </w:pPr>
      <w:r w:rsidRPr="009F7466">
        <w:rPr>
          <w:rFonts w:cstheme="minorHAnsi"/>
          <w:i/>
          <w:iCs/>
          <w:color w:val="000000"/>
          <w:sz w:val="22"/>
          <w:szCs w:val="22"/>
        </w:rPr>
        <w:t> </w:t>
      </w:r>
    </w:p>
    <w:p w14:paraId="323956A8" w14:textId="77777777" w:rsidR="009F7466" w:rsidRPr="009F7466" w:rsidRDefault="009F7466" w:rsidP="009F7466">
      <w:pPr>
        <w:ind w:right="544"/>
        <w:jc w:val="center"/>
        <w:rPr>
          <w:rFonts w:cstheme="minorHAnsi"/>
          <w:color w:val="000000"/>
          <w:sz w:val="22"/>
          <w:szCs w:val="22"/>
        </w:rPr>
      </w:pPr>
      <w:r w:rsidRPr="009F7466">
        <w:rPr>
          <w:rFonts w:cstheme="minorHAnsi"/>
          <w:i/>
          <w:iCs/>
          <w:color w:val="000000"/>
          <w:sz w:val="22"/>
          <w:szCs w:val="22"/>
        </w:rPr>
        <w:t>Sir Ian, your work here on earth is done. Rest, rest, rest now.</w:t>
      </w:r>
    </w:p>
    <w:p w14:paraId="5CBE3788" w14:textId="77777777" w:rsidR="009F7466" w:rsidRDefault="009F7466" w:rsidP="009F7466">
      <w:pPr>
        <w:rPr>
          <w:sz w:val="24"/>
          <w:szCs w:val="24"/>
        </w:rPr>
      </w:pPr>
      <w:r>
        <w:rPr>
          <w:sz w:val="24"/>
          <w:szCs w:val="24"/>
        </w:rPr>
        <w:br w:type="page"/>
      </w:r>
    </w:p>
    <w:p w14:paraId="0C14E750" w14:textId="77777777" w:rsidR="0045779C" w:rsidRDefault="0045779C" w:rsidP="0045779C">
      <w:pPr>
        <w:pStyle w:val="Heading1"/>
      </w:pPr>
      <w:bookmarkStart w:id="1" w:name="_Toc111485429"/>
      <w:r>
        <w:lastRenderedPageBreak/>
        <w:t>Acknowledgements</w:t>
      </w:r>
      <w:bookmarkEnd w:id="1"/>
    </w:p>
    <w:p w14:paraId="611343C2" w14:textId="77777777" w:rsidR="00884896" w:rsidRPr="00884896" w:rsidRDefault="00884896" w:rsidP="00884896">
      <w:pPr>
        <w:rPr>
          <w:rFonts w:cstheme="minorHAnsi"/>
          <w:sz w:val="22"/>
          <w:szCs w:val="22"/>
          <w:lang w:val="en-NZ"/>
        </w:rPr>
      </w:pPr>
    </w:p>
    <w:p w14:paraId="22621009" w14:textId="4CF7C1EE" w:rsidR="00884896" w:rsidRPr="00884896" w:rsidRDefault="00884896" w:rsidP="00884896">
      <w:pPr>
        <w:rPr>
          <w:rFonts w:cstheme="minorHAnsi"/>
          <w:sz w:val="22"/>
          <w:szCs w:val="22"/>
          <w:lang w:val="en-NZ"/>
        </w:rPr>
      </w:pPr>
      <w:r w:rsidRPr="00884896">
        <w:rPr>
          <w:rFonts w:cstheme="minorHAnsi"/>
          <w:sz w:val="22"/>
          <w:szCs w:val="22"/>
          <w:lang w:val="en-NZ"/>
        </w:rPr>
        <w:t>The Children’s Rights Alliance Aotearoa New Zealand (the Alliance, formerly Action for Children and Youth Aotearoa (ACYA)), is a civil society coalition committed to protecting and promoting children’s rights in Aotearoa. In submitting this report, we are building on the work of many people, over many years, to advance and uphold children’s rights in this country</w:t>
      </w:r>
      <w:r>
        <w:rPr>
          <w:rFonts w:cstheme="minorHAnsi"/>
          <w:sz w:val="22"/>
          <w:szCs w:val="22"/>
          <w:lang w:val="en-NZ"/>
        </w:rPr>
        <w:t>.</w:t>
      </w:r>
    </w:p>
    <w:p w14:paraId="5DBFD02E" w14:textId="57D79696" w:rsidR="00884896" w:rsidRPr="00884896" w:rsidRDefault="00884896" w:rsidP="00884896">
      <w:pPr>
        <w:rPr>
          <w:rFonts w:cstheme="minorHAnsi"/>
          <w:sz w:val="22"/>
          <w:szCs w:val="22"/>
          <w:lang w:val="en-NZ"/>
        </w:rPr>
      </w:pPr>
      <w:r w:rsidRPr="00884896">
        <w:rPr>
          <w:rFonts w:cstheme="minorHAnsi"/>
          <w:sz w:val="22"/>
          <w:szCs w:val="22"/>
          <w:lang w:val="en-NZ"/>
        </w:rPr>
        <w:t>This report is dedicated to the memory of Sir Ian Hassall, New Zealand’s first Children’s Commissioner. Knighted for his services to children, Sir Ian’s leadership in, and commitment to, children’s rights was inspirational.</w:t>
      </w:r>
    </w:p>
    <w:p w14:paraId="4BC579B1" w14:textId="7C301267" w:rsidR="00884896" w:rsidRPr="00884896" w:rsidRDefault="00884896" w:rsidP="00884896">
      <w:pPr>
        <w:rPr>
          <w:rFonts w:cstheme="minorHAnsi"/>
          <w:sz w:val="22"/>
          <w:szCs w:val="22"/>
          <w:lang w:val="en-NZ"/>
        </w:rPr>
      </w:pPr>
      <w:r w:rsidRPr="00884896">
        <w:rPr>
          <w:rFonts w:cstheme="minorHAnsi"/>
          <w:sz w:val="22"/>
          <w:szCs w:val="22"/>
          <w:lang w:val="en-NZ"/>
        </w:rPr>
        <w:t>We wish to thank all those who have contributed to the development of this</w:t>
      </w:r>
      <w:r w:rsidR="00E714C0">
        <w:rPr>
          <w:rFonts w:cstheme="minorHAnsi"/>
          <w:sz w:val="22"/>
          <w:szCs w:val="22"/>
          <w:lang w:val="en-NZ"/>
        </w:rPr>
        <w:t xml:space="preserve"> report</w:t>
      </w:r>
      <w:r w:rsidRPr="00884896">
        <w:rPr>
          <w:rFonts w:cstheme="minorHAnsi"/>
          <w:sz w:val="22"/>
          <w:szCs w:val="22"/>
          <w:lang w:val="en-NZ"/>
        </w:rPr>
        <w:t xml:space="preserve"> (see Appendix One). We would also like to acknowledge the generous financial support of the JR McKenzie Trust.</w:t>
      </w:r>
    </w:p>
    <w:p w14:paraId="5EBC465D" w14:textId="3ACC1ABC" w:rsidR="00884896" w:rsidRPr="00884896" w:rsidRDefault="00884896" w:rsidP="00884896">
      <w:pPr>
        <w:rPr>
          <w:rFonts w:cstheme="minorHAnsi"/>
          <w:sz w:val="22"/>
          <w:szCs w:val="22"/>
          <w:lang w:val="en-NZ"/>
        </w:rPr>
      </w:pPr>
      <w:r w:rsidRPr="00884896">
        <w:rPr>
          <w:rFonts w:cstheme="minorHAnsi"/>
          <w:sz w:val="22"/>
          <w:szCs w:val="22"/>
          <w:lang w:val="en-NZ"/>
        </w:rPr>
        <w:t>There is great diversity in the experiences and circumstances of children in Aotearoa. In this report, we address those issues we believe to be the most critical to ensuring all rights, for all children, are realised in all circumstances. This is not to diminish the importance of other issues, which we have unfortunately been unable to include due to the word limit for this report and the focus of the Simplified Reporting Process. As we move towards our 7</w:t>
      </w:r>
      <w:r w:rsidRPr="00884896">
        <w:rPr>
          <w:rFonts w:cstheme="minorHAnsi"/>
          <w:sz w:val="22"/>
          <w:szCs w:val="22"/>
          <w:vertAlign w:val="superscript"/>
          <w:lang w:val="en-NZ"/>
        </w:rPr>
        <w:t>th</w:t>
      </w:r>
      <w:r w:rsidRPr="00884896">
        <w:rPr>
          <w:rFonts w:cstheme="minorHAnsi"/>
          <w:sz w:val="22"/>
          <w:szCs w:val="22"/>
          <w:lang w:val="en-NZ"/>
        </w:rPr>
        <w:t xml:space="preserve"> reporting </w:t>
      </w:r>
      <w:r w:rsidR="00E714C0">
        <w:rPr>
          <w:rFonts w:cstheme="minorHAnsi"/>
          <w:sz w:val="22"/>
          <w:szCs w:val="22"/>
          <w:lang w:val="en-NZ"/>
        </w:rPr>
        <w:t>cycle under the United Nations Convention on the Rights of the Child (CRC)</w:t>
      </w:r>
      <w:r w:rsidRPr="00884896">
        <w:rPr>
          <w:rFonts w:cstheme="minorHAnsi"/>
          <w:sz w:val="22"/>
          <w:szCs w:val="22"/>
          <w:lang w:val="en-NZ"/>
        </w:rPr>
        <w:t>, we will be working together as an Alliance to advance and protect all children’s rights in Aotearoa, including those not addressed in this report.</w:t>
      </w:r>
    </w:p>
    <w:p w14:paraId="77E43C91" w14:textId="77777777" w:rsidR="00884896" w:rsidRPr="00884896" w:rsidRDefault="00884896" w:rsidP="00884896">
      <w:pPr>
        <w:rPr>
          <w:rFonts w:cstheme="minorHAnsi"/>
          <w:i/>
          <w:iCs/>
          <w:sz w:val="22"/>
          <w:szCs w:val="22"/>
          <w:lang w:val="en-NZ"/>
        </w:rPr>
      </w:pPr>
      <w:r w:rsidRPr="00884896">
        <w:rPr>
          <w:rFonts w:cstheme="minorHAnsi"/>
          <w:sz w:val="22"/>
          <w:szCs w:val="22"/>
          <w:lang w:val="en-NZ"/>
        </w:rPr>
        <w:t xml:space="preserve">We acknowledge the reports of the Children’s Commissioner and Human Rights Commission, as well as the work of those who have submitted Thematic Reports. </w:t>
      </w:r>
    </w:p>
    <w:p w14:paraId="6986B59A" w14:textId="77777777" w:rsidR="0045779C" w:rsidRPr="00E7687D" w:rsidRDefault="0045779C" w:rsidP="0045779C">
      <w:pPr>
        <w:rPr>
          <w:rFonts w:cstheme="minorHAnsi"/>
          <w:lang w:val="mi-NZ"/>
        </w:rPr>
      </w:pPr>
    </w:p>
    <w:p w14:paraId="6FF1D658" w14:textId="77777777" w:rsidR="0045779C" w:rsidRPr="00E7687D" w:rsidRDefault="0045779C" w:rsidP="0045779C">
      <w:pPr>
        <w:rPr>
          <w:rFonts w:cstheme="minorHAnsi"/>
          <w:lang w:val="mi-NZ"/>
        </w:rPr>
      </w:pPr>
    </w:p>
    <w:p w14:paraId="76631FC2" w14:textId="77777777" w:rsidR="00EA795B" w:rsidRPr="001E3BF6" w:rsidRDefault="00EA795B" w:rsidP="009F7466">
      <w:pPr>
        <w:ind w:right="544"/>
        <w:rPr>
          <w:color w:val="404040" w:themeColor="text1" w:themeTint="BF"/>
          <w:highlight w:val="yellow"/>
        </w:rPr>
      </w:pPr>
    </w:p>
    <w:p w14:paraId="1027F6AC" w14:textId="086547B5" w:rsidR="00E05E68" w:rsidRDefault="00E05E68" w:rsidP="009F7466">
      <w:pPr>
        <w:ind w:right="544"/>
        <w:rPr>
          <w:highlight w:val="yellow"/>
        </w:rPr>
      </w:pPr>
    </w:p>
    <w:p w14:paraId="7FAA05E2" w14:textId="1BC8D1EE" w:rsidR="00351210" w:rsidRDefault="00351210" w:rsidP="009F7466">
      <w:pPr>
        <w:ind w:right="544"/>
      </w:pPr>
      <w:r>
        <w:br w:type="page"/>
      </w:r>
    </w:p>
    <w:p w14:paraId="0E2E8CB3" w14:textId="6935739B" w:rsidR="00E05E68" w:rsidRDefault="0045779C" w:rsidP="0045779C">
      <w:pPr>
        <w:pStyle w:val="Heading1"/>
      </w:pPr>
      <w:bookmarkStart w:id="2" w:name="_Toc111485430"/>
      <w:r>
        <w:lastRenderedPageBreak/>
        <w:t>Table of Contents</w:t>
      </w:r>
      <w:bookmarkEnd w:id="2"/>
      <w:r>
        <w:t xml:space="preserve"> </w:t>
      </w:r>
    </w:p>
    <w:p w14:paraId="42A0E364" w14:textId="31404440" w:rsidR="008C1FBE" w:rsidRDefault="008C1FBE" w:rsidP="008C1FBE"/>
    <w:p w14:paraId="31B4ACEE" w14:textId="62B7F268" w:rsidR="00EC631E" w:rsidRDefault="007366B8">
      <w:pPr>
        <w:pStyle w:val="TOC1"/>
        <w:rPr>
          <w:rFonts w:eastAsiaTheme="minorEastAsia"/>
          <w:noProof/>
          <w:sz w:val="22"/>
          <w:szCs w:val="22"/>
          <w:lang w:val="en-NZ" w:eastAsia="en-NZ"/>
        </w:rPr>
      </w:pPr>
      <w:r>
        <w:rPr>
          <w:rFonts w:asciiTheme="majorHAnsi" w:eastAsiaTheme="majorEastAsia" w:hAnsiTheme="majorHAnsi" w:cstheme="majorBidi"/>
          <w:b/>
          <w:bCs/>
          <w:color w:val="25409A" w:themeColor="text2"/>
          <w:sz w:val="28"/>
          <w:szCs w:val="28"/>
        </w:rPr>
        <w:fldChar w:fldCharType="begin"/>
      </w:r>
      <w:r>
        <w:rPr>
          <w:rFonts w:asciiTheme="majorHAnsi" w:eastAsiaTheme="majorEastAsia" w:hAnsiTheme="majorHAnsi" w:cstheme="majorBidi"/>
          <w:b/>
          <w:bCs/>
          <w:color w:val="25409A" w:themeColor="text2"/>
          <w:sz w:val="28"/>
          <w:szCs w:val="28"/>
        </w:rPr>
        <w:instrText xml:space="preserve"> TOC \o "1-2" \h \z \u </w:instrText>
      </w:r>
      <w:r>
        <w:rPr>
          <w:rFonts w:asciiTheme="majorHAnsi" w:eastAsiaTheme="majorEastAsia" w:hAnsiTheme="majorHAnsi" w:cstheme="majorBidi"/>
          <w:b/>
          <w:bCs/>
          <w:color w:val="25409A" w:themeColor="text2"/>
          <w:sz w:val="28"/>
          <w:szCs w:val="28"/>
        </w:rPr>
        <w:fldChar w:fldCharType="separate"/>
      </w:r>
      <w:hyperlink w:anchor="_Toc111485428" w:history="1">
        <w:r w:rsidR="00EC631E" w:rsidRPr="006C517B">
          <w:rPr>
            <w:rStyle w:val="Hyperlink"/>
            <w:noProof/>
          </w:rPr>
          <w:t>Dedication</w:t>
        </w:r>
        <w:r w:rsidR="00EC631E">
          <w:rPr>
            <w:noProof/>
            <w:webHidden/>
          </w:rPr>
          <w:tab/>
        </w:r>
        <w:r w:rsidR="00EC631E">
          <w:rPr>
            <w:noProof/>
            <w:webHidden/>
          </w:rPr>
          <w:fldChar w:fldCharType="begin"/>
        </w:r>
        <w:r w:rsidR="00EC631E">
          <w:rPr>
            <w:noProof/>
            <w:webHidden/>
          </w:rPr>
          <w:instrText xml:space="preserve"> PAGEREF _Toc111485428 \h </w:instrText>
        </w:r>
        <w:r w:rsidR="00EC631E">
          <w:rPr>
            <w:noProof/>
            <w:webHidden/>
          </w:rPr>
        </w:r>
        <w:r w:rsidR="00EC631E">
          <w:rPr>
            <w:noProof/>
            <w:webHidden/>
          </w:rPr>
          <w:fldChar w:fldCharType="separate"/>
        </w:r>
        <w:r w:rsidR="00EC631E">
          <w:rPr>
            <w:noProof/>
            <w:webHidden/>
          </w:rPr>
          <w:t>2</w:t>
        </w:r>
        <w:r w:rsidR="00EC631E">
          <w:rPr>
            <w:noProof/>
            <w:webHidden/>
          </w:rPr>
          <w:fldChar w:fldCharType="end"/>
        </w:r>
      </w:hyperlink>
    </w:p>
    <w:p w14:paraId="7B5AFD4D" w14:textId="6A304FFC" w:rsidR="00EC631E" w:rsidRDefault="00000000">
      <w:pPr>
        <w:pStyle w:val="TOC1"/>
        <w:rPr>
          <w:rFonts w:eastAsiaTheme="minorEastAsia"/>
          <w:noProof/>
          <w:sz w:val="22"/>
          <w:szCs w:val="22"/>
          <w:lang w:val="en-NZ" w:eastAsia="en-NZ"/>
        </w:rPr>
      </w:pPr>
      <w:hyperlink w:anchor="_Toc111485429" w:history="1">
        <w:r w:rsidR="00EC631E" w:rsidRPr="006C517B">
          <w:rPr>
            <w:rStyle w:val="Hyperlink"/>
            <w:noProof/>
          </w:rPr>
          <w:t>Acknowledgements</w:t>
        </w:r>
        <w:r w:rsidR="00EC631E">
          <w:rPr>
            <w:noProof/>
            <w:webHidden/>
          </w:rPr>
          <w:tab/>
        </w:r>
        <w:r w:rsidR="00EC631E">
          <w:rPr>
            <w:noProof/>
            <w:webHidden/>
          </w:rPr>
          <w:fldChar w:fldCharType="begin"/>
        </w:r>
        <w:r w:rsidR="00EC631E">
          <w:rPr>
            <w:noProof/>
            <w:webHidden/>
          </w:rPr>
          <w:instrText xml:space="preserve"> PAGEREF _Toc111485429 \h </w:instrText>
        </w:r>
        <w:r w:rsidR="00EC631E">
          <w:rPr>
            <w:noProof/>
            <w:webHidden/>
          </w:rPr>
        </w:r>
        <w:r w:rsidR="00EC631E">
          <w:rPr>
            <w:noProof/>
            <w:webHidden/>
          </w:rPr>
          <w:fldChar w:fldCharType="separate"/>
        </w:r>
        <w:r w:rsidR="00EC631E">
          <w:rPr>
            <w:noProof/>
            <w:webHidden/>
          </w:rPr>
          <w:t>3</w:t>
        </w:r>
        <w:r w:rsidR="00EC631E">
          <w:rPr>
            <w:noProof/>
            <w:webHidden/>
          </w:rPr>
          <w:fldChar w:fldCharType="end"/>
        </w:r>
      </w:hyperlink>
    </w:p>
    <w:p w14:paraId="6CB460D1" w14:textId="23973FAE" w:rsidR="00EC631E" w:rsidRDefault="00000000">
      <w:pPr>
        <w:pStyle w:val="TOC1"/>
        <w:rPr>
          <w:rFonts w:eastAsiaTheme="minorEastAsia"/>
          <w:noProof/>
          <w:sz w:val="22"/>
          <w:szCs w:val="22"/>
          <w:lang w:val="en-NZ" w:eastAsia="en-NZ"/>
        </w:rPr>
      </w:pPr>
      <w:hyperlink w:anchor="_Toc111485430" w:history="1">
        <w:r w:rsidR="00EC631E" w:rsidRPr="006C517B">
          <w:rPr>
            <w:rStyle w:val="Hyperlink"/>
            <w:noProof/>
          </w:rPr>
          <w:t>Table of Contents</w:t>
        </w:r>
        <w:r w:rsidR="00EC631E">
          <w:rPr>
            <w:noProof/>
            <w:webHidden/>
          </w:rPr>
          <w:tab/>
        </w:r>
        <w:r w:rsidR="00EC631E">
          <w:rPr>
            <w:noProof/>
            <w:webHidden/>
          </w:rPr>
          <w:fldChar w:fldCharType="begin"/>
        </w:r>
        <w:r w:rsidR="00EC631E">
          <w:rPr>
            <w:noProof/>
            <w:webHidden/>
          </w:rPr>
          <w:instrText xml:space="preserve"> PAGEREF _Toc111485430 \h </w:instrText>
        </w:r>
        <w:r w:rsidR="00EC631E">
          <w:rPr>
            <w:noProof/>
            <w:webHidden/>
          </w:rPr>
        </w:r>
        <w:r w:rsidR="00EC631E">
          <w:rPr>
            <w:noProof/>
            <w:webHidden/>
          </w:rPr>
          <w:fldChar w:fldCharType="separate"/>
        </w:r>
        <w:r w:rsidR="00EC631E">
          <w:rPr>
            <w:noProof/>
            <w:webHidden/>
          </w:rPr>
          <w:t>4</w:t>
        </w:r>
        <w:r w:rsidR="00EC631E">
          <w:rPr>
            <w:noProof/>
            <w:webHidden/>
          </w:rPr>
          <w:fldChar w:fldCharType="end"/>
        </w:r>
      </w:hyperlink>
    </w:p>
    <w:p w14:paraId="5EF316DA" w14:textId="230B0F6E" w:rsidR="00EC631E" w:rsidRDefault="00000000">
      <w:pPr>
        <w:pStyle w:val="TOC1"/>
        <w:rPr>
          <w:rFonts w:eastAsiaTheme="minorEastAsia"/>
          <w:noProof/>
          <w:sz w:val="22"/>
          <w:szCs w:val="22"/>
          <w:lang w:val="en-NZ" w:eastAsia="en-NZ"/>
        </w:rPr>
      </w:pPr>
      <w:hyperlink w:anchor="_Toc111485431" w:history="1">
        <w:r w:rsidR="00EC631E" w:rsidRPr="006C517B">
          <w:rPr>
            <w:rStyle w:val="Hyperlink"/>
            <w:noProof/>
            <w:lang w:val="mi-NZ"/>
          </w:rPr>
          <w:t>Glossary of Te Reo Māori Kupu (words)</w:t>
        </w:r>
        <w:r w:rsidR="00EC631E">
          <w:rPr>
            <w:noProof/>
            <w:webHidden/>
          </w:rPr>
          <w:tab/>
        </w:r>
        <w:r w:rsidR="00EC631E">
          <w:rPr>
            <w:noProof/>
            <w:webHidden/>
          </w:rPr>
          <w:fldChar w:fldCharType="begin"/>
        </w:r>
        <w:r w:rsidR="00EC631E">
          <w:rPr>
            <w:noProof/>
            <w:webHidden/>
          </w:rPr>
          <w:instrText xml:space="preserve"> PAGEREF _Toc111485431 \h </w:instrText>
        </w:r>
        <w:r w:rsidR="00EC631E">
          <w:rPr>
            <w:noProof/>
            <w:webHidden/>
          </w:rPr>
        </w:r>
        <w:r w:rsidR="00EC631E">
          <w:rPr>
            <w:noProof/>
            <w:webHidden/>
          </w:rPr>
          <w:fldChar w:fldCharType="separate"/>
        </w:r>
        <w:r w:rsidR="00EC631E">
          <w:rPr>
            <w:noProof/>
            <w:webHidden/>
          </w:rPr>
          <w:t>7</w:t>
        </w:r>
        <w:r w:rsidR="00EC631E">
          <w:rPr>
            <w:noProof/>
            <w:webHidden/>
          </w:rPr>
          <w:fldChar w:fldCharType="end"/>
        </w:r>
      </w:hyperlink>
    </w:p>
    <w:p w14:paraId="2EC09CD0" w14:textId="344456D0" w:rsidR="00EC631E" w:rsidRDefault="00000000">
      <w:pPr>
        <w:pStyle w:val="TOC1"/>
        <w:rPr>
          <w:rFonts w:eastAsiaTheme="minorEastAsia"/>
          <w:noProof/>
          <w:sz w:val="22"/>
          <w:szCs w:val="22"/>
          <w:lang w:val="en-NZ" w:eastAsia="en-NZ"/>
        </w:rPr>
      </w:pPr>
      <w:hyperlink w:anchor="_Toc111485432" w:history="1">
        <w:r w:rsidR="00EC631E" w:rsidRPr="006C517B">
          <w:rPr>
            <w:rStyle w:val="Hyperlink"/>
            <w:noProof/>
            <w:lang w:val="mi-NZ"/>
          </w:rPr>
          <w:t>List of Abbreviations</w:t>
        </w:r>
        <w:r w:rsidR="00EC631E">
          <w:rPr>
            <w:noProof/>
            <w:webHidden/>
          </w:rPr>
          <w:tab/>
        </w:r>
        <w:r w:rsidR="00EC631E">
          <w:rPr>
            <w:noProof/>
            <w:webHidden/>
          </w:rPr>
          <w:fldChar w:fldCharType="begin"/>
        </w:r>
        <w:r w:rsidR="00EC631E">
          <w:rPr>
            <w:noProof/>
            <w:webHidden/>
          </w:rPr>
          <w:instrText xml:space="preserve"> PAGEREF _Toc111485432 \h </w:instrText>
        </w:r>
        <w:r w:rsidR="00EC631E">
          <w:rPr>
            <w:noProof/>
            <w:webHidden/>
          </w:rPr>
        </w:r>
        <w:r w:rsidR="00EC631E">
          <w:rPr>
            <w:noProof/>
            <w:webHidden/>
          </w:rPr>
          <w:fldChar w:fldCharType="separate"/>
        </w:r>
        <w:r w:rsidR="00EC631E">
          <w:rPr>
            <w:noProof/>
            <w:webHidden/>
          </w:rPr>
          <w:t>10</w:t>
        </w:r>
        <w:r w:rsidR="00EC631E">
          <w:rPr>
            <w:noProof/>
            <w:webHidden/>
          </w:rPr>
          <w:fldChar w:fldCharType="end"/>
        </w:r>
      </w:hyperlink>
    </w:p>
    <w:p w14:paraId="2E4C9574" w14:textId="7DB57C44" w:rsidR="00EC631E" w:rsidRDefault="00000000">
      <w:pPr>
        <w:pStyle w:val="TOC1"/>
        <w:rPr>
          <w:rFonts w:eastAsiaTheme="minorEastAsia"/>
          <w:noProof/>
          <w:sz w:val="22"/>
          <w:szCs w:val="22"/>
          <w:lang w:val="en-NZ" w:eastAsia="en-NZ"/>
        </w:rPr>
      </w:pPr>
      <w:hyperlink w:anchor="_Toc111485433" w:history="1">
        <w:r w:rsidR="00EC631E" w:rsidRPr="006C517B">
          <w:rPr>
            <w:rStyle w:val="Hyperlink"/>
            <w:noProof/>
            <w:lang w:val="mi-NZ"/>
          </w:rPr>
          <w:t>Introduction</w:t>
        </w:r>
        <w:r w:rsidR="00EC631E">
          <w:rPr>
            <w:noProof/>
            <w:webHidden/>
          </w:rPr>
          <w:tab/>
        </w:r>
        <w:r w:rsidR="00EC631E">
          <w:rPr>
            <w:noProof/>
            <w:webHidden/>
          </w:rPr>
          <w:fldChar w:fldCharType="begin"/>
        </w:r>
        <w:r w:rsidR="00EC631E">
          <w:rPr>
            <w:noProof/>
            <w:webHidden/>
          </w:rPr>
          <w:instrText xml:space="preserve"> PAGEREF _Toc111485433 \h </w:instrText>
        </w:r>
        <w:r w:rsidR="00EC631E">
          <w:rPr>
            <w:noProof/>
            <w:webHidden/>
          </w:rPr>
        </w:r>
        <w:r w:rsidR="00EC631E">
          <w:rPr>
            <w:noProof/>
            <w:webHidden/>
          </w:rPr>
          <w:fldChar w:fldCharType="separate"/>
        </w:r>
        <w:r w:rsidR="00EC631E">
          <w:rPr>
            <w:noProof/>
            <w:webHidden/>
          </w:rPr>
          <w:t>14</w:t>
        </w:r>
        <w:r w:rsidR="00EC631E">
          <w:rPr>
            <w:noProof/>
            <w:webHidden/>
          </w:rPr>
          <w:fldChar w:fldCharType="end"/>
        </w:r>
      </w:hyperlink>
    </w:p>
    <w:p w14:paraId="4B0E5E54" w14:textId="04175B4E" w:rsidR="00EC631E" w:rsidRDefault="00000000">
      <w:pPr>
        <w:pStyle w:val="TOC2"/>
        <w:rPr>
          <w:rFonts w:eastAsiaTheme="minorEastAsia"/>
          <w:noProof/>
          <w:sz w:val="22"/>
          <w:szCs w:val="22"/>
          <w:lang w:val="en-NZ" w:eastAsia="en-NZ"/>
        </w:rPr>
      </w:pPr>
      <w:hyperlink w:anchor="_Toc111485434" w:history="1">
        <w:r w:rsidR="00EC631E" w:rsidRPr="006C517B">
          <w:rPr>
            <w:rStyle w:val="Hyperlink"/>
            <w:noProof/>
          </w:rPr>
          <w:t>The Rights of Pēpē, Tamariki and Rangatahi Māori</w:t>
        </w:r>
        <w:r w:rsidR="00EC631E">
          <w:rPr>
            <w:noProof/>
            <w:webHidden/>
          </w:rPr>
          <w:tab/>
        </w:r>
        <w:r w:rsidR="00EC631E">
          <w:rPr>
            <w:noProof/>
            <w:webHidden/>
          </w:rPr>
          <w:fldChar w:fldCharType="begin"/>
        </w:r>
        <w:r w:rsidR="00EC631E">
          <w:rPr>
            <w:noProof/>
            <w:webHidden/>
          </w:rPr>
          <w:instrText xml:space="preserve"> PAGEREF _Toc111485434 \h </w:instrText>
        </w:r>
        <w:r w:rsidR="00EC631E">
          <w:rPr>
            <w:noProof/>
            <w:webHidden/>
          </w:rPr>
        </w:r>
        <w:r w:rsidR="00EC631E">
          <w:rPr>
            <w:noProof/>
            <w:webHidden/>
          </w:rPr>
          <w:fldChar w:fldCharType="separate"/>
        </w:r>
        <w:r w:rsidR="00EC631E">
          <w:rPr>
            <w:noProof/>
            <w:webHidden/>
          </w:rPr>
          <w:t>17</w:t>
        </w:r>
        <w:r w:rsidR="00EC631E">
          <w:rPr>
            <w:noProof/>
            <w:webHidden/>
          </w:rPr>
          <w:fldChar w:fldCharType="end"/>
        </w:r>
      </w:hyperlink>
    </w:p>
    <w:p w14:paraId="01459888" w14:textId="6E15AF8F" w:rsidR="00EC631E" w:rsidRDefault="00000000">
      <w:pPr>
        <w:pStyle w:val="TOC2"/>
        <w:rPr>
          <w:rFonts w:eastAsiaTheme="minorEastAsia"/>
          <w:noProof/>
          <w:sz w:val="22"/>
          <w:szCs w:val="22"/>
          <w:lang w:val="en-NZ" w:eastAsia="en-NZ"/>
        </w:rPr>
      </w:pPr>
      <w:hyperlink w:anchor="_Toc111485435" w:history="1">
        <w:r w:rsidR="00EC631E" w:rsidRPr="006C517B">
          <w:rPr>
            <w:rStyle w:val="Hyperlink"/>
            <w:noProof/>
          </w:rPr>
          <w:t>New Developments</w:t>
        </w:r>
        <w:r w:rsidR="00EC631E">
          <w:rPr>
            <w:noProof/>
            <w:webHidden/>
          </w:rPr>
          <w:tab/>
        </w:r>
        <w:r w:rsidR="00EC631E">
          <w:rPr>
            <w:noProof/>
            <w:webHidden/>
          </w:rPr>
          <w:fldChar w:fldCharType="begin"/>
        </w:r>
        <w:r w:rsidR="00EC631E">
          <w:rPr>
            <w:noProof/>
            <w:webHidden/>
          </w:rPr>
          <w:instrText xml:space="preserve"> PAGEREF _Toc111485435 \h </w:instrText>
        </w:r>
        <w:r w:rsidR="00EC631E">
          <w:rPr>
            <w:noProof/>
            <w:webHidden/>
          </w:rPr>
        </w:r>
        <w:r w:rsidR="00EC631E">
          <w:rPr>
            <w:noProof/>
            <w:webHidden/>
          </w:rPr>
          <w:fldChar w:fldCharType="separate"/>
        </w:r>
        <w:r w:rsidR="00EC631E">
          <w:rPr>
            <w:noProof/>
            <w:webHidden/>
          </w:rPr>
          <w:t>19</w:t>
        </w:r>
        <w:r w:rsidR="00EC631E">
          <w:rPr>
            <w:noProof/>
            <w:webHidden/>
          </w:rPr>
          <w:fldChar w:fldCharType="end"/>
        </w:r>
      </w:hyperlink>
    </w:p>
    <w:p w14:paraId="65F94EFA" w14:textId="0A74AD30" w:rsidR="00EC631E" w:rsidRDefault="00000000">
      <w:pPr>
        <w:pStyle w:val="TOC2"/>
        <w:rPr>
          <w:rFonts w:eastAsiaTheme="minorEastAsia"/>
          <w:noProof/>
          <w:sz w:val="22"/>
          <w:szCs w:val="22"/>
          <w:lang w:val="en-NZ" w:eastAsia="en-NZ"/>
        </w:rPr>
      </w:pPr>
      <w:hyperlink w:anchor="_Toc111485436" w:history="1">
        <w:r w:rsidR="00EC631E" w:rsidRPr="006C517B">
          <w:rPr>
            <w:rStyle w:val="Hyperlink"/>
            <w:noProof/>
            <w:lang w:val="mi-NZ"/>
          </w:rPr>
          <w:t>New or revised laws, policies and programmes significant for implementation of the CRC</w:t>
        </w:r>
        <w:r w:rsidR="00EC631E">
          <w:rPr>
            <w:noProof/>
            <w:webHidden/>
          </w:rPr>
          <w:tab/>
        </w:r>
        <w:r w:rsidR="00EC631E">
          <w:rPr>
            <w:noProof/>
            <w:webHidden/>
          </w:rPr>
          <w:fldChar w:fldCharType="begin"/>
        </w:r>
        <w:r w:rsidR="00EC631E">
          <w:rPr>
            <w:noProof/>
            <w:webHidden/>
          </w:rPr>
          <w:instrText xml:space="preserve"> PAGEREF _Toc111485436 \h </w:instrText>
        </w:r>
        <w:r w:rsidR="00EC631E">
          <w:rPr>
            <w:noProof/>
            <w:webHidden/>
          </w:rPr>
        </w:r>
        <w:r w:rsidR="00EC631E">
          <w:rPr>
            <w:noProof/>
            <w:webHidden/>
          </w:rPr>
          <w:fldChar w:fldCharType="separate"/>
        </w:r>
        <w:r w:rsidR="00EC631E">
          <w:rPr>
            <w:noProof/>
            <w:webHidden/>
          </w:rPr>
          <w:t>21</w:t>
        </w:r>
        <w:r w:rsidR="00EC631E">
          <w:rPr>
            <w:noProof/>
            <w:webHidden/>
          </w:rPr>
          <w:fldChar w:fldCharType="end"/>
        </w:r>
      </w:hyperlink>
    </w:p>
    <w:p w14:paraId="2857C828" w14:textId="4172287C" w:rsidR="00EC631E" w:rsidRDefault="00000000">
      <w:pPr>
        <w:pStyle w:val="TOC2"/>
        <w:rPr>
          <w:rFonts w:eastAsiaTheme="minorEastAsia"/>
          <w:noProof/>
          <w:sz w:val="22"/>
          <w:szCs w:val="22"/>
          <w:lang w:val="en-NZ" w:eastAsia="en-NZ"/>
        </w:rPr>
      </w:pPr>
      <w:hyperlink w:anchor="_Toc111485437" w:history="1">
        <w:r w:rsidR="00EC631E" w:rsidRPr="006C517B">
          <w:rPr>
            <w:rStyle w:val="Hyperlink"/>
            <w:noProof/>
            <w:lang w:val="mi-NZ"/>
          </w:rPr>
          <w:t>Impact of COVID-19</w:t>
        </w:r>
        <w:r w:rsidR="00EC631E">
          <w:rPr>
            <w:noProof/>
            <w:webHidden/>
          </w:rPr>
          <w:tab/>
        </w:r>
        <w:r w:rsidR="00EC631E">
          <w:rPr>
            <w:noProof/>
            <w:webHidden/>
          </w:rPr>
          <w:fldChar w:fldCharType="begin"/>
        </w:r>
        <w:r w:rsidR="00EC631E">
          <w:rPr>
            <w:noProof/>
            <w:webHidden/>
          </w:rPr>
          <w:instrText xml:space="preserve"> PAGEREF _Toc111485437 \h </w:instrText>
        </w:r>
        <w:r w:rsidR="00EC631E">
          <w:rPr>
            <w:noProof/>
            <w:webHidden/>
          </w:rPr>
        </w:r>
        <w:r w:rsidR="00EC631E">
          <w:rPr>
            <w:noProof/>
            <w:webHidden/>
          </w:rPr>
          <w:fldChar w:fldCharType="separate"/>
        </w:r>
        <w:r w:rsidR="00EC631E">
          <w:rPr>
            <w:noProof/>
            <w:webHidden/>
          </w:rPr>
          <w:t>22</w:t>
        </w:r>
        <w:r w:rsidR="00EC631E">
          <w:rPr>
            <w:noProof/>
            <w:webHidden/>
          </w:rPr>
          <w:fldChar w:fldCharType="end"/>
        </w:r>
      </w:hyperlink>
    </w:p>
    <w:p w14:paraId="4AA664B9" w14:textId="05B61220" w:rsidR="00EC631E" w:rsidRDefault="00000000">
      <w:pPr>
        <w:pStyle w:val="TOC1"/>
        <w:rPr>
          <w:rFonts w:eastAsiaTheme="minorEastAsia"/>
          <w:noProof/>
          <w:sz w:val="22"/>
          <w:szCs w:val="22"/>
          <w:lang w:val="en-NZ" w:eastAsia="en-NZ"/>
        </w:rPr>
      </w:pPr>
      <w:hyperlink w:anchor="_Toc111485438" w:history="1">
        <w:r w:rsidR="00EC631E" w:rsidRPr="006C517B">
          <w:rPr>
            <w:rStyle w:val="Hyperlink"/>
            <w:noProof/>
            <w:lang w:val="mi-NZ"/>
          </w:rPr>
          <w:t xml:space="preserve">General Measures of </w:t>
        </w:r>
        <w:r w:rsidR="00EC631E" w:rsidRPr="006C517B">
          <w:rPr>
            <w:rStyle w:val="Hyperlink"/>
            <w:noProof/>
          </w:rPr>
          <w:t>Implementation</w:t>
        </w:r>
        <w:r w:rsidR="00EC631E">
          <w:rPr>
            <w:noProof/>
            <w:webHidden/>
          </w:rPr>
          <w:tab/>
        </w:r>
        <w:r w:rsidR="00EC631E">
          <w:rPr>
            <w:noProof/>
            <w:webHidden/>
          </w:rPr>
          <w:fldChar w:fldCharType="begin"/>
        </w:r>
        <w:r w:rsidR="00EC631E">
          <w:rPr>
            <w:noProof/>
            <w:webHidden/>
          </w:rPr>
          <w:instrText xml:space="preserve"> PAGEREF _Toc111485438 \h </w:instrText>
        </w:r>
        <w:r w:rsidR="00EC631E">
          <w:rPr>
            <w:noProof/>
            <w:webHidden/>
          </w:rPr>
        </w:r>
        <w:r w:rsidR="00EC631E">
          <w:rPr>
            <w:noProof/>
            <w:webHidden/>
          </w:rPr>
          <w:fldChar w:fldCharType="separate"/>
        </w:r>
        <w:r w:rsidR="00EC631E">
          <w:rPr>
            <w:noProof/>
            <w:webHidden/>
          </w:rPr>
          <w:t>26</w:t>
        </w:r>
        <w:r w:rsidR="00EC631E">
          <w:rPr>
            <w:noProof/>
            <w:webHidden/>
          </w:rPr>
          <w:fldChar w:fldCharType="end"/>
        </w:r>
      </w:hyperlink>
    </w:p>
    <w:p w14:paraId="6C72DDE7" w14:textId="013DC9FB" w:rsidR="00EC631E" w:rsidRDefault="00000000">
      <w:pPr>
        <w:pStyle w:val="TOC2"/>
        <w:rPr>
          <w:rFonts w:eastAsiaTheme="minorEastAsia"/>
          <w:noProof/>
          <w:sz w:val="22"/>
          <w:szCs w:val="22"/>
          <w:lang w:val="en-NZ" w:eastAsia="en-NZ"/>
        </w:rPr>
      </w:pPr>
      <w:hyperlink w:anchor="_Toc111485439" w:history="1">
        <w:r w:rsidR="00EC631E" w:rsidRPr="006C517B">
          <w:rPr>
            <w:rStyle w:val="Hyperlink"/>
            <w:noProof/>
          </w:rPr>
          <w:t xml:space="preserve">Reservations, Legislation, Policy and Strategy - </w:t>
        </w:r>
        <w:r w:rsidR="00EC631E" w:rsidRPr="006C517B">
          <w:rPr>
            <w:rStyle w:val="Hyperlink"/>
            <w:rFonts w:cstheme="minorHAnsi"/>
            <w:noProof/>
            <w:lang w:val="mi-NZ"/>
          </w:rPr>
          <w:t>LOIPR Question 4</w:t>
        </w:r>
        <w:r w:rsidR="00EC631E">
          <w:rPr>
            <w:noProof/>
            <w:webHidden/>
          </w:rPr>
          <w:tab/>
        </w:r>
        <w:r w:rsidR="00EC631E">
          <w:rPr>
            <w:noProof/>
            <w:webHidden/>
          </w:rPr>
          <w:fldChar w:fldCharType="begin"/>
        </w:r>
        <w:r w:rsidR="00EC631E">
          <w:rPr>
            <w:noProof/>
            <w:webHidden/>
          </w:rPr>
          <w:instrText xml:space="preserve"> PAGEREF _Toc111485439 \h </w:instrText>
        </w:r>
        <w:r w:rsidR="00EC631E">
          <w:rPr>
            <w:noProof/>
            <w:webHidden/>
          </w:rPr>
        </w:r>
        <w:r w:rsidR="00EC631E">
          <w:rPr>
            <w:noProof/>
            <w:webHidden/>
          </w:rPr>
          <w:fldChar w:fldCharType="separate"/>
        </w:r>
        <w:r w:rsidR="00EC631E">
          <w:rPr>
            <w:noProof/>
            <w:webHidden/>
          </w:rPr>
          <w:t>26</w:t>
        </w:r>
        <w:r w:rsidR="00EC631E">
          <w:rPr>
            <w:noProof/>
            <w:webHidden/>
          </w:rPr>
          <w:fldChar w:fldCharType="end"/>
        </w:r>
      </w:hyperlink>
    </w:p>
    <w:p w14:paraId="0DB7D8D0" w14:textId="3F8EE739" w:rsidR="00EC631E" w:rsidRDefault="00000000">
      <w:pPr>
        <w:pStyle w:val="TOC2"/>
        <w:rPr>
          <w:rFonts w:eastAsiaTheme="minorEastAsia"/>
          <w:noProof/>
          <w:sz w:val="22"/>
          <w:szCs w:val="22"/>
          <w:lang w:val="en-NZ" w:eastAsia="en-NZ"/>
        </w:rPr>
      </w:pPr>
      <w:hyperlink w:anchor="_Toc111485440" w:history="1">
        <w:r w:rsidR="00EC631E" w:rsidRPr="006C517B">
          <w:rPr>
            <w:rStyle w:val="Hyperlink"/>
            <w:noProof/>
            <w:lang w:val="mi-NZ"/>
          </w:rPr>
          <w:t>Extension of the CRC to Tokelau</w:t>
        </w:r>
        <w:r w:rsidR="00EC631E" w:rsidRPr="006C517B">
          <w:rPr>
            <w:rStyle w:val="Hyperlink"/>
            <w:noProof/>
          </w:rPr>
          <w:t xml:space="preserve"> </w:t>
        </w:r>
        <w:r w:rsidR="00EC631E" w:rsidRPr="006C517B">
          <w:rPr>
            <w:rStyle w:val="Hyperlink"/>
            <w:noProof/>
            <w:lang w:val="mi-NZ"/>
          </w:rPr>
          <w:t>- LOIPR question 4(a)</w:t>
        </w:r>
        <w:r w:rsidR="00EC631E">
          <w:rPr>
            <w:noProof/>
            <w:webHidden/>
          </w:rPr>
          <w:tab/>
        </w:r>
        <w:r w:rsidR="00EC631E">
          <w:rPr>
            <w:noProof/>
            <w:webHidden/>
          </w:rPr>
          <w:fldChar w:fldCharType="begin"/>
        </w:r>
        <w:r w:rsidR="00EC631E">
          <w:rPr>
            <w:noProof/>
            <w:webHidden/>
          </w:rPr>
          <w:instrText xml:space="preserve"> PAGEREF _Toc111485440 \h </w:instrText>
        </w:r>
        <w:r w:rsidR="00EC631E">
          <w:rPr>
            <w:noProof/>
            <w:webHidden/>
          </w:rPr>
        </w:r>
        <w:r w:rsidR="00EC631E">
          <w:rPr>
            <w:noProof/>
            <w:webHidden/>
          </w:rPr>
          <w:fldChar w:fldCharType="separate"/>
        </w:r>
        <w:r w:rsidR="00EC631E">
          <w:rPr>
            <w:noProof/>
            <w:webHidden/>
          </w:rPr>
          <w:t>26</w:t>
        </w:r>
        <w:r w:rsidR="00EC631E">
          <w:rPr>
            <w:noProof/>
            <w:webHidden/>
          </w:rPr>
          <w:fldChar w:fldCharType="end"/>
        </w:r>
      </w:hyperlink>
    </w:p>
    <w:p w14:paraId="61055AA2" w14:textId="59959790" w:rsidR="00EC631E" w:rsidRDefault="00000000">
      <w:pPr>
        <w:pStyle w:val="TOC2"/>
        <w:rPr>
          <w:rFonts w:eastAsiaTheme="minorEastAsia"/>
          <w:noProof/>
          <w:sz w:val="22"/>
          <w:szCs w:val="22"/>
          <w:lang w:val="en-NZ" w:eastAsia="en-NZ"/>
        </w:rPr>
      </w:pPr>
      <w:hyperlink w:anchor="_Toc111485441" w:history="1">
        <w:r w:rsidR="00EC631E" w:rsidRPr="006C517B">
          <w:rPr>
            <w:rStyle w:val="Hyperlink"/>
            <w:noProof/>
          </w:rPr>
          <w:t>Bringing Domestic Legislation in Line with the CRC – LOIPR 4(b)</w:t>
        </w:r>
        <w:r w:rsidR="00EC631E">
          <w:rPr>
            <w:noProof/>
            <w:webHidden/>
          </w:rPr>
          <w:tab/>
        </w:r>
        <w:r w:rsidR="00EC631E">
          <w:rPr>
            <w:noProof/>
            <w:webHidden/>
          </w:rPr>
          <w:fldChar w:fldCharType="begin"/>
        </w:r>
        <w:r w:rsidR="00EC631E">
          <w:rPr>
            <w:noProof/>
            <w:webHidden/>
          </w:rPr>
          <w:instrText xml:space="preserve"> PAGEREF _Toc111485441 \h </w:instrText>
        </w:r>
        <w:r w:rsidR="00EC631E">
          <w:rPr>
            <w:noProof/>
            <w:webHidden/>
          </w:rPr>
        </w:r>
        <w:r w:rsidR="00EC631E">
          <w:rPr>
            <w:noProof/>
            <w:webHidden/>
          </w:rPr>
          <w:fldChar w:fldCharType="separate"/>
        </w:r>
        <w:r w:rsidR="00EC631E">
          <w:rPr>
            <w:noProof/>
            <w:webHidden/>
          </w:rPr>
          <w:t>27</w:t>
        </w:r>
        <w:r w:rsidR="00EC631E">
          <w:rPr>
            <w:noProof/>
            <w:webHidden/>
          </w:rPr>
          <w:fldChar w:fldCharType="end"/>
        </w:r>
      </w:hyperlink>
    </w:p>
    <w:p w14:paraId="2572E619" w14:textId="5A10BE01" w:rsidR="00EC631E" w:rsidRDefault="00000000">
      <w:pPr>
        <w:pStyle w:val="TOC2"/>
        <w:rPr>
          <w:rFonts w:eastAsiaTheme="minorEastAsia"/>
          <w:noProof/>
          <w:sz w:val="22"/>
          <w:szCs w:val="22"/>
          <w:lang w:val="en-NZ" w:eastAsia="en-NZ"/>
        </w:rPr>
      </w:pPr>
      <w:hyperlink w:anchor="_Toc111485442" w:history="1">
        <w:r w:rsidR="00EC631E" w:rsidRPr="006C517B">
          <w:rPr>
            <w:rStyle w:val="Hyperlink"/>
            <w:noProof/>
          </w:rPr>
          <w:t>Oranga Tamariki, Ministry for Children (OT) – LOIPR 4(c)</w:t>
        </w:r>
        <w:r w:rsidR="00EC631E">
          <w:rPr>
            <w:noProof/>
            <w:webHidden/>
          </w:rPr>
          <w:tab/>
        </w:r>
        <w:r w:rsidR="00EC631E">
          <w:rPr>
            <w:noProof/>
            <w:webHidden/>
          </w:rPr>
          <w:fldChar w:fldCharType="begin"/>
        </w:r>
        <w:r w:rsidR="00EC631E">
          <w:rPr>
            <w:noProof/>
            <w:webHidden/>
          </w:rPr>
          <w:instrText xml:space="preserve"> PAGEREF _Toc111485442 \h </w:instrText>
        </w:r>
        <w:r w:rsidR="00EC631E">
          <w:rPr>
            <w:noProof/>
            <w:webHidden/>
          </w:rPr>
        </w:r>
        <w:r w:rsidR="00EC631E">
          <w:rPr>
            <w:noProof/>
            <w:webHidden/>
          </w:rPr>
          <w:fldChar w:fldCharType="separate"/>
        </w:r>
        <w:r w:rsidR="00EC631E">
          <w:rPr>
            <w:noProof/>
            <w:webHidden/>
          </w:rPr>
          <w:t>29</w:t>
        </w:r>
        <w:r w:rsidR="00EC631E">
          <w:rPr>
            <w:noProof/>
            <w:webHidden/>
          </w:rPr>
          <w:fldChar w:fldCharType="end"/>
        </w:r>
      </w:hyperlink>
    </w:p>
    <w:p w14:paraId="43F2207A" w14:textId="152DF365" w:rsidR="00EC631E" w:rsidRDefault="00000000">
      <w:pPr>
        <w:pStyle w:val="TOC2"/>
        <w:rPr>
          <w:rFonts w:eastAsiaTheme="minorEastAsia"/>
          <w:noProof/>
          <w:sz w:val="22"/>
          <w:szCs w:val="22"/>
          <w:lang w:val="en-NZ" w:eastAsia="en-NZ"/>
        </w:rPr>
      </w:pPr>
      <w:hyperlink w:anchor="_Toc111485443" w:history="1">
        <w:r w:rsidR="00EC631E" w:rsidRPr="006C517B">
          <w:rPr>
            <w:rStyle w:val="Hyperlink"/>
            <w:noProof/>
          </w:rPr>
          <w:t>Comprehensive Strategy to implement the Convention – LOIPR 4(d)</w:t>
        </w:r>
        <w:r w:rsidR="00EC631E">
          <w:rPr>
            <w:noProof/>
            <w:webHidden/>
          </w:rPr>
          <w:tab/>
        </w:r>
        <w:r w:rsidR="00EC631E">
          <w:rPr>
            <w:noProof/>
            <w:webHidden/>
          </w:rPr>
          <w:fldChar w:fldCharType="begin"/>
        </w:r>
        <w:r w:rsidR="00EC631E">
          <w:rPr>
            <w:noProof/>
            <w:webHidden/>
          </w:rPr>
          <w:instrText xml:space="preserve"> PAGEREF _Toc111485443 \h </w:instrText>
        </w:r>
        <w:r w:rsidR="00EC631E">
          <w:rPr>
            <w:noProof/>
            <w:webHidden/>
          </w:rPr>
        </w:r>
        <w:r w:rsidR="00EC631E">
          <w:rPr>
            <w:noProof/>
            <w:webHidden/>
          </w:rPr>
          <w:fldChar w:fldCharType="separate"/>
        </w:r>
        <w:r w:rsidR="00EC631E">
          <w:rPr>
            <w:noProof/>
            <w:webHidden/>
          </w:rPr>
          <w:t>31</w:t>
        </w:r>
        <w:r w:rsidR="00EC631E">
          <w:rPr>
            <w:noProof/>
            <w:webHidden/>
          </w:rPr>
          <w:fldChar w:fldCharType="end"/>
        </w:r>
      </w:hyperlink>
    </w:p>
    <w:p w14:paraId="3AD4C887" w14:textId="0AF3DA88" w:rsidR="00EC631E" w:rsidRDefault="00000000">
      <w:pPr>
        <w:pStyle w:val="TOC2"/>
        <w:rPr>
          <w:rFonts w:eastAsiaTheme="minorEastAsia"/>
          <w:noProof/>
          <w:sz w:val="22"/>
          <w:szCs w:val="22"/>
          <w:lang w:val="en-NZ" w:eastAsia="en-NZ"/>
        </w:rPr>
      </w:pPr>
      <w:hyperlink w:anchor="_Toc111485444" w:history="1">
        <w:r w:rsidR="00EC631E" w:rsidRPr="006C517B">
          <w:rPr>
            <w:rStyle w:val="Hyperlink"/>
            <w:noProof/>
            <w:lang w:val="mi-NZ"/>
          </w:rPr>
          <w:t>Child Impact Assessment and Allocation of Resources – LOIPR 4(e) and 5</w:t>
        </w:r>
        <w:r w:rsidR="00EC631E">
          <w:rPr>
            <w:noProof/>
            <w:webHidden/>
          </w:rPr>
          <w:tab/>
        </w:r>
        <w:r w:rsidR="00EC631E">
          <w:rPr>
            <w:noProof/>
            <w:webHidden/>
          </w:rPr>
          <w:fldChar w:fldCharType="begin"/>
        </w:r>
        <w:r w:rsidR="00EC631E">
          <w:rPr>
            <w:noProof/>
            <w:webHidden/>
          </w:rPr>
          <w:instrText xml:space="preserve"> PAGEREF _Toc111485444 \h </w:instrText>
        </w:r>
        <w:r w:rsidR="00EC631E">
          <w:rPr>
            <w:noProof/>
            <w:webHidden/>
          </w:rPr>
        </w:r>
        <w:r w:rsidR="00EC631E">
          <w:rPr>
            <w:noProof/>
            <w:webHidden/>
          </w:rPr>
          <w:fldChar w:fldCharType="separate"/>
        </w:r>
        <w:r w:rsidR="00EC631E">
          <w:rPr>
            <w:noProof/>
            <w:webHidden/>
          </w:rPr>
          <w:t>33</w:t>
        </w:r>
        <w:r w:rsidR="00EC631E">
          <w:rPr>
            <w:noProof/>
            <w:webHidden/>
          </w:rPr>
          <w:fldChar w:fldCharType="end"/>
        </w:r>
      </w:hyperlink>
    </w:p>
    <w:p w14:paraId="101DC594" w14:textId="7F7285E1" w:rsidR="00EC631E" w:rsidRDefault="00000000">
      <w:pPr>
        <w:pStyle w:val="TOC2"/>
        <w:rPr>
          <w:rFonts w:eastAsiaTheme="minorEastAsia"/>
          <w:noProof/>
          <w:sz w:val="22"/>
          <w:szCs w:val="22"/>
          <w:lang w:val="en-NZ" w:eastAsia="en-NZ"/>
        </w:rPr>
      </w:pPr>
      <w:hyperlink w:anchor="_Toc111485445" w:history="1">
        <w:r w:rsidR="00EC631E" w:rsidRPr="006C517B">
          <w:rPr>
            <w:rStyle w:val="Hyperlink"/>
            <w:noProof/>
          </w:rPr>
          <w:t>Data Collection – LOIPR 6</w:t>
        </w:r>
        <w:r w:rsidR="00EC631E">
          <w:rPr>
            <w:noProof/>
            <w:webHidden/>
          </w:rPr>
          <w:tab/>
        </w:r>
        <w:r w:rsidR="00EC631E">
          <w:rPr>
            <w:noProof/>
            <w:webHidden/>
          </w:rPr>
          <w:fldChar w:fldCharType="begin"/>
        </w:r>
        <w:r w:rsidR="00EC631E">
          <w:rPr>
            <w:noProof/>
            <w:webHidden/>
          </w:rPr>
          <w:instrText xml:space="preserve"> PAGEREF _Toc111485445 \h </w:instrText>
        </w:r>
        <w:r w:rsidR="00EC631E">
          <w:rPr>
            <w:noProof/>
            <w:webHidden/>
          </w:rPr>
        </w:r>
        <w:r w:rsidR="00EC631E">
          <w:rPr>
            <w:noProof/>
            <w:webHidden/>
          </w:rPr>
          <w:fldChar w:fldCharType="separate"/>
        </w:r>
        <w:r w:rsidR="00EC631E">
          <w:rPr>
            <w:noProof/>
            <w:webHidden/>
          </w:rPr>
          <w:t>34</w:t>
        </w:r>
        <w:r w:rsidR="00EC631E">
          <w:rPr>
            <w:noProof/>
            <w:webHidden/>
          </w:rPr>
          <w:fldChar w:fldCharType="end"/>
        </w:r>
      </w:hyperlink>
    </w:p>
    <w:p w14:paraId="61316CC5" w14:textId="0BC76597" w:rsidR="00EC631E" w:rsidRDefault="00000000">
      <w:pPr>
        <w:pStyle w:val="TOC2"/>
        <w:rPr>
          <w:rFonts w:eastAsiaTheme="minorEastAsia"/>
          <w:noProof/>
          <w:sz w:val="22"/>
          <w:szCs w:val="22"/>
          <w:lang w:val="en-NZ" w:eastAsia="en-NZ"/>
        </w:rPr>
      </w:pPr>
      <w:hyperlink w:anchor="_Toc111485446" w:history="1">
        <w:r w:rsidR="00EC631E" w:rsidRPr="006C517B">
          <w:rPr>
            <w:rStyle w:val="Hyperlink"/>
            <w:noProof/>
          </w:rPr>
          <w:t>Children’s Commissioner</w:t>
        </w:r>
        <w:r w:rsidR="00EC631E">
          <w:rPr>
            <w:noProof/>
            <w:webHidden/>
          </w:rPr>
          <w:tab/>
        </w:r>
        <w:r w:rsidR="00EC631E">
          <w:rPr>
            <w:noProof/>
            <w:webHidden/>
          </w:rPr>
          <w:fldChar w:fldCharType="begin"/>
        </w:r>
        <w:r w:rsidR="00EC631E">
          <w:rPr>
            <w:noProof/>
            <w:webHidden/>
          </w:rPr>
          <w:instrText xml:space="preserve"> PAGEREF _Toc111485446 \h </w:instrText>
        </w:r>
        <w:r w:rsidR="00EC631E">
          <w:rPr>
            <w:noProof/>
            <w:webHidden/>
          </w:rPr>
        </w:r>
        <w:r w:rsidR="00EC631E">
          <w:rPr>
            <w:noProof/>
            <w:webHidden/>
          </w:rPr>
          <w:fldChar w:fldCharType="separate"/>
        </w:r>
        <w:r w:rsidR="00EC631E">
          <w:rPr>
            <w:noProof/>
            <w:webHidden/>
          </w:rPr>
          <w:t>36</w:t>
        </w:r>
        <w:r w:rsidR="00EC631E">
          <w:rPr>
            <w:noProof/>
            <w:webHidden/>
          </w:rPr>
          <w:fldChar w:fldCharType="end"/>
        </w:r>
      </w:hyperlink>
    </w:p>
    <w:p w14:paraId="4026AFA3" w14:textId="7F1945D6" w:rsidR="00EC631E" w:rsidRDefault="00000000">
      <w:pPr>
        <w:pStyle w:val="TOC2"/>
        <w:rPr>
          <w:rFonts w:eastAsiaTheme="minorEastAsia"/>
          <w:noProof/>
          <w:sz w:val="22"/>
          <w:szCs w:val="22"/>
          <w:lang w:val="en-NZ" w:eastAsia="en-NZ"/>
        </w:rPr>
      </w:pPr>
      <w:hyperlink w:anchor="_Toc111485447" w:history="1">
        <w:r w:rsidR="00EC631E" w:rsidRPr="006C517B">
          <w:rPr>
            <w:rStyle w:val="Hyperlink"/>
            <w:rFonts w:cstheme="minorHAnsi"/>
            <w:noProof/>
            <w:lang w:val="mi-NZ"/>
          </w:rPr>
          <w:t>Definition of a Child - LOIPR 8</w:t>
        </w:r>
        <w:r w:rsidR="00EC631E">
          <w:rPr>
            <w:noProof/>
            <w:webHidden/>
          </w:rPr>
          <w:tab/>
        </w:r>
        <w:r w:rsidR="00EC631E">
          <w:rPr>
            <w:noProof/>
            <w:webHidden/>
          </w:rPr>
          <w:fldChar w:fldCharType="begin"/>
        </w:r>
        <w:r w:rsidR="00EC631E">
          <w:rPr>
            <w:noProof/>
            <w:webHidden/>
          </w:rPr>
          <w:instrText xml:space="preserve"> PAGEREF _Toc111485447 \h </w:instrText>
        </w:r>
        <w:r w:rsidR="00EC631E">
          <w:rPr>
            <w:noProof/>
            <w:webHidden/>
          </w:rPr>
        </w:r>
        <w:r w:rsidR="00EC631E">
          <w:rPr>
            <w:noProof/>
            <w:webHidden/>
          </w:rPr>
          <w:fldChar w:fldCharType="separate"/>
        </w:r>
        <w:r w:rsidR="00EC631E">
          <w:rPr>
            <w:noProof/>
            <w:webHidden/>
          </w:rPr>
          <w:t>37</w:t>
        </w:r>
        <w:r w:rsidR="00EC631E">
          <w:rPr>
            <w:noProof/>
            <w:webHidden/>
          </w:rPr>
          <w:fldChar w:fldCharType="end"/>
        </w:r>
      </w:hyperlink>
    </w:p>
    <w:p w14:paraId="272CD389" w14:textId="673F4696" w:rsidR="00EC631E" w:rsidRDefault="00000000">
      <w:pPr>
        <w:pStyle w:val="TOC1"/>
        <w:rPr>
          <w:rFonts w:eastAsiaTheme="minorEastAsia"/>
          <w:noProof/>
          <w:sz w:val="22"/>
          <w:szCs w:val="22"/>
          <w:lang w:val="en-NZ" w:eastAsia="en-NZ"/>
        </w:rPr>
      </w:pPr>
      <w:hyperlink w:anchor="_Toc111485448" w:history="1">
        <w:r w:rsidR="00EC631E" w:rsidRPr="006C517B">
          <w:rPr>
            <w:rStyle w:val="Hyperlink"/>
            <w:noProof/>
          </w:rPr>
          <w:t>General Principles – LOIPR 9-12</w:t>
        </w:r>
        <w:r w:rsidR="00EC631E">
          <w:rPr>
            <w:noProof/>
            <w:webHidden/>
          </w:rPr>
          <w:tab/>
        </w:r>
        <w:r w:rsidR="00EC631E">
          <w:rPr>
            <w:noProof/>
            <w:webHidden/>
          </w:rPr>
          <w:fldChar w:fldCharType="begin"/>
        </w:r>
        <w:r w:rsidR="00EC631E">
          <w:rPr>
            <w:noProof/>
            <w:webHidden/>
          </w:rPr>
          <w:instrText xml:space="preserve"> PAGEREF _Toc111485448 \h </w:instrText>
        </w:r>
        <w:r w:rsidR="00EC631E">
          <w:rPr>
            <w:noProof/>
            <w:webHidden/>
          </w:rPr>
        </w:r>
        <w:r w:rsidR="00EC631E">
          <w:rPr>
            <w:noProof/>
            <w:webHidden/>
          </w:rPr>
          <w:fldChar w:fldCharType="separate"/>
        </w:r>
        <w:r w:rsidR="00EC631E">
          <w:rPr>
            <w:noProof/>
            <w:webHidden/>
          </w:rPr>
          <w:t>39</w:t>
        </w:r>
        <w:r w:rsidR="00EC631E">
          <w:rPr>
            <w:noProof/>
            <w:webHidden/>
          </w:rPr>
          <w:fldChar w:fldCharType="end"/>
        </w:r>
      </w:hyperlink>
    </w:p>
    <w:p w14:paraId="7DBC0801" w14:textId="0208A14B" w:rsidR="00EC631E" w:rsidRDefault="00000000">
      <w:pPr>
        <w:pStyle w:val="TOC2"/>
        <w:rPr>
          <w:rFonts w:eastAsiaTheme="minorEastAsia"/>
          <w:noProof/>
          <w:sz w:val="22"/>
          <w:szCs w:val="22"/>
          <w:lang w:val="en-NZ" w:eastAsia="en-NZ"/>
        </w:rPr>
      </w:pPr>
      <w:hyperlink w:anchor="_Toc111485449" w:history="1">
        <w:r w:rsidR="00EC631E" w:rsidRPr="006C517B">
          <w:rPr>
            <w:rStyle w:val="Hyperlink"/>
            <w:noProof/>
          </w:rPr>
          <w:t>Non-discrimination – LOIPR 9</w:t>
        </w:r>
        <w:r w:rsidR="00EC631E">
          <w:rPr>
            <w:noProof/>
            <w:webHidden/>
          </w:rPr>
          <w:tab/>
        </w:r>
        <w:r w:rsidR="00EC631E">
          <w:rPr>
            <w:noProof/>
            <w:webHidden/>
          </w:rPr>
          <w:fldChar w:fldCharType="begin"/>
        </w:r>
        <w:r w:rsidR="00EC631E">
          <w:rPr>
            <w:noProof/>
            <w:webHidden/>
          </w:rPr>
          <w:instrText xml:space="preserve"> PAGEREF _Toc111485449 \h </w:instrText>
        </w:r>
        <w:r w:rsidR="00EC631E">
          <w:rPr>
            <w:noProof/>
            <w:webHidden/>
          </w:rPr>
        </w:r>
        <w:r w:rsidR="00EC631E">
          <w:rPr>
            <w:noProof/>
            <w:webHidden/>
          </w:rPr>
          <w:fldChar w:fldCharType="separate"/>
        </w:r>
        <w:r w:rsidR="00EC631E">
          <w:rPr>
            <w:noProof/>
            <w:webHidden/>
          </w:rPr>
          <w:t>39</w:t>
        </w:r>
        <w:r w:rsidR="00EC631E">
          <w:rPr>
            <w:noProof/>
            <w:webHidden/>
          </w:rPr>
          <w:fldChar w:fldCharType="end"/>
        </w:r>
      </w:hyperlink>
    </w:p>
    <w:p w14:paraId="318C1B61" w14:textId="0B91E3FD" w:rsidR="00EC631E" w:rsidRDefault="00000000">
      <w:pPr>
        <w:pStyle w:val="TOC1"/>
        <w:rPr>
          <w:rFonts w:eastAsiaTheme="minorEastAsia"/>
          <w:noProof/>
          <w:sz w:val="22"/>
          <w:szCs w:val="22"/>
          <w:lang w:val="en-NZ" w:eastAsia="en-NZ"/>
        </w:rPr>
      </w:pPr>
      <w:hyperlink w:anchor="_Toc111485450" w:history="1">
        <w:r w:rsidR="00EC631E" w:rsidRPr="006C517B">
          <w:rPr>
            <w:rStyle w:val="Hyperlink"/>
            <w:noProof/>
            <w:lang w:val="mi-NZ"/>
          </w:rPr>
          <w:t>Best Interests – LOIPR 10</w:t>
        </w:r>
        <w:r w:rsidR="00EC631E">
          <w:rPr>
            <w:noProof/>
            <w:webHidden/>
          </w:rPr>
          <w:tab/>
        </w:r>
        <w:r w:rsidR="00EC631E">
          <w:rPr>
            <w:noProof/>
            <w:webHidden/>
          </w:rPr>
          <w:fldChar w:fldCharType="begin"/>
        </w:r>
        <w:r w:rsidR="00EC631E">
          <w:rPr>
            <w:noProof/>
            <w:webHidden/>
          </w:rPr>
          <w:instrText xml:space="preserve"> PAGEREF _Toc111485450 \h </w:instrText>
        </w:r>
        <w:r w:rsidR="00EC631E">
          <w:rPr>
            <w:noProof/>
            <w:webHidden/>
          </w:rPr>
        </w:r>
        <w:r w:rsidR="00EC631E">
          <w:rPr>
            <w:noProof/>
            <w:webHidden/>
          </w:rPr>
          <w:fldChar w:fldCharType="separate"/>
        </w:r>
        <w:r w:rsidR="00EC631E">
          <w:rPr>
            <w:noProof/>
            <w:webHidden/>
          </w:rPr>
          <w:t>44</w:t>
        </w:r>
        <w:r w:rsidR="00EC631E">
          <w:rPr>
            <w:noProof/>
            <w:webHidden/>
          </w:rPr>
          <w:fldChar w:fldCharType="end"/>
        </w:r>
      </w:hyperlink>
    </w:p>
    <w:p w14:paraId="67032C61" w14:textId="48D47EE5" w:rsidR="00EC631E" w:rsidRDefault="00000000">
      <w:pPr>
        <w:pStyle w:val="TOC1"/>
        <w:rPr>
          <w:rFonts w:eastAsiaTheme="minorEastAsia"/>
          <w:noProof/>
          <w:sz w:val="22"/>
          <w:szCs w:val="22"/>
          <w:lang w:val="en-NZ" w:eastAsia="en-NZ"/>
        </w:rPr>
      </w:pPr>
      <w:hyperlink w:anchor="_Toc111485451" w:history="1">
        <w:r w:rsidR="00EC631E" w:rsidRPr="006C517B">
          <w:rPr>
            <w:rStyle w:val="Hyperlink"/>
            <w:noProof/>
            <w:lang w:val="mi-NZ"/>
          </w:rPr>
          <w:t>Life, Survival and Development – LOIPR 11</w:t>
        </w:r>
        <w:r w:rsidR="00EC631E">
          <w:rPr>
            <w:noProof/>
            <w:webHidden/>
          </w:rPr>
          <w:tab/>
        </w:r>
        <w:r w:rsidR="00EC631E">
          <w:rPr>
            <w:noProof/>
            <w:webHidden/>
          </w:rPr>
          <w:fldChar w:fldCharType="begin"/>
        </w:r>
        <w:r w:rsidR="00EC631E">
          <w:rPr>
            <w:noProof/>
            <w:webHidden/>
          </w:rPr>
          <w:instrText xml:space="preserve"> PAGEREF _Toc111485451 \h </w:instrText>
        </w:r>
        <w:r w:rsidR="00EC631E">
          <w:rPr>
            <w:noProof/>
            <w:webHidden/>
          </w:rPr>
        </w:r>
        <w:r w:rsidR="00EC631E">
          <w:rPr>
            <w:noProof/>
            <w:webHidden/>
          </w:rPr>
          <w:fldChar w:fldCharType="separate"/>
        </w:r>
        <w:r w:rsidR="00EC631E">
          <w:rPr>
            <w:noProof/>
            <w:webHidden/>
          </w:rPr>
          <w:t>44</w:t>
        </w:r>
        <w:r w:rsidR="00EC631E">
          <w:rPr>
            <w:noProof/>
            <w:webHidden/>
          </w:rPr>
          <w:fldChar w:fldCharType="end"/>
        </w:r>
      </w:hyperlink>
    </w:p>
    <w:p w14:paraId="7FCA84C3" w14:textId="3CCD31D0" w:rsidR="00EC631E" w:rsidRDefault="00000000">
      <w:pPr>
        <w:pStyle w:val="TOC1"/>
        <w:rPr>
          <w:rFonts w:eastAsiaTheme="minorEastAsia"/>
          <w:noProof/>
          <w:sz w:val="22"/>
          <w:szCs w:val="22"/>
          <w:lang w:val="en-NZ" w:eastAsia="en-NZ"/>
        </w:rPr>
      </w:pPr>
      <w:hyperlink w:anchor="_Toc111485452" w:history="1">
        <w:r w:rsidR="00EC631E" w:rsidRPr="006C517B">
          <w:rPr>
            <w:rStyle w:val="Hyperlink"/>
            <w:noProof/>
            <w:lang w:val="mi-NZ"/>
          </w:rPr>
          <w:t>Respect for the Views of the Child – LOIPR 12</w:t>
        </w:r>
        <w:r w:rsidR="00EC631E">
          <w:rPr>
            <w:noProof/>
            <w:webHidden/>
          </w:rPr>
          <w:tab/>
        </w:r>
        <w:r w:rsidR="00EC631E">
          <w:rPr>
            <w:noProof/>
            <w:webHidden/>
          </w:rPr>
          <w:fldChar w:fldCharType="begin"/>
        </w:r>
        <w:r w:rsidR="00EC631E">
          <w:rPr>
            <w:noProof/>
            <w:webHidden/>
          </w:rPr>
          <w:instrText xml:space="preserve"> PAGEREF _Toc111485452 \h </w:instrText>
        </w:r>
        <w:r w:rsidR="00EC631E">
          <w:rPr>
            <w:noProof/>
            <w:webHidden/>
          </w:rPr>
        </w:r>
        <w:r w:rsidR="00EC631E">
          <w:rPr>
            <w:noProof/>
            <w:webHidden/>
          </w:rPr>
          <w:fldChar w:fldCharType="separate"/>
        </w:r>
        <w:r w:rsidR="00EC631E">
          <w:rPr>
            <w:noProof/>
            <w:webHidden/>
          </w:rPr>
          <w:t>47</w:t>
        </w:r>
        <w:r w:rsidR="00EC631E">
          <w:rPr>
            <w:noProof/>
            <w:webHidden/>
          </w:rPr>
          <w:fldChar w:fldCharType="end"/>
        </w:r>
      </w:hyperlink>
    </w:p>
    <w:p w14:paraId="175432E4" w14:textId="3ACF5CE9" w:rsidR="00EC631E" w:rsidRDefault="00000000">
      <w:pPr>
        <w:pStyle w:val="TOC2"/>
        <w:rPr>
          <w:rFonts w:eastAsiaTheme="minorEastAsia"/>
          <w:noProof/>
          <w:sz w:val="22"/>
          <w:szCs w:val="22"/>
          <w:lang w:val="en-NZ" w:eastAsia="en-NZ"/>
        </w:rPr>
      </w:pPr>
      <w:hyperlink w:anchor="_Toc111485453" w:history="1">
        <w:r w:rsidR="00EC631E" w:rsidRPr="006C517B">
          <w:rPr>
            <w:rStyle w:val="Hyperlink"/>
            <w:noProof/>
          </w:rPr>
          <w:t>Complaints processes</w:t>
        </w:r>
        <w:r w:rsidR="00EC631E">
          <w:rPr>
            <w:noProof/>
            <w:webHidden/>
          </w:rPr>
          <w:tab/>
        </w:r>
        <w:r w:rsidR="00EC631E">
          <w:rPr>
            <w:noProof/>
            <w:webHidden/>
          </w:rPr>
          <w:fldChar w:fldCharType="begin"/>
        </w:r>
        <w:r w:rsidR="00EC631E">
          <w:rPr>
            <w:noProof/>
            <w:webHidden/>
          </w:rPr>
          <w:instrText xml:space="preserve"> PAGEREF _Toc111485453 \h </w:instrText>
        </w:r>
        <w:r w:rsidR="00EC631E">
          <w:rPr>
            <w:noProof/>
            <w:webHidden/>
          </w:rPr>
        </w:r>
        <w:r w:rsidR="00EC631E">
          <w:rPr>
            <w:noProof/>
            <w:webHidden/>
          </w:rPr>
          <w:fldChar w:fldCharType="separate"/>
        </w:r>
        <w:r w:rsidR="00EC631E">
          <w:rPr>
            <w:noProof/>
            <w:webHidden/>
          </w:rPr>
          <w:t>48</w:t>
        </w:r>
        <w:r w:rsidR="00EC631E">
          <w:rPr>
            <w:noProof/>
            <w:webHidden/>
          </w:rPr>
          <w:fldChar w:fldCharType="end"/>
        </w:r>
      </w:hyperlink>
    </w:p>
    <w:p w14:paraId="143106A9" w14:textId="6BF5733B" w:rsidR="00EC631E" w:rsidRDefault="00000000">
      <w:pPr>
        <w:pStyle w:val="TOC1"/>
        <w:rPr>
          <w:rFonts w:eastAsiaTheme="minorEastAsia"/>
          <w:noProof/>
          <w:sz w:val="22"/>
          <w:szCs w:val="22"/>
          <w:lang w:val="en-NZ" w:eastAsia="en-NZ"/>
        </w:rPr>
      </w:pPr>
      <w:hyperlink w:anchor="_Toc111485454" w:history="1">
        <w:r w:rsidR="00EC631E" w:rsidRPr="006C517B">
          <w:rPr>
            <w:rStyle w:val="Hyperlink"/>
            <w:noProof/>
          </w:rPr>
          <w:t>Civil Rights and Freedoms – LOIPR 13-15</w:t>
        </w:r>
        <w:r w:rsidR="00EC631E">
          <w:rPr>
            <w:noProof/>
            <w:webHidden/>
          </w:rPr>
          <w:tab/>
        </w:r>
        <w:r w:rsidR="00EC631E">
          <w:rPr>
            <w:noProof/>
            <w:webHidden/>
          </w:rPr>
          <w:fldChar w:fldCharType="begin"/>
        </w:r>
        <w:r w:rsidR="00EC631E">
          <w:rPr>
            <w:noProof/>
            <w:webHidden/>
          </w:rPr>
          <w:instrText xml:space="preserve"> PAGEREF _Toc111485454 \h </w:instrText>
        </w:r>
        <w:r w:rsidR="00EC631E">
          <w:rPr>
            <w:noProof/>
            <w:webHidden/>
          </w:rPr>
        </w:r>
        <w:r w:rsidR="00EC631E">
          <w:rPr>
            <w:noProof/>
            <w:webHidden/>
          </w:rPr>
          <w:fldChar w:fldCharType="separate"/>
        </w:r>
        <w:r w:rsidR="00EC631E">
          <w:rPr>
            <w:noProof/>
            <w:webHidden/>
          </w:rPr>
          <w:t>50</w:t>
        </w:r>
        <w:r w:rsidR="00EC631E">
          <w:rPr>
            <w:noProof/>
            <w:webHidden/>
          </w:rPr>
          <w:fldChar w:fldCharType="end"/>
        </w:r>
      </w:hyperlink>
    </w:p>
    <w:p w14:paraId="37D92CDB" w14:textId="7DEF1D79" w:rsidR="00EC631E" w:rsidRDefault="00000000">
      <w:pPr>
        <w:pStyle w:val="TOC2"/>
        <w:rPr>
          <w:rFonts w:eastAsiaTheme="minorEastAsia"/>
          <w:noProof/>
          <w:sz w:val="22"/>
          <w:szCs w:val="22"/>
          <w:lang w:val="en-NZ" w:eastAsia="en-NZ"/>
        </w:rPr>
      </w:pPr>
      <w:hyperlink w:anchor="_Toc111485455" w:history="1">
        <w:r w:rsidR="00EC631E" w:rsidRPr="006C517B">
          <w:rPr>
            <w:rStyle w:val="Hyperlink"/>
            <w:noProof/>
            <w:lang w:val="en-NZ"/>
          </w:rPr>
          <w:t>Identity</w:t>
        </w:r>
        <w:r w:rsidR="00EC631E">
          <w:rPr>
            <w:noProof/>
            <w:webHidden/>
          </w:rPr>
          <w:tab/>
        </w:r>
        <w:r w:rsidR="00EC631E">
          <w:rPr>
            <w:noProof/>
            <w:webHidden/>
          </w:rPr>
          <w:fldChar w:fldCharType="begin"/>
        </w:r>
        <w:r w:rsidR="00EC631E">
          <w:rPr>
            <w:noProof/>
            <w:webHidden/>
          </w:rPr>
          <w:instrText xml:space="preserve"> PAGEREF _Toc111485455 \h </w:instrText>
        </w:r>
        <w:r w:rsidR="00EC631E">
          <w:rPr>
            <w:noProof/>
            <w:webHidden/>
          </w:rPr>
        </w:r>
        <w:r w:rsidR="00EC631E">
          <w:rPr>
            <w:noProof/>
            <w:webHidden/>
          </w:rPr>
          <w:fldChar w:fldCharType="separate"/>
        </w:r>
        <w:r w:rsidR="00EC631E">
          <w:rPr>
            <w:noProof/>
            <w:webHidden/>
          </w:rPr>
          <w:t>50</w:t>
        </w:r>
        <w:r w:rsidR="00EC631E">
          <w:rPr>
            <w:noProof/>
            <w:webHidden/>
          </w:rPr>
          <w:fldChar w:fldCharType="end"/>
        </w:r>
      </w:hyperlink>
    </w:p>
    <w:p w14:paraId="219A8E86" w14:textId="61123BAA" w:rsidR="00EC631E" w:rsidRDefault="00000000">
      <w:pPr>
        <w:pStyle w:val="TOC2"/>
        <w:rPr>
          <w:rFonts w:eastAsiaTheme="minorEastAsia"/>
          <w:noProof/>
          <w:sz w:val="22"/>
          <w:szCs w:val="22"/>
          <w:lang w:val="en-NZ" w:eastAsia="en-NZ"/>
        </w:rPr>
      </w:pPr>
      <w:hyperlink w:anchor="_Toc111485456" w:history="1">
        <w:r w:rsidR="00EC631E" w:rsidRPr="006C517B">
          <w:rPr>
            <w:rStyle w:val="Hyperlink"/>
            <w:noProof/>
          </w:rPr>
          <w:t>Privacy</w:t>
        </w:r>
        <w:r w:rsidR="00EC631E">
          <w:rPr>
            <w:noProof/>
            <w:webHidden/>
          </w:rPr>
          <w:tab/>
        </w:r>
        <w:r w:rsidR="00EC631E">
          <w:rPr>
            <w:noProof/>
            <w:webHidden/>
          </w:rPr>
          <w:fldChar w:fldCharType="begin"/>
        </w:r>
        <w:r w:rsidR="00EC631E">
          <w:rPr>
            <w:noProof/>
            <w:webHidden/>
          </w:rPr>
          <w:instrText xml:space="preserve"> PAGEREF _Toc111485456 \h </w:instrText>
        </w:r>
        <w:r w:rsidR="00EC631E">
          <w:rPr>
            <w:noProof/>
            <w:webHidden/>
          </w:rPr>
        </w:r>
        <w:r w:rsidR="00EC631E">
          <w:rPr>
            <w:noProof/>
            <w:webHidden/>
          </w:rPr>
          <w:fldChar w:fldCharType="separate"/>
        </w:r>
        <w:r w:rsidR="00EC631E">
          <w:rPr>
            <w:noProof/>
            <w:webHidden/>
          </w:rPr>
          <w:t>53</w:t>
        </w:r>
        <w:r w:rsidR="00EC631E">
          <w:rPr>
            <w:noProof/>
            <w:webHidden/>
          </w:rPr>
          <w:fldChar w:fldCharType="end"/>
        </w:r>
      </w:hyperlink>
    </w:p>
    <w:p w14:paraId="415A70AA" w14:textId="6B821B64" w:rsidR="00EC631E" w:rsidRDefault="00000000">
      <w:pPr>
        <w:pStyle w:val="TOC2"/>
        <w:rPr>
          <w:rFonts w:eastAsiaTheme="minorEastAsia"/>
          <w:noProof/>
          <w:sz w:val="22"/>
          <w:szCs w:val="22"/>
          <w:lang w:val="en-NZ" w:eastAsia="en-NZ"/>
        </w:rPr>
      </w:pPr>
      <w:hyperlink w:anchor="_Toc111485457" w:history="1">
        <w:r w:rsidR="00EC631E" w:rsidRPr="006C517B">
          <w:rPr>
            <w:rStyle w:val="Hyperlink"/>
            <w:noProof/>
            <w:lang w:val="mi-NZ"/>
          </w:rPr>
          <w:t>Books and stories</w:t>
        </w:r>
        <w:r w:rsidR="00EC631E">
          <w:rPr>
            <w:noProof/>
            <w:webHidden/>
          </w:rPr>
          <w:tab/>
        </w:r>
        <w:r w:rsidR="00EC631E">
          <w:rPr>
            <w:noProof/>
            <w:webHidden/>
          </w:rPr>
          <w:fldChar w:fldCharType="begin"/>
        </w:r>
        <w:r w:rsidR="00EC631E">
          <w:rPr>
            <w:noProof/>
            <w:webHidden/>
          </w:rPr>
          <w:instrText xml:space="preserve"> PAGEREF _Toc111485457 \h </w:instrText>
        </w:r>
        <w:r w:rsidR="00EC631E">
          <w:rPr>
            <w:noProof/>
            <w:webHidden/>
          </w:rPr>
        </w:r>
        <w:r w:rsidR="00EC631E">
          <w:rPr>
            <w:noProof/>
            <w:webHidden/>
          </w:rPr>
          <w:fldChar w:fldCharType="separate"/>
        </w:r>
        <w:r w:rsidR="00EC631E">
          <w:rPr>
            <w:noProof/>
            <w:webHidden/>
          </w:rPr>
          <w:t>55</w:t>
        </w:r>
        <w:r w:rsidR="00EC631E">
          <w:rPr>
            <w:noProof/>
            <w:webHidden/>
          </w:rPr>
          <w:fldChar w:fldCharType="end"/>
        </w:r>
      </w:hyperlink>
    </w:p>
    <w:p w14:paraId="45A0F642" w14:textId="22C3D169" w:rsidR="00EC631E" w:rsidRDefault="00000000">
      <w:pPr>
        <w:pStyle w:val="TOC1"/>
        <w:rPr>
          <w:rFonts w:eastAsiaTheme="minorEastAsia"/>
          <w:noProof/>
          <w:sz w:val="22"/>
          <w:szCs w:val="22"/>
          <w:lang w:val="en-NZ" w:eastAsia="en-NZ"/>
        </w:rPr>
      </w:pPr>
      <w:hyperlink w:anchor="_Toc111485458" w:history="1">
        <w:r w:rsidR="00EC631E" w:rsidRPr="006C517B">
          <w:rPr>
            <w:rStyle w:val="Hyperlink"/>
            <w:noProof/>
          </w:rPr>
          <w:t>Freedom from Violence – LOIPR 16</w:t>
        </w:r>
        <w:r w:rsidR="00EC631E">
          <w:rPr>
            <w:noProof/>
            <w:webHidden/>
          </w:rPr>
          <w:tab/>
        </w:r>
        <w:r w:rsidR="00EC631E">
          <w:rPr>
            <w:noProof/>
            <w:webHidden/>
          </w:rPr>
          <w:fldChar w:fldCharType="begin"/>
        </w:r>
        <w:r w:rsidR="00EC631E">
          <w:rPr>
            <w:noProof/>
            <w:webHidden/>
          </w:rPr>
          <w:instrText xml:space="preserve"> PAGEREF _Toc111485458 \h </w:instrText>
        </w:r>
        <w:r w:rsidR="00EC631E">
          <w:rPr>
            <w:noProof/>
            <w:webHidden/>
          </w:rPr>
        </w:r>
        <w:r w:rsidR="00EC631E">
          <w:rPr>
            <w:noProof/>
            <w:webHidden/>
          </w:rPr>
          <w:fldChar w:fldCharType="separate"/>
        </w:r>
        <w:r w:rsidR="00EC631E">
          <w:rPr>
            <w:noProof/>
            <w:webHidden/>
          </w:rPr>
          <w:t>56</w:t>
        </w:r>
        <w:r w:rsidR="00EC631E">
          <w:rPr>
            <w:noProof/>
            <w:webHidden/>
          </w:rPr>
          <w:fldChar w:fldCharType="end"/>
        </w:r>
      </w:hyperlink>
    </w:p>
    <w:p w14:paraId="4B142D46" w14:textId="1956EB0A" w:rsidR="00EC631E" w:rsidRDefault="00000000">
      <w:pPr>
        <w:pStyle w:val="TOC2"/>
        <w:rPr>
          <w:rFonts w:eastAsiaTheme="minorEastAsia"/>
          <w:noProof/>
          <w:sz w:val="22"/>
          <w:szCs w:val="22"/>
          <w:lang w:val="en-NZ" w:eastAsia="en-NZ"/>
        </w:rPr>
      </w:pPr>
      <w:hyperlink w:anchor="_Toc111485459" w:history="1">
        <w:r w:rsidR="00EC631E" w:rsidRPr="006C517B">
          <w:rPr>
            <w:rStyle w:val="Hyperlink"/>
            <w:noProof/>
          </w:rPr>
          <w:t>Te Aorerekura: The National Strategy to Eliminate Family Violence and Sexual Violence</w:t>
        </w:r>
        <w:r w:rsidR="00EC631E">
          <w:rPr>
            <w:noProof/>
            <w:webHidden/>
          </w:rPr>
          <w:tab/>
        </w:r>
        <w:r w:rsidR="00EC631E">
          <w:rPr>
            <w:noProof/>
            <w:webHidden/>
          </w:rPr>
          <w:fldChar w:fldCharType="begin"/>
        </w:r>
        <w:r w:rsidR="00EC631E">
          <w:rPr>
            <w:noProof/>
            <w:webHidden/>
          </w:rPr>
          <w:instrText xml:space="preserve"> PAGEREF _Toc111485459 \h </w:instrText>
        </w:r>
        <w:r w:rsidR="00EC631E">
          <w:rPr>
            <w:noProof/>
            <w:webHidden/>
          </w:rPr>
        </w:r>
        <w:r w:rsidR="00EC631E">
          <w:rPr>
            <w:noProof/>
            <w:webHidden/>
          </w:rPr>
          <w:fldChar w:fldCharType="separate"/>
        </w:r>
        <w:r w:rsidR="00EC631E">
          <w:rPr>
            <w:noProof/>
            <w:webHidden/>
          </w:rPr>
          <w:t>56</w:t>
        </w:r>
        <w:r w:rsidR="00EC631E">
          <w:rPr>
            <w:noProof/>
            <w:webHidden/>
          </w:rPr>
          <w:fldChar w:fldCharType="end"/>
        </w:r>
      </w:hyperlink>
    </w:p>
    <w:p w14:paraId="6019B477" w14:textId="41A3E89E" w:rsidR="00EC631E" w:rsidRDefault="00000000">
      <w:pPr>
        <w:pStyle w:val="TOC1"/>
        <w:rPr>
          <w:rFonts w:eastAsiaTheme="minorEastAsia"/>
          <w:noProof/>
          <w:sz w:val="22"/>
          <w:szCs w:val="22"/>
          <w:lang w:val="en-NZ" w:eastAsia="en-NZ"/>
        </w:rPr>
      </w:pPr>
      <w:hyperlink w:anchor="_Toc111485460" w:history="1">
        <w:r w:rsidR="00EC631E" w:rsidRPr="006C517B">
          <w:rPr>
            <w:rStyle w:val="Hyperlink"/>
            <w:noProof/>
            <w:lang w:val="mi-NZ"/>
          </w:rPr>
          <w:t>Data – LOIPR 16(e) and (f)</w:t>
        </w:r>
        <w:r w:rsidR="00EC631E">
          <w:rPr>
            <w:noProof/>
            <w:webHidden/>
          </w:rPr>
          <w:tab/>
        </w:r>
        <w:r w:rsidR="00EC631E">
          <w:rPr>
            <w:noProof/>
            <w:webHidden/>
          </w:rPr>
          <w:fldChar w:fldCharType="begin"/>
        </w:r>
        <w:r w:rsidR="00EC631E">
          <w:rPr>
            <w:noProof/>
            <w:webHidden/>
          </w:rPr>
          <w:instrText xml:space="preserve"> PAGEREF _Toc111485460 \h </w:instrText>
        </w:r>
        <w:r w:rsidR="00EC631E">
          <w:rPr>
            <w:noProof/>
            <w:webHidden/>
          </w:rPr>
        </w:r>
        <w:r w:rsidR="00EC631E">
          <w:rPr>
            <w:noProof/>
            <w:webHidden/>
          </w:rPr>
          <w:fldChar w:fldCharType="separate"/>
        </w:r>
        <w:r w:rsidR="00EC631E">
          <w:rPr>
            <w:noProof/>
            <w:webHidden/>
          </w:rPr>
          <w:t>59</w:t>
        </w:r>
        <w:r w:rsidR="00EC631E">
          <w:rPr>
            <w:noProof/>
            <w:webHidden/>
          </w:rPr>
          <w:fldChar w:fldCharType="end"/>
        </w:r>
      </w:hyperlink>
    </w:p>
    <w:p w14:paraId="552D117F" w14:textId="1FCEF9CE" w:rsidR="00EC631E" w:rsidRDefault="00000000">
      <w:pPr>
        <w:pStyle w:val="TOC1"/>
        <w:rPr>
          <w:rFonts w:eastAsiaTheme="minorEastAsia"/>
          <w:noProof/>
          <w:sz w:val="22"/>
          <w:szCs w:val="22"/>
          <w:lang w:val="en-NZ" w:eastAsia="en-NZ"/>
        </w:rPr>
      </w:pPr>
      <w:hyperlink w:anchor="_Toc111485461" w:history="1">
        <w:r w:rsidR="00EC631E" w:rsidRPr="006C517B">
          <w:rPr>
            <w:rStyle w:val="Hyperlink"/>
            <w:noProof/>
            <w:lang w:val="mi-NZ"/>
          </w:rPr>
          <w:t>Violence and Abuse of Children in State Care (16(a))</w:t>
        </w:r>
        <w:r w:rsidR="00EC631E">
          <w:rPr>
            <w:noProof/>
            <w:webHidden/>
          </w:rPr>
          <w:tab/>
        </w:r>
        <w:r w:rsidR="00EC631E">
          <w:rPr>
            <w:noProof/>
            <w:webHidden/>
          </w:rPr>
          <w:fldChar w:fldCharType="begin"/>
        </w:r>
        <w:r w:rsidR="00EC631E">
          <w:rPr>
            <w:noProof/>
            <w:webHidden/>
          </w:rPr>
          <w:instrText xml:space="preserve"> PAGEREF _Toc111485461 \h </w:instrText>
        </w:r>
        <w:r w:rsidR="00EC631E">
          <w:rPr>
            <w:noProof/>
            <w:webHidden/>
          </w:rPr>
        </w:r>
        <w:r w:rsidR="00EC631E">
          <w:rPr>
            <w:noProof/>
            <w:webHidden/>
          </w:rPr>
          <w:fldChar w:fldCharType="separate"/>
        </w:r>
        <w:r w:rsidR="00EC631E">
          <w:rPr>
            <w:noProof/>
            <w:webHidden/>
          </w:rPr>
          <w:t>60</w:t>
        </w:r>
        <w:r w:rsidR="00EC631E">
          <w:rPr>
            <w:noProof/>
            <w:webHidden/>
          </w:rPr>
          <w:fldChar w:fldCharType="end"/>
        </w:r>
      </w:hyperlink>
    </w:p>
    <w:p w14:paraId="3D050DED" w14:textId="5F0C92BE" w:rsidR="00EC631E" w:rsidRDefault="00000000">
      <w:pPr>
        <w:pStyle w:val="TOC2"/>
        <w:rPr>
          <w:rFonts w:eastAsiaTheme="minorEastAsia"/>
          <w:noProof/>
          <w:sz w:val="22"/>
          <w:szCs w:val="22"/>
          <w:lang w:val="en-NZ" w:eastAsia="en-NZ"/>
        </w:rPr>
      </w:pPr>
      <w:hyperlink w:anchor="_Toc111485462" w:history="1">
        <w:r w:rsidR="00EC631E" w:rsidRPr="006C517B">
          <w:rPr>
            <w:rStyle w:val="Hyperlink"/>
            <w:noProof/>
          </w:rPr>
          <w:t>Abuse in Care: Royal Commission</w:t>
        </w:r>
        <w:r w:rsidR="00EC631E">
          <w:rPr>
            <w:noProof/>
            <w:webHidden/>
          </w:rPr>
          <w:tab/>
        </w:r>
        <w:r w:rsidR="00EC631E">
          <w:rPr>
            <w:noProof/>
            <w:webHidden/>
          </w:rPr>
          <w:fldChar w:fldCharType="begin"/>
        </w:r>
        <w:r w:rsidR="00EC631E">
          <w:rPr>
            <w:noProof/>
            <w:webHidden/>
          </w:rPr>
          <w:instrText xml:space="preserve"> PAGEREF _Toc111485462 \h </w:instrText>
        </w:r>
        <w:r w:rsidR="00EC631E">
          <w:rPr>
            <w:noProof/>
            <w:webHidden/>
          </w:rPr>
        </w:r>
        <w:r w:rsidR="00EC631E">
          <w:rPr>
            <w:noProof/>
            <w:webHidden/>
          </w:rPr>
          <w:fldChar w:fldCharType="separate"/>
        </w:r>
        <w:r w:rsidR="00EC631E">
          <w:rPr>
            <w:noProof/>
            <w:webHidden/>
          </w:rPr>
          <w:t>62</w:t>
        </w:r>
        <w:r w:rsidR="00EC631E">
          <w:rPr>
            <w:noProof/>
            <w:webHidden/>
          </w:rPr>
          <w:fldChar w:fldCharType="end"/>
        </w:r>
      </w:hyperlink>
    </w:p>
    <w:p w14:paraId="05F4204E" w14:textId="25B632F4" w:rsidR="00EC631E" w:rsidRDefault="00000000">
      <w:pPr>
        <w:pStyle w:val="TOC1"/>
        <w:rPr>
          <w:rFonts w:eastAsiaTheme="minorEastAsia"/>
          <w:noProof/>
          <w:sz w:val="22"/>
          <w:szCs w:val="22"/>
          <w:lang w:val="en-NZ" w:eastAsia="en-NZ"/>
        </w:rPr>
      </w:pPr>
      <w:hyperlink w:anchor="_Toc111485463" w:history="1">
        <w:r w:rsidR="00EC631E" w:rsidRPr="006C517B">
          <w:rPr>
            <w:rStyle w:val="Hyperlink"/>
            <w:noProof/>
          </w:rPr>
          <w:t>Family and Alternative Care – LOIPR 18-20</w:t>
        </w:r>
        <w:r w:rsidR="00EC631E">
          <w:rPr>
            <w:noProof/>
            <w:webHidden/>
          </w:rPr>
          <w:tab/>
        </w:r>
        <w:r w:rsidR="00EC631E">
          <w:rPr>
            <w:noProof/>
            <w:webHidden/>
          </w:rPr>
          <w:fldChar w:fldCharType="begin"/>
        </w:r>
        <w:r w:rsidR="00EC631E">
          <w:rPr>
            <w:noProof/>
            <w:webHidden/>
          </w:rPr>
          <w:instrText xml:space="preserve"> PAGEREF _Toc111485463 \h </w:instrText>
        </w:r>
        <w:r w:rsidR="00EC631E">
          <w:rPr>
            <w:noProof/>
            <w:webHidden/>
          </w:rPr>
        </w:r>
        <w:r w:rsidR="00EC631E">
          <w:rPr>
            <w:noProof/>
            <w:webHidden/>
          </w:rPr>
          <w:fldChar w:fldCharType="separate"/>
        </w:r>
        <w:r w:rsidR="00EC631E">
          <w:rPr>
            <w:noProof/>
            <w:webHidden/>
          </w:rPr>
          <w:t>63</w:t>
        </w:r>
        <w:r w:rsidR="00EC631E">
          <w:rPr>
            <w:noProof/>
            <w:webHidden/>
          </w:rPr>
          <w:fldChar w:fldCharType="end"/>
        </w:r>
      </w:hyperlink>
    </w:p>
    <w:p w14:paraId="018816B3" w14:textId="4BBD5C1F" w:rsidR="00EC631E" w:rsidRDefault="00000000">
      <w:pPr>
        <w:pStyle w:val="TOC2"/>
        <w:rPr>
          <w:rFonts w:eastAsiaTheme="minorEastAsia"/>
          <w:noProof/>
          <w:sz w:val="22"/>
          <w:szCs w:val="22"/>
          <w:lang w:val="en-NZ" w:eastAsia="en-NZ"/>
        </w:rPr>
      </w:pPr>
      <w:hyperlink w:anchor="_Toc111485464" w:history="1">
        <w:r w:rsidR="00EC631E" w:rsidRPr="006C517B">
          <w:rPr>
            <w:rStyle w:val="Hyperlink"/>
            <w:noProof/>
            <w:lang w:val="mi-NZ"/>
          </w:rPr>
          <w:t>Family Environment – LOIPR 18</w:t>
        </w:r>
        <w:r w:rsidR="00EC631E">
          <w:rPr>
            <w:noProof/>
            <w:webHidden/>
          </w:rPr>
          <w:tab/>
        </w:r>
        <w:r w:rsidR="00EC631E">
          <w:rPr>
            <w:noProof/>
            <w:webHidden/>
          </w:rPr>
          <w:fldChar w:fldCharType="begin"/>
        </w:r>
        <w:r w:rsidR="00EC631E">
          <w:rPr>
            <w:noProof/>
            <w:webHidden/>
          </w:rPr>
          <w:instrText xml:space="preserve"> PAGEREF _Toc111485464 \h </w:instrText>
        </w:r>
        <w:r w:rsidR="00EC631E">
          <w:rPr>
            <w:noProof/>
            <w:webHidden/>
          </w:rPr>
        </w:r>
        <w:r w:rsidR="00EC631E">
          <w:rPr>
            <w:noProof/>
            <w:webHidden/>
          </w:rPr>
          <w:fldChar w:fldCharType="separate"/>
        </w:r>
        <w:r w:rsidR="00EC631E">
          <w:rPr>
            <w:noProof/>
            <w:webHidden/>
          </w:rPr>
          <w:t>64</w:t>
        </w:r>
        <w:r w:rsidR="00EC631E">
          <w:rPr>
            <w:noProof/>
            <w:webHidden/>
          </w:rPr>
          <w:fldChar w:fldCharType="end"/>
        </w:r>
      </w:hyperlink>
    </w:p>
    <w:p w14:paraId="5CDB73A5" w14:textId="7E682FD5" w:rsidR="00EC631E" w:rsidRDefault="00000000">
      <w:pPr>
        <w:pStyle w:val="TOC2"/>
        <w:rPr>
          <w:rFonts w:eastAsiaTheme="minorEastAsia"/>
          <w:noProof/>
          <w:sz w:val="22"/>
          <w:szCs w:val="22"/>
          <w:lang w:val="en-NZ" w:eastAsia="en-NZ"/>
        </w:rPr>
      </w:pPr>
      <w:hyperlink w:anchor="_Toc111485465" w:history="1">
        <w:r w:rsidR="00EC631E" w:rsidRPr="006C517B">
          <w:rPr>
            <w:rStyle w:val="Hyperlink"/>
            <w:noProof/>
          </w:rPr>
          <w:t>Children Deprived of a Family Environment – LOIPR 19</w:t>
        </w:r>
        <w:r w:rsidR="00EC631E">
          <w:rPr>
            <w:noProof/>
            <w:webHidden/>
          </w:rPr>
          <w:tab/>
        </w:r>
        <w:r w:rsidR="00EC631E">
          <w:rPr>
            <w:noProof/>
            <w:webHidden/>
          </w:rPr>
          <w:fldChar w:fldCharType="begin"/>
        </w:r>
        <w:r w:rsidR="00EC631E">
          <w:rPr>
            <w:noProof/>
            <w:webHidden/>
          </w:rPr>
          <w:instrText xml:space="preserve"> PAGEREF _Toc111485465 \h </w:instrText>
        </w:r>
        <w:r w:rsidR="00EC631E">
          <w:rPr>
            <w:noProof/>
            <w:webHidden/>
          </w:rPr>
        </w:r>
        <w:r w:rsidR="00EC631E">
          <w:rPr>
            <w:noProof/>
            <w:webHidden/>
          </w:rPr>
          <w:fldChar w:fldCharType="separate"/>
        </w:r>
        <w:r w:rsidR="00EC631E">
          <w:rPr>
            <w:noProof/>
            <w:webHidden/>
          </w:rPr>
          <w:t>66</w:t>
        </w:r>
        <w:r w:rsidR="00EC631E">
          <w:rPr>
            <w:noProof/>
            <w:webHidden/>
          </w:rPr>
          <w:fldChar w:fldCharType="end"/>
        </w:r>
      </w:hyperlink>
    </w:p>
    <w:p w14:paraId="69F057A2" w14:textId="17F36D2C" w:rsidR="00EC631E" w:rsidRDefault="00000000">
      <w:pPr>
        <w:pStyle w:val="TOC2"/>
        <w:rPr>
          <w:rFonts w:eastAsiaTheme="minorEastAsia"/>
          <w:noProof/>
          <w:sz w:val="22"/>
          <w:szCs w:val="22"/>
          <w:lang w:val="en-NZ" w:eastAsia="en-NZ"/>
        </w:rPr>
      </w:pPr>
      <w:hyperlink w:anchor="_Toc111485466" w:history="1">
        <w:r w:rsidR="00EC631E" w:rsidRPr="006C517B">
          <w:rPr>
            <w:rStyle w:val="Hyperlink"/>
            <w:noProof/>
            <w:lang w:val="mi-NZ"/>
          </w:rPr>
          <w:t>Adoption – LOIPR 20</w:t>
        </w:r>
        <w:r w:rsidR="00EC631E">
          <w:rPr>
            <w:noProof/>
            <w:webHidden/>
          </w:rPr>
          <w:tab/>
        </w:r>
        <w:r w:rsidR="00EC631E">
          <w:rPr>
            <w:noProof/>
            <w:webHidden/>
          </w:rPr>
          <w:fldChar w:fldCharType="begin"/>
        </w:r>
        <w:r w:rsidR="00EC631E">
          <w:rPr>
            <w:noProof/>
            <w:webHidden/>
          </w:rPr>
          <w:instrText xml:space="preserve"> PAGEREF _Toc111485466 \h </w:instrText>
        </w:r>
        <w:r w:rsidR="00EC631E">
          <w:rPr>
            <w:noProof/>
            <w:webHidden/>
          </w:rPr>
        </w:r>
        <w:r w:rsidR="00EC631E">
          <w:rPr>
            <w:noProof/>
            <w:webHidden/>
          </w:rPr>
          <w:fldChar w:fldCharType="separate"/>
        </w:r>
        <w:r w:rsidR="00EC631E">
          <w:rPr>
            <w:noProof/>
            <w:webHidden/>
          </w:rPr>
          <w:t>68</w:t>
        </w:r>
        <w:r w:rsidR="00EC631E">
          <w:rPr>
            <w:noProof/>
            <w:webHidden/>
          </w:rPr>
          <w:fldChar w:fldCharType="end"/>
        </w:r>
      </w:hyperlink>
    </w:p>
    <w:p w14:paraId="445ECD39" w14:textId="087D10E9" w:rsidR="00EC631E" w:rsidRDefault="00000000">
      <w:pPr>
        <w:pStyle w:val="TOC2"/>
        <w:rPr>
          <w:rFonts w:eastAsiaTheme="minorEastAsia"/>
          <w:noProof/>
          <w:sz w:val="22"/>
          <w:szCs w:val="22"/>
          <w:lang w:val="en-NZ" w:eastAsia="en-NZ"/>
        </w:rPr>
      </w:pPr>
      <w:hyperlink w:anchor="_Toc111485467" w:history="1">
        <w:r w:rsidR="00EC631E" w:rsidRPr="006C517B">
          <w:rPr>
            <w:rStyle w:val="Hyperlink"/>
            <w:noProof/>
          </w:rPr>
          <w:t>Surrogacy law reform</w:t>
        </w:r>
        <w:r w:rsidR="00EC631E">
          <w:rPr>
            <w:noProof/>
            <w:webHidden/>
          </w:rPr>
          <w:tab/>
        </w:r>
        <w:r w:rsidR="00EC631E">
          <w:rPr>
            <w:noProof/>
            <w:webHidden/>
          </w:rPr>
          <w:fldChar w:fldCharType="begin"/>
        </w:r>
        <w:r w:rsidR="00EC631E">
          <w:rPr>
            <w:noProof/>
            <w:webHidden/>
          </w:rPr>
          <w:instrText xml:space="preserve"> PAGEREF _Toc111485467 \h </w:instrText>
        </w:r>
        <w:r w:rsidR="00EC631E">
          <w:rPr>
            <w:noProof/>
            <w:webHidden/>
          </w:rPr>
        </w:r>
        <w:r w:rsidR="00EC631E">
          <w:rPr>
            <w:noProof/>
            <w:webHidden/>
          </w:rPr>
          <w:fldChar w:fldCharType="separate"/>
        </w:r>
        <w:r w:rsidR="00EC631E">
          <w:rPr>
            <w:noProof/>
            <w:webHidden/>
          </w:rPr>
          <w:t>70</w:t>
        </w:r>
        <w:r w:rsidR="00EC631E">
          <w:rPr>
            <w:noProof/>
            <w:webHidden/>
          </w:rPr>
          <w:fldChar w:fldCharType="end"/>
        </w:r>
      </w:hyperlink>
    </w:p>
    <w:p w14:paraId="03F3E8B7" w14:textId="3D3C61DE" w:rsidR="00EC631E" w:rsidRDefault="00000000">
      <w:pPr>
        <w:pStyle w:val="TOC1"/>
        <w:rPr>
          <w:rFonts w:eastAsiaTheme="minorEastAsia"/>
          <w:noProof/>
          <w:sz w:val="22"/>
          <w:szCs w:val="22"/>
          <w:lang w:val="en-NZ" w:eastAsia="en-NZ"/>
        </w:rPr>
      </w:pPr>
      <w:hyperlink w:anchor="_Toc111485468" w:history="1">
        <w:r w:rsidR="00EC631E" w:rsidRPr="006C517B">
          <w:rPr>
            <w:rStyle w:val="Hyperlink"/>
            <w:noProof/>
          </w:rPr>
          <w:t>Disabled Children – LOIPR 21</w:t>
        </w:r>
        <w:r w:rsidR="00EC631E">
          <w:rPr>
            <w:noProof/>
            <w:webHidden/>
          </w:rPr>
          <w:tab/>
        </w:r>
        <w:r w:rsidR="00EC631E">
          <w:rPr>
            <w:noProof/>
            <w:webHidden/>
          </w:rPr>
          <w:fldChar w:fldCharType="begin"/>
        </w:r>
        <w:r w:rsidR="00EC631E">
          <w:rPr>
            <w:noProof/>
            <w:webHidden/>
          </w:rPr>
          <w:instrText xml:space="preserve"> PAGEREF _Toc111485468 \h </w:instrText>
        </w:r>
        <w:r w:rsidR="00EC631E">
          <w:rPr>
            <w:noProof/>
            <w:webHidden/>
          </w:rPr>
        </w:r>
        <w:r w:rsidR="00EC631E">
          <w:rPr>
            <w:noProof/>
            <w:webHidden/>
          </w:rPr>
          <w:fldChar w:fldCharType="separate"/>
        </w:r>
        <w:r w:rsidR="00EC631E">
          <w:rPr>
            <w:noProof/>
            <w:webHidden/>
          </w:rPr>
          <w:t>71</w:t>
        </w:r>
        <w:r w:rsidR="00EC631E">
          <w:rPr>
            <w:noProof/>
            <w:webHidden/>
          </w:rPr>
          <w:fldChar w:fldCharType="end"/>
        </w:r>
      </w:hyperlink>
    </w:p>
    <w:p w14:paraId="3F336243" w14:textId="23748453" w:rsidR="00EC631E" w:rsidRDefault="00000000">
      <w:pPr>
        <w:pStyle w:val="TOC2"/>
        <w:rPr>
          <w:rFonts w:eastAsiaTheme="minorEastAsia"/>
          <w:noProof/>
          <w:sz w:val="22"/>
          <w:szCs w:val="22"/>
          <w:lang w:val="en-NZ" w:eastAsia="en-NZ"/>
        </w:rPr>
      </w:pPr>
      <w:hyperlink w:anchor="_Toc111485469" w:history="1">
        <w:r w:rsidR="00EC631E" w:rsidRPr="006C517B">
          <w:rPr>
            <w:rStyle w:val="Hyperlink"/>
            <w:noProof/>
            <w:lang w:val="mi-NZ"/>
          </w:rPr>
          <w:t>Ministry for Disabled People and Disability System transformation</w:t>
        </w:r>
        <w:r w:rsidR="00EC631E">
          <w:rPr>
            <w:noProof/>
            <w:webHidden/>
          </w:rPr>
          <w:tab/>
        </w:r>
        <w:r w:rsidR="00EC631E">
          <w:rPr>
            <w:noProof/>
            <w:webHidden/>
          </w:rPr>
          <w:fldChar w:fldCharType="begin"/>
        </w:r>
        <w:r w:rsidR="00EC631E">
          <w:rPr>
            <w:noProof/>
            <w:webHidden/>
          </w:rPr>
          <w:instrText xml:space="preserve"> PAGEREF _Toc111485469 \h </w:instrText>
        </w:r>
        <w:r w:rsidR="00EC631E">
          <w:rPr>
            <w:noProof/>
            <w:webHidden/>
          </w:rPr>
        </w:r>
        <w:r w:rsidR="00EC631E">
          <w:rPr>
            <w:noProof/>
            <w:webHidden/>
          </w:rPr>
          <w:fldChar w:fldCharType="separate"/>
        </w:r>
        <w:r w:rsidR="00EC631E">
          <w:rPr>
            <w:noProof/>
            <w:webHidden/>
          </w:rPr>
          <w:t>73</w:t>
        </w:r>
        <w:r w:rsidR="00EC631E">
          <w:rPr>
            <w:noProof/>
            <w:webHidden/>
          </w:rPr>
          <w:fldChar w:fldCharType="end"/>
        </w:r>
      </w:hyperlink>
    </w:p>
    <w:p w14:paraId="314D7D81" w14:textId="60F3FFE8" w:rsidR="00EC631E" w:rsidRDefault="00000000">
      <w:pPr>
        <w:pStyle w:val="TOC2"/>
        <w:rPr>
          <w:rFonts w:eastAsiaTheme="minorEastAsia"/>
          <w:noProof/>
          <w:sz w:val="22"/>
          <w:szCs w:val="22"/>
          <w:lang w:val="en-NZ" w:eastAsia="en-NZ"/>
        </w:rPr>
      </w:pPr>
      <w:hyperlink w:anchor="_Toc111485470" w:history="1">
        <w:r w:rsidR="00EC631E" w:rsidRPr="006C517B">
          <w:rPr>
            <w:rStyle w:val="Hyperlink"/>
            <w:noProof/>
            <w:lang w:val="mi-NZ"/>
          </w:rPr>
          <w:t>Fetal Alcohol Spectrum Disorder (FASD)</w:t>
        </w:r>
        <w:r w:rsidR="00EC631E">
          <w:rPr>
            <w:noProof/>
            <w:webHidden/>
          </w:rPr>
          <w:tab/>
        </w:r>
        <w:r w:rsidR="00EC631E">
          <w:rPr>
            <w:noProof/>
            <w:webHidden/>
          </w:rPr>
          <w:fldChar w:fldCharType="begin"/>
        </w:r>
        <w:r w:rsidR="00EC631E">
          <w:rPr>
            <w:noProof/>
            <w:webHidden/>
          </w:rPr>
          <w:instrText xml:space="preserve"> PAGEREF _Toc111485470 \h </w:instrText>
        </w:r>
        <w:r w:rsidR="00EC631E">
          <w:rPr>
            <w:noProof/>
            <w:webHidden/>
          </w:rPr>
        </w:r>
        <w:r w:rsidR="00EC631E">
          <w:rPr>
            <w:noProof/>
            <w:webHidden/>
          </w:rPr>
          <w:fldChar w:fldCharType="separate"/>
        </w:r>
        <w:r w:rsidR="00EC631E">
          <w:rPr>
            <w:noProof/>
            <w:webHidden/>
          </w:rPr>
          <w:t>73</w:t>
        </w:r>
        <w:r w:rsidR="00EC631E">
          <w:rPr>
            <w:noProof/>
            <w:webHidden/>
          </w:rPr>
          <w:fldChar w:fldCharType="end"/>
        </w:r>
      </w:hyperlink>
    </w:p>
    <w:p w14:paraId="04D49D8D" w14:textId="3443E28B" w:rsidR="00EC631E" w:rsidRDefault="00000000">
      <w:pPr>
        <w:pStyle w:val="TOC1"/>
        <w:rPr>
          <w:rFonts w:eastAsiaTheme="minorEastAsia"/>
          <w:noProof/>
          <w:sz w:val="22"/>
          <w:szCs w:val="22"/>
          <w:lang w:val="en-NZ" w:eastAsia="en-NZ"/>
        </w:rPr>
      </w:pPr>
      <w:hyperlink w:anchor="_Toc111485471" w:history="1">
        <w:r w:rsidR="00EC631E" w:rsidRPr="006C517B">
          <w:rPr>
            <w:rStyle w:val="Hyperlink"/>
            <w:noProof/>
            <w:lang w:val="mi-NZ"/>
          </w:rPr>
          <w:t>Health and Welfare – LOIPR 22 - 24</w:t>
        </w:r>
        <w:r w:rsidR="00EC631E">
          <w:rPr>
            <w:noProof/>
            <w:webHidden/>
          </w:rPr>
          <w:tab/>
        </w:r>
        <w:r w:rsidR="00EC631E">
          <w:rPr>
            <w:noProof/>
            <w:webHidden/>
          </w:rPr>
          <w:fldChar w:fldCharType="begin"/>
        </w:r>
        <w:r w:rsidR="00EC631E">
          <w:rPr>
            <w:noProof/>
            <w:webHidden/>
          </w:rPr>
          <w:instrText xml:space="preserve"> PAGEREF _Toc111485471 \h </w:instrText>
        </w:r>
        <w:r w:rsidR="00EC631E">
          <w:rPr>
            <w:noProof/>
            <w:webHidden/>
          </w:rPr>
        </w:r>
        <w:r w:rsidR="00EC631E">
          <w:rPr>
            <w:noProof/>
            <w:webHidden/>
          </w:rPr>
          <w:fldChar w:fldCharType="separate"/>
        </w:r>
        <w:r w:rsidR="00EC631E">
          <w:rPr>
            <w:noProof/>
            <w:webHidden/>
          </w:rPr>
          <w:t>75</w:t>
        </w:r>
        <w:r w:rsidR="00EC631E">
          <w:rPr>
            <w:noProof/>
            <w:webHidden/>
          </w:rPr>
          <w:fldChar w:fldCharType="end"/>
        </w:r>
      </w:hyperlink>
    </w:p>
    <w:p w14:paraId="6BACDBF9" w14:textId="1665E0D9" w:rsidR="00EC631E" w:rsidRDefault="00000000">
      <w:pPr>
        <w:pStyle w:val="TOC2"/>
        <w:rPr>
          <w:rFonts w:eastAsiaTheme="minorEastAsia"/>
          <w:noProof/>
          <w:sz w:val="22"/>
          <w:szCs w:val="22"/>
          <w:lang w:val="en-NZ" w:eastAsia="en-NZ"/>
        </w:rPr>
      </w:pPr>
      <w:hyperlink w:anchor="_Toc111485472" w:history="1">
        <w:r w:rsidR="00EC631E" w:rsidRPr="006C517B">
          <w:rPr>
            <w:rStyle w:val="Hyperlink"/>
            <w:noProof/>
          </w:rPr>
          <w:t>Health, Mental Health and Health Services – LOIPR 22</w:t>
        </w:r>
        <w:r w:rsidR="00EC631E">
          <w:rPr>
            <w:noProof/>
            <w:webHidden/>
          </w:rPr>
          <w:tab/>
        </w:r>
        <w:r w:rsidR="00EC631E">
          <w:rPr>
            <w:noProof/>
            <w:webHidden/>
          </w:rPr>
          <w:fldChar w:fldCharType="begin"/>
        </w:r>
        <w:r w:rsidR="00EC631E">
          <w:rPr>
            <w:noProof/>
            <w:webHidden/>
          </w:rPr>
          <w:instrText xml:space="preserve"> PAGEREF _Toc111485472 \h </w:instrText>
        </w:r>
        <w:r w:rsidR="00EC631E">
          <w:rPr>
            <w:noProof/>
            <w:webHidden/>
          </w:rPr>
        </w:r>
        <w:r w:rsidR="00EC631E">
          <w:rPr>
            <w:noProof/>
            <w:webHidden/>
          </w:rPr>
          <w:fldChar w:fldCharType="separate"/>
        </w:r>
        <w:r w:rsidR="00EC631E">
          <w:rPr>
            <w:noProof/>
            <w:webHidden/>
          </w:rPr>
          <w:t>75</w:t>
        </w:r>
        <w:r w:rsidR="00EC631E">
          <w:rPr>
            <w:noProof/>
            <w:webHidden/>
          </w:rPr>
          <w:fldChar w:fldCharType="end"/>
        </w:r>
      </w:hyperlink>
    </w:p>
    <w:p w14:paraId="617FD0AC" w14:textId="1A508560" w:rsidR="00EC631E" w:rsidRDefault="00000000">
      <w:pPr>
        <w:pStyle w:val="TOC1"/>
        <w:rPr>
          <w:rFonts w:eastAsiaTheme="minorEastAsia"/>
          <w:noProof/>
          <w:sz w:val="22"/>
          <w:szCs w:val="22"/>
          <w:lang w:val="en-NZ" w:eastAsia="en-NZ"/>
        </w:rPr>
      </w:pPr>
      <w:hyperlink w:anchor="_Toc111485473" w:history="1">
        <w:r w:rsidR="00EC631E" w:rsidRPr="006C517B">
          <w:rPr>
            <w:rStyle w:val="Hyperlink"/>
            <w:noProof/>
            <w:lang w:val="mi-NZ"/>
          </w:rPr>
          <w:t>Climate Change – LOIPR 23</w:t>
        </w:r>
        <w:r w:rsidR="00EC631E">
          <w:rPr>
            <w:noProof/>
            <w:webHidden/>
          </w:rPr>
          <w:tab/>
        </w:r>
        <w:r w:rsidR="00EC631E">
          <w:rPr>
            <w:noProof/>
            <w:webHidden/>
          </w:rPr>
          <w:fldChar w:fldCharType="begin"/>
        </w:r>
        <w:r w:rsidR="00EC631E">
          <w:rPr>
            <w:noProof/>
            <w:webHidden/>
          </w:rPr>
          <w:instrText xml:space="preserve"> PAGEREF _Toc111485473 \h </w:instrText>
        </w:r>
        <w:r w:rsidR="00EC631E">
          <w:rPr>
            <w:noProof/>
            <w:webHidden/>
          </w:rPr>
        </w:r>
        <w:r w:rsidR="00EC631E">
          <w:rPr>
            <w:noProof/>
            <w:webHidden/>
          </w:rPr>
          <w:fldChar w:fldCharType="separate"/>
        </w:r>
        <w:r w:rsidR="00EC631E">
          <w:rPr>
            <w:noProof/>
            <w:webHidden/>
          </w:rPr>
          <w:t>83</w:t>
        </w:r>
        <w:r w:rsidR="00EC631E">
          <w:rPr>
            <w:noProof/>
            <w:webHidden/>
          </w:rPr>
          <w:fldChar w:fldCharType="end"/>
        </w:r>
      </w:hyperlink>
    </w:p>
    <w:p w14:paraId="7F754201" w14:textId="45342B36" w:rsidR="00EC631E" w:rsidRDefault="00000000">
      <w:pPr>
        <w:pStyle w:val="TOC1"/>
        <w:rPr>
          <w:rFonts w:eastAsiaTheme="minorEastAsia"/>
          <w:noProof/>
          <w:sz w:val="22"/>
          <w:szCs w:val="22"/>
          <w:lang w:val="en-NZ" w:eastAsia="en-NZ"/>
        </w:rPr>
      </w:pPr>
      <w:hyperlink w:anchor="_Toc111485474" w:history="1">
        <w:r w:rsidR="00EC631E" w:rsidRPr="006C517B">
          <w:rPr>
            <w:rStyle w:val="Hyperlink"/>
            <w:noProof/>
            <w:lang w:val="mi-NZ"/>
          </w:rPr>
          <w:t>Standard of Living – LOIPR 24</w:t>
        </w:r>
        <w:r w:rsidR="00EC631E">
          <w:rPr>
            <w:noProof/>
            <w:webHidden/>
          </w:rPr>
          <w:tab/>
        </w:r>
        <w:r w:rsidR="00EC631E">
          <w:rPr>
            <w:noProof/>
            <w:webHidden/>
          </w:rPr>
          <w:fldChar w:fldCharType="begin"/>
        </w:r>
        <w:r w:rsidR="00EC631E">
          <w:rPr>
            <w:noProof/>
            <w:webHidden/>
          </w:rPr>
          <w:instrText xml:space="preserve"> PAGEREF _Toc111485474 \h </w:instrText>
        </w:r>
        <w:r w:rsidR="00EC631E">
          <w:rPr>
            <w:noProof/>
            <w:webHidden/>
          </w:rPr>
        </w:r>
        <w:r w:rsidR="00EC631E">
          <w:rPr>
            <w:noProof/>
            <w:webHidden/>
          </w:rPr>
          <w:fldChar w:fldCharType="separate"/>
        </w:r>
        <w:r w:rsidR="00EC631E">
          <w:rPr>
            <w:noProof/>
            <w:webHidden/>
          </w:rPr>
          <w:t>85</w:t>
        </w:r>
        <w:r w:rsidR="00EC631E">
          <w:rPr>
            <w:noProof/>
            <w:webHidden/>
          </w:rPr>
          <w:fldChar w:fldCharType="end"/>
        </w:r>
      </w:hyperlink>
    </w:p>
    <w:p w14:paraId="5072134D" w14:textId="10096963" w:rsidR="00EC631E" w:rsidRDefault="00000000">
      <w:pPr>
        <w:pStyle w:val="TOC2"/>
        <w:rPr>
          <w:rFonts w:eastAsiaTheme="minorEastAsia"/>
          <w:noProof/>
          <w:sz w:val="22"/>
          <w:szCs w:val="22"/>
          <w:lang w:val="en-NZ" w:eastAsia="en-NZ"/>
        </w:rPr>
      </w:pPr>
      <w:hyperlink w:anchor="_Toc111485475" w:history="1">
        <w:r w:rsidR="00EC631E" w:rsidRPr="006C517B">
          <w:rPr>
            <w:rStyle w:val="Hyperlink"/>
            <w:noProof/>
          </w:rPr>
          <w:t>Child Poverty</w:t>
        </w:r>
        <w:r w:rsidR="00EC631E">
          <w:rPr>
            <w:noProof/>
            <w:webHidden/>
          </w:rPr>
          <w:tab/>
        </w:r>
        <w:r w:rsidR="00EC631E">
          <w:rPr>
            <w:noProof/>
            <w:webHidden/>
          </w:rPr>
          <w:fldChar w:fldCharType="begin"/>
        </w:r>
        <w:r w:rsidR="00EC631E">
          <w:rPr>
            <w:noProof/>
            <w:webHidden/>
          </w:rPr>
          <w:instrText xml:space="preserve"> PAGEREF _Toc111485475 \h </w:instrText>
        </w:r>
        <w:r w:rsidR="00EC631E">
          <w:rPr>
            <w:noProof/>
            <w:webHidden/>
          </w:rPr>
        </w:r>
        <w:r w:rsidR="00EC631E">
          <w:rPr>
            <w:noProof/>
            <w:webHidden/>
          </w:rPr>
          <w:fldChar w:fldCharType="separate"/>
        </w:r>
        <w:r w:rsidR="00EC631E">
          <w:rPr>
            <w:noProof/>
            <w:webHidden/>
          </w:rPr>
          <w:t>85</w:t>
        </w:r>
        <w:r w:rsidR="00EC631E">
          <w:rPr>
            <w:noProof/>
            <w:webHidden/>
          </w:rPr>
          <w:fldChar w:fldCharType="end"/>
        </w:r>
      </w:hyperlink>
    </w:p>
    <w:p w14:paraId="435B6363" w14:textId="3AF9817E" w:rsidR="00EC631E" w:rsidRDefault="00000000">
      <w:pPr>
        <w:pStyle w:val="TOC2"/>
        <w:rPr>
          <w:rFonts w:eastAsiaTheme="minorEastAsia"/>
          <w:noProof/>
          <w:sz w:val="22"/>
          <w:szCs w:val="22"/>
          <w:lang w:val="en-NZ" w:eastAsia="en-NZ"/>
        </w:rPr>
      </w:pPr>
      <w:hyperlink w:anchor="_Toc111485476" w:history="1">
        <w:r w:rsidR="00EC631E" w:rsidRPr="006C517B">
          <w:rPr>
            <w:rStyle w:val="Hyperlink"/>
            <w:noProof/>
            <w:lang w:val="mi-NZ"/>
          </w:rPr>
          <w:t>Benefit Sanctions</w:t>
        </w:r>
        <w:r w:rsidR="00EC631E">
          <w:rPr>
            <w:noProof/>
            <w:webHidden/>
          </w:rPr>
          <w:tab/>
        </w:r>
        <w:r w:rsidR="00EC631E">
          <w:rPr>
            <w:noProof/>
            <w:webHidden/>
          </w:rPr>
          <w:fldChar w:fldCharType="begin"/>
        </w:r>
        <w:r w:rsidR="00EC631E">
          <w:rPr>
            <w:noProof/>
            <w:webHidden/>
          </w:rPr>
          <w:instrText xml:space="preserve"> PAGEREF _Toc111485476 \h </w:instrText>
        </w:r>
        <w:r w:rsidR="00EC631E">
          <w:rPr>
            <w:noProof/>
            <w:webHidden/>
          </w:rPr>
        </w:r>
        <w:r w:rsidR="00EC631E">
          <w:rPr>
            <w:noProof/>
            <w:webHidden/>
          </w:rPr>
          <w:fldChar w:fldCharType="separate"/>
        </w:r>
        <w:r w:rsidR="00EC631E">
          <w:rPr>
            <w:noProof/>
            <w:webHidden/>
          </w:rPr>
          <w:t>88</w:t>
        </w:r>
        <w:r w:rsidR="00EC631E">
          <w:rPr>
            <w:noProof/>
            <w:webHidden/>
          </w:rPr>
          <w:fldChar w:fldCharType="end"/>
        </w:r>
      </w:hyperlink>
    </w:p>
    <w:p w14:paraId="2400B4D1" w14:textId="5357FCB2" w:rsidR="00EC631E" w:rsidRDefault="00000000">
      <w:pPr>
        <w:pStyle w:val="TOC2"/>
        <w:rPr>
          <w:rFonts w:eastAsiaTheme="minorEastAsia"/>
          <w:noProof/>
          <w:sz w:val="22"/>
          <w:szCs w:val="22"/>
          <w:lang w:val="en-NZ" w:eastAsia="en-NZ"/>
        </w:rPr>
      </w:pPr>
      <w:hyperlink w:anchor="_Toc111485477" w:history="1">
        <w:r w:rsidR="00EC631E" w:rsidRPr="006C517B">
          <w:rPr>
            <w:rStyle w:val="Hyperlink"/>
            <w:noProof/>
            <w:lang w:val="mi-NZ"/>
          </w:rPr>
          <w:t>Housing</w:t>
        </w:r>
        <w:r w:rsidR="00EC631E">
          <w:rPr>
            <w:noProof/>
            <w:webHidden/>
          </w:rPr>
          <w:tab/>
        </w:r>
        <w:r w:rsidR="00EC631E">
          <w:rPr>
            <w:noProof/>
            <w:webHidden/>
          </w:rPr>
          <w:fldChar w:fldCharType="begin"/>
        </w:r>
        <w:r w:rsidR="00EC631E">
          <w:rPr>
            <w:noProof/>
            <w:webHidden/>
          </w:rPr>
          <w:instrText xml:space="preserve"> PAGEREF _Toc111485477 \h </w:instrText>
        </w:r>
        <w:r w:rsidR="00EC631E">
          <w:rPr>
            <w:noProof/>
            <w:webHidden/>
          </w:rPr>
        </w:r>
        <w:r w:rsidR="00EC631E">
          <w:rPr>
            <w:noProof/>
            <w:webHidden/>
          </w:rPr>
          <w:fldChar w:fldCharType="separate"/>
        </w:r>
        <w:r w:rsidR="00EC631E">
          <w:rPr>
            <w:noProof/>
            <w:webHidden/>
          </w:rPr>
          <w:t>88</w:t>
        </w:r>
        <w:r w:rsidR="00EC631E">
          <w:rPr>
            <w:noProof/>
            <w:webHidden/>
          </w:rPr>
          <w:fldChar w:fldCharType="end"/>
        </w:r>
      </w:hyperlink>
    </w:p>
    <w:p w14:paraId="4A258653" w14:textId="2E9403E6" w:rsidR="00EC631E" w:rsidRDefault="00000000">
      <w:pPr>
        <w:pStyle w:val="TOC2"/>
        <w:rPr>
          <w:rFonts w:eastAsiaTheme="minorEastAsia"/>
          <w:noProof/>
          <w:sz w:val="22"/>
          <w:szCs w:val="22"/>
          <w:lang w:val="en-NZ" w:eastAsia="en-NZ"/>
        </w:rPr>
      </w:pPr>
      <w:hyperlink w:anchor="_Toc111485478" w:history="1">
        <w:r w:rsidR="00EC631E" w:rsidRPr="006C517B">
          <w:rPr>
            <w:rStyle w:val="Hyperlink"/>
            <w:noProof/>
            <w:lang w:val="mi-NZ"/>
          </w:rPr>
          <w:t>Food Security – LOIPR 24(d)</w:t>
        </w:r>
        <w:r w:rsidR="00EC631E">
          <w:rPr>
            <w:noProof/>
            <w:webHidden/>
          </w:rPr>
          <w:tab/>
        </w:r>
        <w:r w:rsidR="00EC631E">
          <w:rPr>
            <w:noProof/>
            <w:webHidden/>
          </w:rPr>
          <w:fldChar w:fldCharType="begin"/>
        </w:r>
        <w:r w:rsidR="00EC631E">
          <w:rPr>
            <w:noProof/>
            <w:webHidden/>
          </w:rPr>
          <w:instrText xml:space="preserve"> PAGEREF _Toc111485478 \h </w:instrText>
        </w:r>
        <w:r w:rsidR="00EC631E">
          <w:rPr>
            <w:noProof/>
            <w:webHidden/>
          </w:rPr>
        </w:r>
        <w:r w:rsidR="00EC631E">
          <w:rPr>
            <w:noProof/>
            <w:webHidden/>
          </w:rPr>
          <w:fldChar w:fldCharType="separate"/>
        </w:r>
        <w:r w:rsidR="00EC631E">
          <w:rPr>
            <w:noProof/>
            <w:webHidden/>
          </w:rPr>
          <w:t>90</w:t>
        </w:r>
        <w:r w:rsidR="00EC631E">
          <w:rPr>
            <w:noProof/>
            <w:webHidden/>
          </w:rPr>
          <w:fldChar w:fldCharType="end"/>
        </w:r>
      </w:hyperlink>
    </w:p>
    <w:p w14:paraId="1C9EF42C" w14:textId="1F66D9DD" w:rsidR="00EC631E" w:rsidRDefault="00000000">
      <w:pPr>
        <w:pStyle w:val="TOC1"/>
        <w:rPr>
          <w:rFonts w:eastAsiaTheme="minorEastAsia"/>
          <w:noProof/>
          <w:sz w:val="22"/>
          <w:szCs w:val="22"/>
          <w:lang w:val="en-NZ" w:eastAsia="en-NZ"/>
        </w:rPr>
      </w:pPr>
      <w:hyperlink w:anchor="_Toc111485479" w:history="1">
        <w:r w:rsidR="00EC631E" w:rsidRPr="006C517B">
          <w:rPr>
            <w:rStyle w:val="Hyperlink"/>
            <w:noProof/>
          </w:rPr>
          <w:t>Education, Recreation and Culture – LOIPR 25</w:t>
        </w:r>
        <w:r w:rsidR="00EC631E">
          <w:rPr>
            <w:noProof/>
            <w:webHidden/>
          </w:rPr>
          <w:tab/>
        </w:r>
        <w:r w:rsidR="00EC631E">
          <w:rPr>
            <w:noProof/>
            <w:webHidden/>
          </w:rPr>
          <w:fldChar w:fldCharType="begin"/>
        </w:r>
        <w:r w:rsidR="00EC631E">
          <w:rPr>
            <w:noProof/>
            <w:webHidden/>
          </w:rPr>
          <w:instrText xml:space="preserve"> PAGEREF _Toc111485479 \h </w:instrText>
        </w:r>
        <w:r w:rsidR="00EC631E">
          <w:rPr>
            <w:noProof/>
            <w:webHidden/>
          </w:rPr>
        </w:r>
        <w:r w:rsidR="00EC631E">
          <w:rPr>
            <w:noProof/>
            <w:webHidden/>
          </w:rPr>
          <w:fldChar w:fldCharType="separate"/>
        </w:r>
        <w:r w:rsidR="00EC631E">
          <w:rPr>
            <w:noProof/>
            <w:webHidden/>
          </w:rPr>
          <w:t>91</w:t>
        </w:r>
        <w:r w:rsidR="00EC631E">
          <w:rPr>
            <w:noProof/>
            <w:webHidden/>
          </w:rPr>
          <w:fldChar w:fldCharType="end"/>
        </w:r>
      </w:hyperlink>
    </w:p>
    <w:p w14:paraId="190A038B" w14:textId="098FCCBB" w:rsidR="00EC631E" w:rsidRDefault="00000000">
      <w:pPr>
        <w:pStyle w:val="TOC2"/>
        <w:rPr>
          <w:rFonts w:eastAsiaTheme="minorEastAsia"/>
          <w:noProof/>
          <w:sz w:val="22"/>
          <w:szCs w:val="22"/>
          <w:lang w:val="en-NZ" w:eastAsia="en-NZ"/>
        </w:rPr>
      </w:pPr>
      <w:hyperlink w:anchor="_Toc111485480" w:history="1">
        <w:r w:rsidR="00EC631E" w:rsidRPr="006C517B">
          <w:rPr>
            <w:rStyle w:val="Hyperlink"/>
            <w:noProof/>
          </w:rPr>
          <w:t>Ongoing impact of COVID lockdowns on education</w:t>
        </w:r>
        <w:r w:rsidR="00EC631E">
          <w:rPr>
            <w:noProof/>
            <w:webHidden/>
          </w:rPr>
          <w:tab/>
        </w:r>
        <w:r w:rsidR="00EC631E">
          <w:rPr>
            <w:noProof/>
            <w:webHidden/>
          </w:rPr>
          <w:fldChar w:fldCharType="begin"/>
        </w:r>
        <w:r w:rsidR="00EC631E">
          <w:rPr>
            <w:noProof/>
            <w:webHidden/>
          </w:rPr>
          <w:instrText xml:space="preserve"> PAGEREF _Toc111485480 \h </w:instrText>
        </w:r>
        <w:r w:rsidR="00EC631E">
          <w:rPr>
            <w:noProof/>
            <w:webHidden/>
          </w:rPr>
        </w:r>
        <w:r w:rsidR="00EC631E">
          <w:rPr>
            <w:noProof/>
            <w:webHidden/>
          </w:rPr>
          <w:fldChar w:fldCharType="separate"/>
        </w:r>
        <w:r w:rsidR="00EC631E">
          <w:rPr>
            <w:noProof/>
            <w:webHidden/>
          </w:rPr>
          <w:t>91</w:t>
        </w:r>
        <w:r w:rsidR="00EC631E">
          <w:rPr>
            <w:noProof/>
            <w:webHidden/>
          </w:rPr>
          <w:fldChar w:fldCharType="end"/>
        </w:r>
      </w:hyperlink>
    </w:p>
    <w:p w14:paraId="3036B0E2" w14:textId="7E34DD0E" w:rsidR="00EC631E" w:rsidRDefault="00000000">
      <w:pPr>
        <w:pStyle w:val="TOC2"/>
        <w:rPr>
          <w:rFonts w:eastAsiaTheme="minorEastAsia"/>
          <w:noProof/>
          <w:sz w:val="22"/>
          <w:szCs w:val="22"/>
          <w:lang w:val="en-NZ" w:eastAsia="en-NZ"/>
        </w:rPr>
      </w:pPr>
      <w:hyperlink w:anchor="_Toc111485481" w:history="1">
        <w:r w:rsidR="00EC631E" w:rsidRPr="006C517B">
          <w:rPr>
            <w:rStyle w:val="Hyperlink"/>
            <w:noProof/>
          </w:rPr>
          <w:t>School attendance</w:t>
        </w:r>
        <w:r w:rsidR="00EC631E">
          <w:rPr>
            <w:noProof/>
            <w:webHidden/>
          </w:rPr>
          <w:tab/>
        </w:r>
        <w:r w:rsidR="00EC631E">
          <w:rPr>
            <w:noProof/>
            <w:webHidden/>
          </w:rPr>
          <w:fldChar w:fldCharType="begin"/>
        </w:r>
        <w:r w:rsidR="00EC631E">
          <w:rPr>
            <w:noProof/>
            <w:webHidden/>
          </w:rPr>
          <w:instrText xml:space="preserve"> PAGEREF _Toc111485481 \h </w:instrText>
        </w:r>
        <w:r w:rsidR="00EC631E">
          <w:rPr>
            <w:noProof/>
            <w:webHidden/>
          </w:rPr>
        </w:r>
        <w:r w:rsidR="00EC631E">
          <w:rPr>
            <w:noProof/>
            <w:webHidden/>
          </w:rPr>
          <w:fldChar w:fldCharType="separate"/>
        </w:r>
        <w:r w:rsidR="00EC631E">
          <w:rPr>
            <w:noProof/>
            <w:webHidden/>
          </w:rPr>
          <w:t>92</w:t>
        </w:r>
        <w:r w:rsidR="00EC631E">
          <w:rPr>
            <w:noProof/>
            <w:webHidden/>
          </w:rPr>
          <w:fldChar w:fldCharType="end"/>
        </w:r>
      </w:hyperlink>
    </w:p>
    <w:p w14:paraId="3D2C8938" w14:textId="4D1053DA" w:rsidR="00EC631E" w:rsidRDefault="00000000">
      <w:pPr>
        <w:pStyle w:val="TOC2"/>
        <w:rPr>
          <w:rFonts w:eastAsiaTheme="minorEastAsia"/>
          <w:noProof/>
          <w:sz w:val="22"/>
          <w:szCs w:val="22"/>
          <w:lang w:val="en-NZ" w:eastAsia="en-NZ"/>
        </w:rPr>
      </w:pPr>
      <w:hyperlink w:anchor="_Toc111485482" w:history="1">
        <w:r w:rsidR="00EC631E" w:rsidRPr="006C517B">
          <w:rPr>
            <w:rStyle w:val="Hyperlink"/>
            <w:noProof/>
          </w:rPr>
          <w:t>Review of the Education Act and Curriculum – LOIPR 25(a)</w:t>
        </w:r>
        <w:r w:rsidR="00EC631E">
          <w:rPr>
            <w:noProof/>
            <w:webHidden/>
          </w:rPr>
          <w:tab/>
        </w:r>
        <w:r w:rsidR="00EC631E">
          <w:rPr>
            <w:noProof/>
            <w:webHidden/>
          </w:rPr>
          <w:fldChar w:fldCharType="begin"/>
        </w:r>
        <w:r w:rsidR="00EC631E">
          <w:rPr>
            <w:noProof/>
            <w:webHidden/>
          </w:rPr>
          <w:instrText xml:space="preserve"> PAGEREF _Toc111485482 \h </w:instrText>
        </w:r>
        <w:r w:rsidR="00EC631E">
          <w:rPr>
            <w:noProof/>
            <w:webHidden/>
          </w:rPr>
        </w:r>
        <w:r w:rsidR="00EC631E">
          <w:rPr>
            <w:noProof/>
            <w:webHidden/>
          </w:rPr>
          <w:fldChar w:fldCharType="separate"/>
        </w:r>
        <w:r w:rsidR="00EC631E">
          <w:rPr>
            <w:noProof/>
            <w:webHidden/>
          </w:rPr>
          <w:t>93</w:t>
        </w:r>
        <w:r w:rsidR="00EC631E">
          <w:rPr>
            <w:noProof/>
            <w:webHidden/>
          </w:rPr>
          <w:fldChar w:fldCharType="end"/>
        </w:r>
      </w:hyperlink>
    </w:p>
    <w:p w14:paraId="70990F3E" w14:textId="05EB38AA" w:rsidR="00EC631E" w:rsidRDefault="00000000">
      <w:pPr>
        <w:pStyle w:val="TOC2"/>
        <w:rPr>
          <w:rFonts w:eastAsiaTheme="minorEastAsia"/>
          <w:noProof/>
          <w:sz w:val="22"/>
          <w:szCs w:val="22"/>
          <w:lang w:val="en-NZ" w:eastAsia="en-NZ"/>
        </w:rPr>
      </w:pPr>
      <w:hyperlink w:anchor="_Toc111485483" w:history="1">
        <w:r w:rsidR="00EC631E" w:rsidRPr="006C517B">
          <w:rPr>
            <w:rStyle w:val="Hyperlink"/>
            <w:noProof/>
            <w:lang w:val="mi-NZ"/>
          </w:rPr>
          <w:t>Inclusive education</w:t>
        </w:r>
        <w:r w:rsidR="00EC631E">
          <w:rPr>
            <w:noProof/>
            <w:webHidden/>
          </w:rPr>
          <w:tab/>
        </w:r>
        <w:r w:rsidR="00EC631E">
          <w:rPr>
            <w:noProof/>
            <w:webHidden/>
          </w:rPr>
          <w:fldChar w:fldCharType="begin"/>
        </w:r>
        <w:r w:rsidR="00EC631E">
          <w:rPr>
            <w:noProof/>
            <w:webHidden/>
          </w:rPr>
          <w:instrText xml:space="preserve"> PAGEREF _Toc111485483 \h </w:instrText>
        </w:r>
        <w:r w:rsidR="00EC631E">
          <w:rPr>
            <w:noProof/>
            <w:webHidden/>
          </w:rPr>
        </w:r>
        <w:r w:rsidR="00EC631E">
          <w:rPr>
            <w:noProof/>
            <w:webHidden/>
          </w:rPr>
          <w:fldChar w:fldCharType="separate"/>
        </w:r>
        <w:r w:rsidR="00EC631E">
          <w:rPr>
            <w:noProof/>
            <w:webHidden/>
          </w:rPr>
          <w:t>94</w:t>
        </w:r>
        <w:r w:rsidR="00EC631E">
          <w:rPr>
            <w:noProof/>
            <w:webHidden/>
          </w:rPr>
          <w:fldChar w:fldCharType="end"/>
        </w:r>
      </w:hyperlink>
    </w:p>
    <w:p w14:paraId="3AEABEED" w14:textId="52E6CB92" w:rsidR="00EC631E" w:rsidRDefault="00000000">
      <w:pPr>
        <w:pStyle w:val="TOC2"/>
        <w:rPr>
          <w:rFonts w:eastAsiaTheme="minorEastAsia"/>
          <w:noProof/>
          <w:sz w:val="22"/>
          <w:szCs w:val="22"/>
          <w:lang w:val="en-NZ" w:eastAsia="en-NZ"/>
        </w:rPr>
      </w:pPr>
      <w:hyperlink w:anchor="_Toc111485484" w:history="1">
        <w:r w:rsidR="00EC631E" w:rsidRPr="006C517B">
          <w:rPr>
            <w:rStyle w:val="Hyperlink"/>
            <w:noProof/>
            <w:lang w:val="mi-NZ"/>
          </w:rPr>
          <w:t>Disciplinary procedures</w:t>
        </w:r>
        <w:r w:rsidR="00EC631E">
          <w:rPr>
            <w:noProof/>
            <w:webHidden/>
          </w:rPr>
          <w:tab/>
        </w:r>
        <w:r w:rsidR="00EC631E">
          <w:rPr>
            <w:noProof/>
            <w:webHidden/>
          </w:rPr>
          <w:fldChar w:fldCharType="begin"/>
        </w:r>
        <w:r w:rsidR="00EC631E">
          <w:rPr>
            <w:noProof/>
            <w:webHidden/>
          </w:rPr>
          <w:instrText xml:space="preserve"> PAGEREF _Toc111485484 \h </w:instrText>
        </w:r>
        <w:r w:rsidR="00EC631E">
          <w:rPr>
            <w:noProof/>
            <w:webHidden/>
          </w:rPr>
        </w:r>
        <w:r w:rsidR="00EC631E">
          <w:rPr>
            <w:noProof/>
            <w:webHidden/>
          </w:rPr>
          <w:fldChar w:fldCharType="separate"/>
        </w:r>
        <w:r w:rsidR="00EC631E">
          <w:rPr>
            <w:noProof/>
            <w:webHidden/>
          </w:rPr>
          <w:t>95</w:t>
        </w:r>
        <w:r w:rsidR="00EC631E">
          <w:rPr>
            <w:noProof/>
            <w:webHidden/>
          </w:rPr>
          <w:fldChar w:fldCharType="end"/>
        </w:r>
      </w:hyperlink>
    </w:p>
    <w:p w14:paraId="5AAB583F" w14:textId="5D50C535" w:rsidR="00EC631E" w:rsidRDefault="00000000">
      <w:pPr>
        <w:pStyle w:val="TOC1"/>
        <w:rPr>
          <w:rFonts w:eastAsiaTheme="minorEastAsia"/>
          <w:noProof/>
          <w:sz w:val="22"/>
          <w:szCs w:val="22"/>
          <w:lang w:val="en-NZ" w:eastAsia="en-NZ"/>
        </w:rPr>
      </w:pPr>
      <w:hyperlink w:anchor="_Toc111485485" w:history="1">
        <w:r w:rsidR="00EC631E" w:rsidRPr="006C517B">
          <w:rPr>
            <w:rStyle w:val="Hyperlink"/>
            <w:noProof/>
          </w:rPr>
          <w:t>Special Protection Measures – LOIPR 26-29</w:t>
        </w:r>
        <w:r w:rsidR="00EC631E">
          <w:rPr>
            <w:noProof/>
            <w:webHidden/>
          </w:rPr>
          <w:tab/>
        </w:r>
        <w:r w:rsidR="00EC631E">
          <w:rPr>
            <w:noProof/>
            <w:webHidden/>
          </w:rPr>
          <w:fldChar w:fldCharType="begin"/>
        </w:r>
        <w:r w:rsidR="00EC631E">
          <w:rPr>
            <w:noProof/>
            <w:webHidden/>
          </w:rPr>
          <w:instrText xml:space="preserve"> PAGEREF _Toc111485485 \h </w:instrText>
        </w:r>
        <w:r w:rsidR="00EC631E">
          <w:rPr>
            <w:noProof/>
            <w:webHidden/>
          </w:rPr>
        </w:r>
        <w:r w:rsidR="00EC631E">
          <w:rPr>
            <w:noProof/>
            <w:webHidden/>
          </w:rPr>
          <w:fldChar w:fldCharType="separate"/>
        </w:r>
        <w:r w:rsidR="00EC631E">
          <w:rPr>
            <w:noProof/>
            <w:webHidden/>
          </w:rPr>
          <w:t>96</w:t>
        </w:r>
        <w:r w:rsidR="00EC631E">
          <w:rPr>
            <w:noProof/>
            <w:webHidden/>
          </w:rPr>
          <w:fldChar w:fldCharType="end"/>
        </w:r>
      </w:hyperlink>
    </w:p>
    <w:p w14:paraId="7A655408" w14:textId="5F96DF36" w:rsidR="00EC631E" w:rsidRDefault="00000000">
      <w:pPr>
        <w:pStyle w:val="TOC2"/>
        <w:rPr>
          <w:rFonts w:eastAsiaTheme="minorEastAsia"/>
          <w:noProof/>
          <w:sz w:val="22"/>
          <w:szCs w:val="22"/>
          <w:lang w:val="en-NZ" w:eastAsia="en-NZ"/>
        </w:rPr>
      </w:pPr>
      <w:hyperlink w:anchor="_Toc111485486" w:history="1">
        <w:r w:rsidR="00EC631E" w:rsidRPr="006C517B">
          <w:rPr>
            <w:rStyle w:val="Hyperlink"/>
            <w:noProof/>
          </w:rPr>
          <w:t>Asylum-seeking, Refugee and Migrant Children – LOIPR 26</w:t>
        </w:r>
        <w:r w:rsidR="00EC631E">
          <w:rPr>
            <w:noProof/>
            <w:webHidden/>
          </w:rPr>
          <w:tab/>
        </w:r>
        <w:r w:rsidR="00EC631E">
          <w:rPr>
            <w:noProof/>
            <w:webHidden/>
          </w:rPr>
          <w:fldChar w:fldCharType="begin"/>
        </w:r>
        <w:r w:rsidR="00EC631E">
          <w:rPr>
            <w:noProof/>
            <w:webHidden/>
          </w:rPr>
          <w:instrText xml:space="preserve"> PAGEREF _Toc111485486 \h </w:instrText>
        </w:r>
        <w:r w:rsidR="00EC631E">
          <w:rPr>
            <w:noProof/>
            <w:webHidden/>
          </w:rPr>
        </w:r>
        <w:r w:rsidR="00EC631E">
          <w:rPr>
            <w:noProof/>
            <w:webHidden/>
          </w:rPr>
          <w:fldChar w:fldCharType="separate"/>
        </w:r>
        <w:r w:rsidR="00EC631E">
          <w:rPr>
            <w:noProof/>
            <w:webHidden/>
          </w:rPr>
          <w:t>96</w:t>
        </w:r>
        <w:r w:rsidR="00EC631E">
          <w:rPr>
            <w:noProof/>
            <w:webHidden/>
          </w:rPr>
          <w:fldChar w:fldCharType="end"/>
        </w:r>
      </w:hyperlink>
    </w:p>
    <w:p w14:paraId="1C55AD5F" w14:textId="02F9B4E7" w:rsidR="00EC631E" w:rsidRDefault="00000000">
      <w:pPr>
        <w:pStyle w:val="TOC2"/>
        <w:rPr>
          <w:rFonts w:eastAsiaTheme="minorEastAsia"/>
          <w:noProof/>
          <w:sz w:val="22"/>
          <w:szCs w:val="22"/>
          <w:lang w:val="en-NZ" w:eastAsia="en-NZ"/>
        </w:rPr>
      </w:pPr>
      <w:hyperlink w:anchor="_Toc111485487" w:history="1">
        <w:r w:rsidR="00EC631E" w:rsidRPr="006C517B">
          <w:rPr>
            <w:rStyle w:val="Hyperlink"/>
            <w:noProof/>
          </w:rPr>
          <w:t>Tamariki Māori – indigenous children – LOIPR 27</w:t>
        </w:r>
        <w:r w:rsidR="00EC631E">
          <w:rPr>
            <w:noProof/>
            <w:webHidden/>
          </w:rPr>
          <w:tab/>
        </w:r>
        <w:r w:rsidR="00EC631E">
          <w:rPr>
            <w:noProof/>
            <w:webHidden/>
          </w:rPr>
          <w:fldChar w:fldCharType="begin"/>
        </w:r>
        <w:r w:rsidR="00EC631E">
          <w:rPr>
            <w:noProof/>
            <w:webHidden/>
          </w:rPr>
          <w:instrText xml:space="preserve"> PAGEREF _Toc111485487 \h </w:instrText>
        </w:r>
        <w:r w:rsidR="00EC631E">
          <w:rPr>
            <w:noProof/>
            <w:webHidden/>
          </w:rPr>
        </w:r>
        <w:r w:rsidR="00EC631E">
          <w:rPr>
            <w:noProof/>
            <w:webHidden/>
          </w:rPr>
          <w:fldChar w:fldCharType="separate"/>
        </w:r>
        <w:r w:rsidR="00EC631E">
          <w:rPr>
            <w:noProof/>
            <w:webHidden/>
          </w:rPr>
          <w:t>97</w:t>
        </w:r>
        <w:r w:rsidR="00EC631E">
          <w:rPr>
            <w:noProof/>
            <w:webHidden/>
          </w:rPr>
          <w:fldChar w:fldCharType="end"/>
        </w:r>
      </w:hyperlink>
    </w:p>
    <w:p w14:paraId="1DE8CFBC" w14:textId="5B5332BB" w:rsidR="00EC631E" w:rsidRDefault="00000000">
      <w:pPr>
        <w:pStyle w:val="TOC2"/>
        <w:rPr>
          <w:rFonts w:eastAsiaTheme="minorEastAsia"/>
          <w:noProof/>
          <w:sz w:val="22"/>
          <w:szCs w:val="22"/>
          <w:lang w:val="en-NZ" w:eastAsia="en-NZ"/>
        </w:rPr>
      </w:pPr>
      <w:hyperlink w:anchor="_Toc111485488" w:history="1">
        <w:r w:rsidR="00EC631E" w:rsidRPr="006C517B">
          <w:rPr>
            <w:rStyle w:val="Hyperlink"/>
            <w:noProof/>
          </w:rPr>
          <w:t>Children Belonging to Minority Groups – LOIPR 27</w:t>
        </w:r>
        <w:r w:rsidR="00EC631E">
          <w:rPr>
            <w:noProof/>
            <w:webHidden/>
          </w:rPr>
          <w:tab/>
        </w:r>
        <w:r w:rsidR="00EC631E">
          <w:rPr>
            <w:noProof/>
            <w:webHidden/>
          </w:rPr>
          <w:fldChar w:fldCharType="begin"/>
        </w:r>
        <w:r w:rsidR="00EC631E">
          <w:rPr>
            <w:noProof/>
            <w:webHidden/>
          </w:rPr>
          <w:instrText xml:space="preserve"> PAGEREF _Toc111485488 \h </w:instrText>
        </w:r>
        <w:r w:rsidR="00EC631E">
          <w:rPr>
            <w:noProof/>
            <w:webHidden/>
          </w:rPr>
        </w:r>
        <w:r w:rsidR="00EC631E">
          <w:rPr>
            <w:noProof/>
            <w:webHidden/>
          </w:rPr>
          <w:fldChar w:fldCharType="separate"/>
        </w:r>
        <w:r w:rsidR="00EC631E">
          <w:rPr>
            <w:noProof/>
            <w:webHidden/>
          </w:rPr>
          <w:t>97</w:t>
        </w:r>
        <w:r w:rsidR="00EC631E">
          <w:rPr>
            <w:noProof/>
            <w:webHidden/>
          </w:rPr>
          <w:fldChar w:fldCharType="end"/>
        </w:r>
      </w:hyperlink>
    </w:p>
    <w:p w14:paraId="077617F2" w14:textId="1367727F" w:rsidR="00EC631E" w:rsidRDefault="00000000">
      <w:pPr>
        <w:pStyle w:val="TOC1"/>
        <w:rPr>
          <w:rFonts w:eastAsiaTheme="minorEastAsia"/>
          <w:noProof/>
          <w:sz w:val="22"/>
          <w:szCs w:val="22"/>
          <w:lang w:val="en-NZ" w:eastAsia="en-NZ"/>
        </w:rPr>
      </w:pPr>
      <w:hyperlink w:anchor="_Toc111485489" w:history="1">
        <w:r w:rsidR="00EC631E" w:rsidRPr="006C517B">
          <w:rPr>
            <w:rStyle w:val="Hyperlink"/>
            <w:noProof/>
            <w:lang w:val="mi-NZ"/>
          </w:rPr>
          <w:t>Children who Work – LOIPR 28</w:t>
        </w:r>
        <w:r w:rsidR="00EC631E">
          <w:rPr>
            <w:noProof/>
            <w:webHidden/>
          </w:rPr>
          <w:tab/>
        </w:r>
        <w:r w:rsidR="00EC631E">
          <w:rPr>
            <w:noProof/>
            <w:webHidden/>
          </w:rPr>
          <w:fldChar w:fldCharType="begin"/>
        </w:r>
        <w:r w:rsidR="00EC631E">
          <w:rPr>
            <w:noProof/>
            <w:webHidden/>
          </w:rPr>
          <w:instrText xml:space="preserve"> PAGEREF _Toc111485489 \h </w:instrText>
        </w:r>
        <w:r w:rsidR="00EC631E">
          <w:rPr>
            <w:noProof/>
            <w:webHidden/>
          </w:rPr>
        </w:r>
        <w:r w:rsidR="00EC631E">
          <w:rPr>
            <w:noProof/>
            <w:webHidden/>
          </w:rPr>
          <w:fldChar w:fldCharType="separate"/>
        </w:r>
        <w:r w:rsidR="00EC631E">
          <w:rPr>
            <w:noProof/>
            <w:webHidden/>
          </w:rPr>
          <w:t>98</w:t>
        </w:r>
        <w:r w:rsidR="00EC631E">
          <w:rPr>
            <w:noProof/>
            <w:webHidden/>
          </w:rPr>
          <w:fldChar w:fldCharType="end"/>
        </w:r>
      </w:hyperlink>
    </w:p>
    <w:p w14:paraId="58815EAD" w14:textId="6D36D3CA" w:rsidR="00EC631E" w:rsidRDefault="00000000">
      <w:pPr>
        <w:pStyle w:val="TOC1"/>
        <w:rPr>
          <w:rFonts w:eastAsiaTheme="minorEastAsia"/>
          <w:noProof/>
          <w:sz w:val="22"/>
          <w:szCs w:val="22"/>
          <w:lang w:val="en-NZ" w:eastAsia="en-NZ"/>
        </w:rPr>
      </w:pPr>
      <w:hyperlink w:anchor="_Toc111485490" w:history="1">
        <w:r w:rsidR="00EC631E" w:rsidRPr="006C517B">
          <w:rPr>
            <w:rStyle w:val="Hyperlink"/>
            <w:noProof/>
            <w:lang w:val="mi-NZ"/>
          </w:rPr>
          <w:t>Youth Justice – LOIPR 29</w:t>
        </w:r>
        <w:r w:rsidR="00EC631E">
          <w:rPr>
            <w:noProof/>
            <w:webHidden/>
          </w:rPr>
          <w:tab/>
        </w:r>
        <w:r w:rsidR="00EC631E">
          <w:rPr>
            <w:noProof/>
            <w:webHidden/>
          </w:rPr>
          <w:fldChar w:fldCharType="begin"/>
        </w:r>
        <w:r w:rsidR="00EC631E">
          <w:rPr>
            <w:noProof/>
            <w:webHidden/>
          </w:rPr>
          <w:instrText xml:space="preserve"> PAGEREF _Toc111485490 \h </w:instrText>
        </w:r>
        <w:r w:rsidR="00EC631E">
          <w:rPr>
            <w:noProof/>
            <w:webHidden/>
          </w:rPr>
        </w:r>
        <w:r w:rsidR="00EC631E">
          <w:rPr>
            <w:noProof/>
            <w:webHidden/>
          </w:rPr>
          <w:fldChar w:fldCharType="separate"/>
        </w:r>
        <w:r w:rsidR="00EC631E">
          <w:rPr>
            <w:noProof/>
            <w:webHidden/>
          </w:rPr>
          <w:t>101</w:t>
        </w:r>
        <w:r w:rsidR="00EC631E">
          <w:rPr>
            <w:noProof/>
            <w:webHidden/>
          </w:rPr>
          <w:fldChar w:fldCharType="end"/>
        </w:r>
      </w:hyperlink>
    </w:p>
    <w:p w14:paraId="761A02CA" w14:textId="136E1A58" w:rsidR="00EC631E" w:rsidRDefault="00000000">
      <w:pPr>
        <w:pStyle w:val="TOC2"/>
        <w:rPr>
          <w:rFonts w:eastAsiaTheme="minorEastAsia"/>
          <w:noProof/>
          <w:sz w:val="22"/>
          <w:szCs w:val="22"/>
          <w:lang w:val="en-NZ" w:eastAsia="en-NZ"/>
        </w:rPr>
      </w:pPr>
      <w:hyperlink w:anchor="_Toc111485491" w:history="1">
        <w:r w:rsidR="00EC631E" w:rsidRPr="006C517B">
          <w:rPr>
            <w:rStyle w:val="Hyperlink"/>
            <w:noProof/>
            <w:lang w:val="mi-NZ"/>
          </w:rPr>
          <w:t>Minimum age of criminal responsibility and children aged 10-14 years who offend</w:t>
        </w:r>
        <w:r w:rsidR="00EC631E">
          <w:rPr>
            <w:noProof/>
            <w:webHidden/>
          </w:rPr>
          <w:tab/>
        </w:r>
        <w:r w:rsidR="00EC631E">
          <w:rPr>
            <w:noProof/>
            <w:webHidden/>
          </w:rPr>
          <w:fldChar w:fldCharType="begin"/>
        </w:r>
        <w:r w:rsidR="00EC631E">
          <w:rPr>
            <w:noProof/>
            <w:webHidden/>
          </w:rPr>
          <w:instrText xml:space="preserve"> PAGEREF _Toc111485491 \h </w:instrText>
        </w:r>
        <w:r w:rsidR="00EC631E">
          <w:rPr>
            <w:noProof/>
            <w:webHidden/>
          </w:rPr>
        </w:r>
        <w:r w:rsidR="00EC631E">
          <w:rPr>
            <w:noProof/>
            <w:webHidden/>
          </w:rPr>
          <w:fldChar w:fldCharType="separate"/>
        </w:r>
        <w:r w:rsidR="00EC631E">
          <w:rPr>
            <w:noProof/>
            <w:webHidden/>
          </w:rPr>
          <w:t>101</w:t>
        </w:r>
        <w:r w:rsidR="00EC631E">
          <w:rPr>
            <w:noProof/>
            <w:webHidden/>
          </w:rPr>
          <w:fldChar w:fldCharType="end"/>
        </w:r>
      </w:hyperlink>
    </w:p>
    <w:p w14:paraId="5EE9E775" w14:textId="5F6C8B75" w:rsidR="00EC631E" w:rsidRDefault="00000000">
      <w:pPr>
        <w:pStyle w:val="TOC2"/>
        <w:rPr>
          <w:rFonts w:eastAsiaTheme="minorEastAsia"/>
          <w:noProof/>
          <w:sz w:val="22"/>
          <w:szCs w:val="22"/>
          <w:lang w:val="en-NZ" w:eastAsia="en-NZ"/>
        </w:rPr>
      </w:pPr>
      <w:hyperlink w:anchor="_Toc111485492" w:history="1">
        <w:r w:rsidR="00EC631E" w:rsidRPr="006C517B">
          <w:rPr>
            <w:rStyle w:val="Hyperlink"/>
            <w:noProof/>
            <w:lang w:val="mi-NZ"/>
          </w:rPr>
          <w:t>Including all 17-year-olds in the youth justice system</w:t>
        </w:r>
        <w:r w:rsidR="00EC631E">
          <w:rPr>
            <w:noProof/>
            <w:webHidden/>
          </w:rPr>
          <w:tab/>
        </w:r>
        <w:r w:rsidR="00EC631E">
          <w:rPr>
            <w:noProof/>
            <w:webHidden/>
          </w:rPr>
          <w:fldChar w:fldCharType="begin"/>
        </w:r>
        <w:r w:rsidR="00EC631E">
          <w:rPr>
            <w:noProof/>
            <w:webHidden/>
          </w:rPr>
          <w:instrText xml:space="preserve"> PAGEREF _Toc111485492 \h </w:instrText>
        </w:r>
        <w:r w:rsidR="00EC631E">
          <w:rPr>
            <w:noProof/>
            <w:webHidden/>
          </w:rPr>
        </w:r>
        <w:r w:rsidR="00EC631E">
          <w:rPr>
            <w:noProof/>
            <w:webHidden/>
          </w:rPr>
          <w:fldChar w:fldCharType="separate"/>
        </w:r>
        <w:r w:rsidR="00EC631E">
          <w:rPr>
            <w:noProof/>
            <w:webHidden/>
          </w:rPr>
          <w:t>102</w:t>
        </w:r>
        <w:r w:rsidR="00EC631E">
          <w:rPr>
            <w:noProof/>
            <w:webHidden/>
          </w:rPr>
          <w:fldChar w:fldCharType="end"/>
        </w:r>
      </w:hyperlink>
    </w:p>
    <w:p w14:paraId="4E6158E2" w14:textId="3D4A3B71" w:rsidR="00EC631E" w:rsidRDefault="00000000">
      <w:pPr>
        <w:pStyle w:val="TOC2"/>
        <w:rPr>
          <w:rFonts w:eastAsiaTheme="minorEastAsia"/>
          <w:noProof/>
          <w:sz w:val="22"/>
          <w:szCs w:val="22"/>
          <w:lang w:val="en-NZ" w:eastAsia="en-NZ"/>
        </w:rPr>
      </w:pPr>
      <w:hyperlink w:anchor="_Toc111485493" w:history="1">
        <w:r w:rsidR="00EC631E" w:rsidRPr="006C517B">
          <w:rPr>
            <w:rStyle w:val="Hyperlink"/>
            <w:noProof/>
            <w:lang w:val="mi-NZ"/>
          </w:rPr>
          <w:t>Age-mixing in places of detention</w:t>
        </w:r>
        <w:r w:rsidR="00EC631E">
          <w:rPr>
            <w:noProof/>
            <w:webHidden/>
          </w:rPr>
          <w:tab/>
        </w:r>
        <w:r w:rsidR="00EC631E">
          <w:rPr>
            <w:noProof/>
            <w:webHidden/>
          </w:rPr>
          <w:fldChar w:fldCharType="begin"/>
        </w:r>
        <w:r w:rsidR="00EC631E">
          <w:rPr>
            <w:noProof/>
            <w:webHidden/>
          </w:rPr>
          <w:instrText xml:space="preserve"> PAGEREF _Toc111485493 \h </w:instrText>
        </w:r>
        <w:r w:rsidR="00EC631E">
          <w:rPr>
            <w:noProof/>
            <w:webHidden/>
          </w:rPr>
        </w:r>
        <w:r w:rsidR="00EC631E">
          <w:rPr>
            <w:noProof/>
            <w:webHidden/>
          </w:rPr>
          <w:fldChar w:fldCharType="separate"/>
        </w:r>
        <w:r w:rsidR="00EC631E">
          <w:rPr>
            <w:noProof/>
            <w:webHidden/>
          </w:rPr>
          <w:t>103</w:t>
        </w:r>
        <w:r w:rsidR="00EC631E">
          <w:rPr>
            <w:noProof/>
            <w:webHidden/>
          </w:rPr>
          <w:fldChar w:fldCharType="end"/>
        </w:r>
      </w:hyperlink>
    </w:p>
    <w:p w14:paraId="079BA6BA" w14:textId="0DE3559B" w:rsidR="00EC631E" w:rsidRDefault="00000000">
      <w:pPr>
        <w:pStyle w:val="TOC2"/>
        <w:rPr>
          <w:rFonts w:eastAsiaTheme="minorEastAsia"/>
          <w:noProof/>
          <w:sz w:val="22"/>
          <w:szCs w:val="22"/>
          <w:lang w:val="en-NZ" w:eastAsia="en-NZ"/>
        </w:rPr>
      </w:pPr>
      <w:hyperlink w:anchor="_Toc111485494" w:history="1">
        <w:r w:rsidR="00EC631E" w:rsidRPr="006C517B">
          <w:rPr>
            <w:rStyle w:val="Hyperlink"/>
            <w:noProof/>
            <w:lang w:val="mi-NZ"/>
          </w:rPr>
          <w:t>Disabled children and young people in the youth justice system</w:t>
        </w:r>
        <w:r w:rsidR="00EC631E">
          <w:rPr>
            <w:noProof/>
            <w:webHidden/>
          </w:rPr>
          <w:tab/>
        </w:r>
        <w:r w:rsidR="00EC631E">
          <w:rPr>
            <w:noProof/>
            <w:webHidden/>
          </w:rPr>
          <w:fldChar w:fldCharType="begin"/>
        </w:r>
        <w:r w:rsidR="00EC631E">
          <w:rPr>
            <w:noProof/>
            <w:webHidden/>
          </w:rPr>
          <w:instrText xml:space="preserve"> PAGEREF _Toc111485494 \h </w:instrText>
        </w:r>
        <w:r w:rsidR="00EC631E">
          <w:rPr>
            <w:noProof/>
            <w:webHidden/>
          </w:rPr>
        </w:r>
        <w:r w:rsidR="00EC631E">
          <w:rPr>
            <w:noProof/>
            <w:webHidden/>
          </w:rPr>
          <w:fldChar w:fldCharType="separate"/>
        </w:r>
        <w:r w:rsidR="00EC631E">
          <w:rPr>
            <w:noProof/>
            <w:webHidden/>
          </w:rPr>
          <w:t>104</w:t>
        </w:r>
        <w:r w:rsidR="00EC631E">
          <w:rPr>
            <w:noProof/>
            <w:webHidden/>
          </w:rPr>
          <w:fldChar w:fldCharType="end"/>
        </w:r>
      </w:hyperlink>
    </w:p>
    <w:p w14:paraId="7957F220" w14:textId="71DD5D0D" w:rsidR="00EC631E" w:rsidRDefault="00000000">
      <w:pPr>
        <w:pStyle w:val="TOC2"/>
        <w:rPr>
          <w:rFonts w:eastAsiaTheme="minorEastAsia"/>
          <w:noProof/>
          <w:sz w:val="22"/>
          <w:szCs w:val="22"/>
          <w:lang w:val="en-NZ" w:eastAsia="en-NZ"/>
        </w:rPr>
      </w:pPr>
      <w:hyperlink w:anchor="_Toc111485495" w:history="1">
        <w:r w:rsidR="00EC631E" w:rsidRPr="006C517B">
          <w:rPr>
            <w:rStyle w:val="Hyperlink"/>
            <w:noProof/>
            <w:lang w:val="mi-NZ"/>
          </w:rPr>
          <w:t>Detention in Police cells</w:t>
        </w:r>
        <w:r w:rsidR="00EC631E">
          <w:rPr>
            <w:noProof/>
            <w:webHidden/>
          </w:rPr>
          <w:tab/>
        </w:r>
        <w:r w:rsidR="00EC631E">
          <w:rPr>
            <w:noProof/>
            <w:webHidden/>
          </w:rPr>
          <w:fldChar w:fldCharType="begin"/>
        </w:r>
        <w:r w:rsidR="00EC631E">
          <w:rPr>
            <w:noProof/>
            <w:webHidden/>
          </w:rPr>
          <w:instrText xml:space="preserve"> PAGEREF _Toc111485495 \h </w:instrText>
        </w:r>
        <w:r w:rsidR="00EC631E">
          <w:rPr>
            <w:noProof/>
            <w:webHidden/>
          </w:rPr>
        </w:r>
        <w:r w:rsidR="00EC631E">
          <w:rPr>
            <w:noProof/>
            <w:webHidden/>
          </w:rPr>
          <w:fldChar w:fldCharType="separate"/>
        </w:r>
        <w:r w:rsidR="00EC631E">
          <w:rPr>
            <w:noProof/>
            <w:webHidden/>
          </w:rPr>
          <w:t>105</w:t>
        </w:r>
        <w:r w:rsidR="00EC631E">
          <w:rPr>
            <w:noProof/>
            <w:webHidden/>
          </w:rPr>
          <w:fldChar w:fldCharType="end"/>
        </w:r>
      </w:hyperlink>
    </w:p>
    <w:p w14:paraId="3DF0BD8C" w14:textId="4A777EE4" w:rsidR="00EC631E" w:rsidRDefault="00000000">
      <w:pPr>
        <w:pStyle w:val="TOC2"/>
        <w:rPr>
          <w:rFonts w:eastAsiaTheme="minorEastAsia"/>
          <w:noProof/>
          <w:sz w:val="22"/>
          <w:szCs w:val="22"/>
          <w:lang w:val="en-NZ" w:eastAsia="en-NZ"/>
        </w:rPr>
      </w:pPr>
      <w:hyperlink w:anchor="_Toc111485496" w:history="1">
        <w:r w:rsidR="00EC631E" w:rsidRPr="006C517B">
          <w:rPr>
            <w:rStyle w:val="Hyperlink"/>
            <w:noProof/>
          </w:rPr>
          <w:t>Use of restraints in custody</w:t>
        </w:r>
        <w:r w:rsidR="00EC631E">
          <w:rPr>
            <w:noProof/>
            <w:webHidden/>
          </w:rPr>
          <w:tab/>
        </w:r>
        <w:r w:rsidR="00EC631E">
          <w:rPr>
            <w:noProof/>
            <w:webHidden/>
          </w:rPr>
          <w:fldChar w:fldCharType="begin"/>
        </w:r>
        <w:r w:rsidR="00EC631E">
          <w:rPr>
            <w:noProof/>
            <w:webHidden/>
          </w:rPr>
          <w:instrText xml:space="preserve"> PAGEREF _Toc111485496 \h </w:instrText>
        </w:r>
        <w:r w:rsidR="00EC631E">
          <w:rPr>
            <w:noProof/>
            <w:webHidden/>
          </w:rPr>
        </w:r>
        <w:r w:rsidR="00EC631E">
          <w:rPr>
            <w:noProof/>
            <w:webHidden/>
          </w:rPr>
          <w:fldChar w:fldCharType="separate"/>
        </w:r>
        <w:r w:rsidR="00EC631E">
          <w:rPr>
            <w:noProof/>
            <w:webHidden/>
          </w:rPr>
          <w:t>106</w:t>
        </w:r>
        <w:r w:rsidR="00EC631E">
          <w:rPr>
            <w:noProof/>
            <w:webHidden/>
          </w:rPr>
          <w:fldChar w:fldCharType="end"/>
        </w:r>
      </w:hyperlink>
    </w:p>
    <w:p w14:paraId="57A46A84" w14:textId="45B98DCF" w:rsidR="00EC631E" w:rsidRDefault="00000000">
      <w:pPr>
        <w:pStyle w:val="TOC2"/>
        <w:rPr>
          <w:rFonts w:eastAsiaTheme="minorEastAsia"/>
          <w:noProof/>
          <w:sz w:val="22"/>
          <w:szCs w:val="22"/>
          <w:lang w:val="en-NZ" w:eastAsia="en-NZ"/>
        </w:rPr>
      </w:pPr>
      <w:hyperlink w:anchor="_Toc111485497" w:history="1">
        <w:r w:rsidR="00EC631E" w:rsidRPr="006C517B">
          <w:rPr>
            <w:rStyle w:val="Hyperlink"/>
            <w:noProof/>
            <w:lang w:val="mi-NZ"/>
          </w:rPr>
          <w:t>Over-representation of tamariki and rangatahi M</w:t>
        </w:r>
        <w:r w:rsidR="00EC631E" w:rsidRPr="006C517B">
          <w:rPr>
            <w:rStyle w:val="Hyperlink"/>
            <w:noProof/>
          </w:rPr>
          <w:t>ā</w:t>
        </w:r>
        <w:r w:rsidR="00EC631E" w:rsidRPr="006C517B">
          <w:rPr>
            <w:rStyle w:val="Hyperlink"/>
            <w:noProof/>
            <w:lang w:val="mi-NZ"/>
          </w:rPr>
          <w:t>ori and Pacific children in the youth justice system</w:t>
        </w:r>
        <w:r w:rsidR="00EC631E">
          <w:rPr>
            <w:noProof/>
            <w:webHidden/>
          </w:rPr>
          <w:tab/>
        </w:r>
        <w:r w:rsidR="00EC631E">
          <w:rPr>
            <w:noProof/>
            <w:webHidden/>
          </w:rPr>
          <w:fldChar w:fldCharType="begin"/>
        </w:r>
        <w:r w:rsidR="00EC631E">
          <w:rPr>
            <w:noProof/>
            <w:webHidden/>
          </w:rPr>
          <w:instrText xml:space="preserve"> PAGEREF _Toc111485497 \h </w:instrText>
        </w:r>
        <w:r w:rsidR="00EC631E">
          <w:rPr>
            <w:noProof/>
            <w:webHidden/>
          </w:rPr>
        </w:r>
        <w:r w:rsidR="00EC631E">
          <w:rPr>
            <w:noProof/>
            <w:webHidden/>
          </w:rPr>
          <w:fldChar w:fldCharType="separate"/>
        </w:r>
        <w:r w:rsidR="00EC631E">
          <w:rPr>
            <w:noProof/>
            <w:webHidden/>
          </w:rPr>
          <w:t>107</w:t>
        </w:r>
        <w:r w:rsidR="00EC631E">
          <w:rPr>
            <w:noProof/>
            <w:webHidden/>
          </w:rPr>
          <w:fldChar w:fldCharType="end"/>
        </w:r>
      </w:hyperlink>
    </w:p>
    <w:p w14:paraId="59972ECE" w14:textId="191A76E4" w:rsidR="00EC631E" w:rsidRDefault="00000000">
      <w:pPr>
        <w:pStyle w:val="TOC1"/>
        <w:rPr>
          <w:rFonts w:eastAsiaTheme="minorEastAsia"/>
          <w:noProof/>
          <w:sz w:val="22"/>
          <w:szCs w:val="22"/>
          <w:lang w:val="en-NZ" w:eastAsia="en-NZ"/>
        </w:rPr>
      </w:pPr>
      <w:hyperlink w:anchor="_Toc111485498" w:history="1">
        <w:r w:rsidR="00EC631E" w:rsidRPr="006C517B">
          <w:rPr>
            <w:rStyle w:val="Hyperlink"/>
            <w:noProof/>
          </w:rPr>
          <w:t>Optional Protocol on Children in Armed Conflict (OP1)</w:t>
        </w:r>
        <w:r w:rsidR="00EC631E">
          <w:rPr>
            <w:noProof/>
            <w:webHidden/>
          </w:rPr>
          <w:tab/>
        </w:r>
        <w:r w:rsidR="00EC631E">
          <w:rPr>
            <w:noProof/>
            <w:webHidden/>
          </w:rPr>
          <w:fldChar w:fldCharType="begin"/>
        </w:r>
        <w:r w:rsidR="00EC631E">
          <w:rPr>
            <w:noProof/>
            <w:webHidden/>
          </w:rPr>
          <w:instrText xml:space="preserve"> PAGEREF _Toc111485498 \h </w:instrText>
        </w:r>
        <w:r w:rsidR="00EC631E">
          <w:rPr>
            <w:noProof/>
            <w:webHidden/>
          </w:rPr>
        </w:r>
        <w:r w:rsidR="00EC631E">
          <w:rPr>
            <w:noProof/>
            <w:webHidden/>
          </w:rPr>
          <w:fldChar w:fldCharType="separate"/>
        </w:r>
        <w:r w:rsidR="00EC631E">
          <w:rPr>
            <w:noProof/>
            <w:webHidden/>
          </w:rPr>
          <w:t>109</w:t>
        </w:r>
        <w:r w:rsidR="00EC631E">
          <w:rPr>
            <w:noProof/>
            <w:webHidden/>
          </w:rPr>
          <w:fldChar w:fldCharType="end"/>
        </w:r>
      </w:hyperlink>
    </w:p>
    <w:p w14:paraId="17EB8169" w14:textId="3F805074" w:rsidR="00EC631E" w:rsidRDefault="00000000">
      <w:pPr>
        <w:pStyle w:val="TOC1"/>
        <w:rPr>
          <w:rFonts w:eastAsiaTheme="minorEastAsia"/>
          <w:noProof/>
          <w:sz w:val="22"/>
          <w:szCs w:val="22"/>
          <w:lang w:val="en-NZ" w:eastAsia="en-NZ"/>
        </w:rPr>
      </w:pPr>
      <w:hyperlink w:anchor="_Toc111485499" w:history="1">
        <w:r w:rsidR="00EC631E" w:rsidRPr="006C517B">
          <w:rPr>
            <w:rStyle w:val="Hyperlink"/>
            <w:noProof/>
            <w:lang w:val="mi-NZ"/>
          </w:rPr>
          <w:t>Optional Protocol on the Sale of Children (OP2)</w:t>
        </w:r>
        <w:r w:rsidR="00EC631E">
          <w:rPr>
            <w:noProof/>
            <w:webHidden/>
          </w:rPr>
          <w:tab/>
        </w:r>
        <w:r w:rsidR="00EC631E">
          <w:rPr>
            <w:noProof/>
            <w:webHidden/>
          </w:rPr>
          <w:fldChar w:fldCharType="begin"/>
        </w:r>
        <w:r w:rsidR="00EC631E">
          <w:rPr>
            <w:noProof/>
            <w:webHidden/>
          </w:rPr>
          <w:instrText xml:space="preserve"> PAGEREF _Toc111485499 \h </w:instrText>
        </w:r>
        <w:r w:rsidR="00EC631E">
          <w:rPr>
            <w:noProof/>
            <w:webHidden/>
          </w:rPr>
        </w:r>
        <w:r w:rsidR="00EC631E">
          <w:rPr>
            <w:noProof/>
            <w:webHidden/>
          </w:rPr>
          <w:fldChar w:fldCharType="separate"/>
        </w:r>
        <w:r w:rsidR="00EC631E">
          <w:rPr>
            <w:noProof/>
            <w:webHidden/>
          </w:rPr>
          <w:t>109</w:t>
        </w:r>
        <w:r w:rsidR="00EC631E">
          <w:rPr>
            <w:noProof/>
            <w:webHidden/>
          </w:rPr>
          <w:fldChar w:fldCharType="end"/>
        </w:r>
      </w:hyperlink>
    </w:p>
    <w:p w14:paraId="40D05430" w14:textId="08E6D1FF" w:rsidR="00EC631E" w:rsidRDefault="00000000">
      <w:pPr>
        <w:pStyle w:val="TOC2"/>
        <w:rPr>
          <w:rFonts w:eastAsiaTheme="minorEastAsia"/>
          <w:noProof/>
          <w:sz w:val="22"/>
          <w:szCs w:val="22"/>
          <w:lang w:val="en-NZ" w:eastAsia="en-NZ"/>
        </w:rPr>
      </w:pPr>
      <w:hyperlink w:anchor="_Toc111485500" w:history="1">
        <w:r w:rsidR="00EC631E" w:rsidRPr="006C517B">
          <w:rPr>
            <w:rStyle w:val="Hyperlink"/>
            <w:noProof/>
          </w:rPr>
          <w:t>Scale and nature of OP2 related issues</w:t>
        </w:r>
        <w:r w:rsidR="00EC631E">
          <w:rPr>
            <w:noProof/>
            <w:webHidden/>
          </w:rPr>
          <w:tab/>
        </w:r>
        <w:r w:rsidR="00EC631E">
          <w:rPr>
            <w:noProof/>
            <w:webHidden/>
          </w:rPr>
          <w:fldChar w:fldCharType="begin"/>
        </w:r>
        <w:r w:rsidR="00EC631E">
          <w:rPr>
            <w:noProof/>
            <w:webHidden/>
          </w:rPr>
          <w:instrText xml:space="preserve"> PAGEREF _Toc111485500 \h </w:instrText>
        </w:r>
        <w:r w:rsidR="00EC631E">
          <w:rPr>
            <w:noProof/>
            <w:webHidden/>
          </w:rPr>
        </w:r>
        <w:r w:rsidR="00EC631E">
          <w:rPr>
            <w:noProof/>
            <w:webHidden/>
          </w:rPr>
          <w:fldChar w:fldCharType="separate"/>
        </w:r>
        <w:r w:rsidR="00EC631E">
          <w:rPr>
            <w:noProof/>
            <w:webHidden/>
          </w:rPr>
          <w:t>109</w:t>
        </w:r>
        <w:r w:rsidR="00EC631E">
          <w:rPr>
            <w:noProof/>
            <w:webHidden/>
          </w:rPr>
          <w:fldChar w:fldCharType="end"/>
        </w:r>
      </w:hyperlink>
    </w:p>
    <w:p w14:paraId="133A9460" w14:textId="42045F0C" w:rsidR="00EC631E" w:rsidRDefault="00000000">
      <w:pPr>
        <w:pStyle w:val="TOC1"/>
        <w:rPr>
          <w:rFonts w:eastAsiaTheme="minorEastAsia"/>
          <w:noProof/>
          <w:sz w:val="22"/>
          <w:szCs w:val="22"/>
          <w:lang w:val="en-NZ" w:eastAsia="en-NZ"/>
        </w:rPr>
      </w:pPr>
      <w:hyperlink w:anchor="_Toc111485501" w:history="1">
        <w:r w:rsidR="00EC631E" w:rsidRPr="006C517B">
          <w:rPr>
            <w:rStyle w:val="Hyperlink"/>
            <w:noProof/>
          </w:rPr>
          <w:t>Appendix 1: The process used to develop the Children’s Rights Alliance Aotearoa New Zealand’s 2022 Alternative Report to the United Nations Committee on the Rights of the Child</w:t>
        </w:r>
        <w:r w:rsidR="00EC631E">
          <w:rPr>
            <w:noProof/>
            <w:webHidden/>
          </w:rPr>
          <w:tab/>
        </w:r>
        <w:r w:rsidR="00EC631E">
          <w:rPr>
            <w:noProof/>
            <w:webHidden/>
          </w:rPr>
          <w:fldChar w:fldCharType="begin"/>
        </w:r>
        <w:r w:rsidR="00EC631E">
          <w:rPr>
            <w:noProof/>
            <w:webHidden/>
          </w:rPr>
          <w:instrText xml:space="preserve"> PAGEREF _Toc111485501 \h </w:instrText>
        </w:r>
        <w:r w:rsidR="00EC631E">
          <w:rPr>
            <w:noProof/>
            <w:webHidden/>
          </w:rPr>
        </w:r>
        <w:r w:rsidR="00EC631E">
          <w:rPr>
            <w:noProof/>
            <w:webHidden/>
          </w:rPr>
          <w:fldChar w:fldCharType="separate"/>
        </w:r>
        <w:r w:rsidR="00EC631E">
          <w:rPr>
            <w:noProof/>
            <w:webHidden/>
          </w:rPr>
          <w:t>113</w:t>
        </w:r>
        <w:r w:rsidR="00EC631E">
          <w:rPr>
            <w:noProof/>
            <w:webHidden/>
          </w:rPr>
          <w:fldChar w:fldCharType="end"/>
        </w:r>
      </w:hyperlink>
    </w:p>
    <w:p w14:paraId="495ADFAC" w14:textId="71E02096" w:rsidR="00EC631E" w:rsidRDefault="00000000">
      <w:pPr>
        <w:pStyle w:val="TOC1"/>
        <w:rPr>
          <w:rFonts w:eastAsiaTheme="minorEastAsia"/>
          <w:noProof/>
          <w:sz w:val="22"/>
          <w:szCs w:val="22"/>
          <w:lang w:val="en-NZ" w:eastAsia="en-NZ"/>
        </w:rPr>
      </w:pPr>
      <w:hyperlink w:anchor="_Toc111485502" w:history="1">
        <w:r w:rsidR="00EC631E" w:rsidRPr="006C517B">
          <w:rPr>
            <w:rStyle w:val="Hyperlink"/>
            <w:noProof/>
          </w:rPr>
          <w:t>Appendix 2: Oversight of Oranga Tamariki System</w:t>
        </w:r>
        <w:r w:rsidR="00EC631E">
          <w:rPr>
            <w:noProof/>
            <w:webHidden/>
          </w:rPr>
          <w:tab/>
        </w:r>
        <w:r w:rsidR="00EC631E">
          <w:rPr>
            <w:noProof/>
            <w:webHidden/>
          </w:rPr>
          <w:fldChar w:fldCharType="begin"/>
        </w:r>
        <w:r w:rsidR="00EC631E">
          <w:rPr>
            <w:noProof/>
            <w:webHidden/>
          </w:rPr>
          <w:instrText xml:space="preserve"> PAGEREF _Toc111485502 \h </w:instrText>
        </w:r>
        <w:r w:rsidR="00EC631E">
          <w:rPr>
            <w:noProof/>
            <w:webHidden/>
          </w:rPr>
        </w:r>
        <w:r w:rsidR="00EC631E">
          <w:rPr>
            <w:noProof/>
            <w:webHidden/>
          </w:rPr>
          <w:fldChar w:fldCharType="separate"/>
        </w:r>
        <w:r w:rsidR="00EC631E">
          <w:rPr>
            <w:noProof/>
            <w:webHidden/>
          </w:rPr>
          <w:t>115</w:t>
        </w:r>
        <w:r w:rsidR="00EC631E">
          <w:rPr>
            <w:noProof/>
            <w:webHidden/>
          </w:rPr>
          <w:fldChar w:fldCharType="end"/>
        </w:r>
      </w:hyperlink>
    </w:p>
    <w:p w14:paraId="3E43972F" w14:textId="2C822CDD" w:rsidR="00EC631E" w:rsidRDefault="00000000">
      <w:pPr>
        <w:pStyle w:val="TOC1"/>
        <w:rPr>
          <w:rFonts w:eastAsiaTheme="minorEastAsia"/>
          <w:noProof/>
          <w:sz w:val="22"/>
          <w:szCs w:val="22"/>
          <w:lang w:val="en-NZ" w:eastAsia="en-NZ"/>
        </w:rPr>
      </w:pPr>
      <w:hyperlink w:anchor="_Toc111485503" w:history="1">
        <w:r w:rsidR="00EC631E" w:rsidRPr="006C517B">
          <w:rPr>
            <w:rStyle w:val="Hyperlink"/>
            <w:noProof/>
          </w:rPr>
          <w:t>and Children and Young People’s Commission Bill 2021</w:t>
        </w:r>
        <w:r w:rsidR="00EC631E">
          <w:rPr>
            <w:noProof/>
            <w:webHidden/>
          </w:rPr>
          <w:tab/>
        </w:r>
        <w:r w:rsidR="00EC631E">
          <w:rPr>
            <w:noProof/>
            <w:webHidden/>
          </w:rPr>
          <w:fldChar w:fldCharType="begin"/>
        </w:r>
        <w:r w:rsidR="00EC631E">
          <w:rPr>
            <w:noProof/>
            <w:webHidden/>
          </w:rPr>
          <w:instrText xml:space="preserve"> PAGEREF _Toc111485503 \h </w:instrText>
        </w:r>
        <w:r w:rsidR="00EC631E">
          <w:rPr>
            <w:noProof/>
            <w:webHidden/>
          </w:rPr>
        </w:r>
        <w:r w:rsidR="00EC631E">
          <w:rPr>
            <w:noProof/>
            <w:webHidden/>
          </w:rPr>
          <w:fldChar w:fldCharType="separate"/>
        </w:r>
        <w:r w:rsidR="00EC631E">
          <w:rPr>
            <w:noProof/>
            <w:webHidden/>
          </w:rPr>
          <w:t>115</w:t>
        </w:r>
        <w:r w:rsidR="00EC631E">
          <w:rPr>
            <w:noProof/>
            <w:webHidden/>
          </w:rPr>
          <w:fldChar w:fldCharType="end"/>
        </w:r>
      </w:hyperlink>
    </w:p>
    <w:p w14:paraId="420BCDC6" w14:textId="7D8F5417" w:rsidR="00EC631E" w:rsidRDefault="00000000">
      <w:pPr>
        <w:pStyle w:val="TOC2"/>
        <w:rPr>
          <w:rFonts w:eastAsiaTheme="minorEastAsia"/>
          <w:noProof/>
          <w:sz w:val="22"/>
          <w:szCs w:val="22"/>
          <w:lang w:val="en-NZ" w:eastAsia="en-NZ"/>
        </w:rPr>
      </w:pPr>
      <w:hyperlink w:anchor="_Toc111485504" w:history="1">
        <w:r w:rsidR="00EC631E" w:rsidRPr="006C517B">
          <w:rPr>
            <w:rStyle w:val="Hyperlink"/>
            <w:noProof/>
          </w:rPr>
          <w:t>Introduction</w:t>
        </w:r>
        <w:r w:rsidR="00EC631E">
          <w:rPr>
            <w:noProof/>
            <w:webHidden/>
          </w:rPr>
          <w:tab/>
        </w:r>
        <w:r w:rsidR="00EC631E">
          <w:rPr>
            <w:noProof/>
            <w:webHidden/>
          </w:rPr>
          <w:fldChar w:fldCharType="begin"/>
        </w:r>
        <w:r w:rsidR="00EC631E">
          <w:rPr>
            <w:noProof/>
            <w:webHidden/>
          </w:rPr>
          <w:instrText xml:space="preserve"> PAGEREF _Toc111485504 \h </w:instrText>
        </w:r>
        <w:r w:rsidR="00EC631E">
          <w:rPr>
            <w:noProof/>
            <w:webHidden/>
          </w:rPr>
        </w:r>
        <w:r w:rsidR="00EC631E">
          <w:rPr>
            <w:noProof/>
            <w:webHidden/>
          </w:rPr>
          <w:fldChar w:fldCharType="separate"/>
        </w:r>
        <w:r w:rsidR="00EC631E">
          <w:rPr>
            <w:noProof/>
            <w:webHidden/>
          </w:rPr>
          <w:t>115</w:t>
        </w:r>
        <w:r w:rsidR="00EC631E">
          <w:rPr>
            <w:noProof/>
            <w:webHidden/>
          </w:rPr>
          <w:fldChar w:fldCharType="end"/>
        </w:r>
      </w:hyperlink>
    </w:p>
    <w:p w14:paraId="59E20DC1" w14:textId="67DE72E1" w:rsidR="00EC631E" w:rsidRDefault="00000000">
      <w:pPr>
        <w:pStyle w:val="TOC2"/>
        <w:rPr>
          <w:rFonts w:eastAsiaTheme="minorEastAsia"/>
          <w:noProof/>
          <w:sz w:val="22"/>
          <w:szCs w:val="22"/>
          <w:lang w:val="en-NZ" w:eastAsia="en-NZ"/>
        </w:rPr>
      </w:pPr>
      <w:hyperlink w:anchor="_Toc111485505" w:history="1">
        <w:r w:rsidR="00EC631E" w:rsidRPr="006C517B">
          <w:rPr>
            <w:rStyle w:val="Hyperlink"/>
            <w:noProof/>
          </w:rPr>
          <w:t>The Oversight Bill 2021</w:t>
        </w:r>
        <w:r w:rsidR="00EC631E">
          <w:rPr>
            <w:noProof/>
            <w:webHidden/>
          </w:rPr>
          <w:tab/>
        </w:r>
        <w:r w:rsidR="00EC631E">
          <w:rPr>
            <w:noProof/>
            <w:webHidden/>
          </w:rPr>
          <w:fldChar w:fldCharType="begin"/>
        </w:r>
        <w:r w:rsidR="00EC631E">
          <w:rPr>
            <w:noProof/>
            <w:webHidden/>
          </w:rPr>
          <w:instrText xml:space="preserve"> PAGEREF _Toc111485505 \h </w:instrText>
        </w:r>
        <w:r w:rsidR="00EC631E">
          <w:rPr>
            <w:noProof/>
            <w:webHidden/>
          </w:rPr>
        </w:r>
        <w:r w:rsidR="00EC631E">
          <w:rPr>
            <w:noProof/>
            <w:webHidden/>
          </w:rPr>
          <w:fldChar w:fldCharType="separate"/>
        </w:r>
        <w:r w:rsidR="00EC631E">
          <w:rPr>
            <w:noProof/>
            <w:webHidden/>
          </w:rPr>
          <w:t>115</w:t>
        </w:r>
        <w:r w:rsidR="00EC631E">
          <w:rPr>
            <w:noProof/>
            <w:webHidden/>
          </w:rPr>
          <w:fldChar w:fldCharType="end"/>
        </w:r>
      </w:hyperlink>
    </w:p>
    <w:p w14:paraId="5036835F" w14:textId="396EE9C5" w:rsidR="00EC631E" w:rsidRDefault="00000000">
      <w:pPr>
        <w:pStyle w:val="TOC2"/>
        <w:rPr>
          <w:rFonts w:eastAsiaTheme="minorEastAsia"/>
          <w:noProof/>
          <w:sz w:val="22"/>
          <w:szCs w:val="22"/>
          <w:lang w:val="en-NZ" w:eastAsia="en-NZ"/>
        </w:rPr>
      </w:pPr>
      <w:hyperlink w:anchor="_Toc111485506" w:history="1">
        <w:r w:rsidR="00EC631E" w:rsidRPr="006C517B">
          <w:rPr>
            <w:rStyle w:val="Hyperlink"/>
            <w:noProof/>
          </w:rPr>
          <w:t>Background to the Bill</w:t>
        </w:r>
        <w:r w:rsidR="00EC631E">
          <w:rPr>
            <w:noProof/>
            <w:webHidden/>
          </w:rPr>
          <w:tab/>
        </w:r>
        <w:r w:rsidR="00EC631E">
          <w:rPr>
            <w:noProof/>
            <w:webHidden/>
          </w:rPr>
          <w:fldChar w:fldCharType="begin"/>
        </w:r>
        <w:r w:rsidR="00EC631E">
          <w:rPr>
            <w:noProof/>
            <w:webHidden/>
          </w:rPr>
          <w:instrText xml:space="preserve"> PAGEREF _Toc111485506 \h </w:instrText>
        </w:r>
        <w:r w:rsidR="00EC631E">
          <w:rPr>
            <w:noProof/>
            <w:webHidden/>
          </w:rPr>
        </w:r>
        <w:r w:rsidR="00EC631E">
          <w:rPr>
            <w:noProof/>
            <w:webHidden/>
          </w:rPr>
          <w:fldChar w:fldCharType="separate"/>
        </w:r>
        <w:r w:rsidR="00EC631E">
          <w:rPr>
            <w:noProof/>
            <w:webHidden/>
          </w:rPr>
          <w:t>116</w:t>
        </w:r>
        <w:r w:rsidR="00EC631E">
          <w:rPr>
            <w:noProof/>
            <w:webHidden/>
          </w:rPr>
          <w:fldChar w:fldCharType="end"/>
        </w:r>
      </w:hyperlink>
    </w:p>
    <w:p w14:paraId="565AC0AE" w14:textId="065075D5" w:rsidR="00EC631E" w:rsidRDefault="00000000">
      <w:pPr>
        <w:pStyle w:val="TOC2"/>
        <w:rPr>
          <w:rFonts w:eastAsiaTheme="minorEastAsia"/>
          <w:noProof/>
          <w:sz w:val="22"/>
          <w:szCs w:val="22"/>
          <w:lang w:val="en-NZ" w:eastAsia="en-NZ"/>
        </w:rPr>
      </w:pPr>
      <w:hyperlink w:anchor="_Toc111485507" w:history="1">
        <w:r w:rsidR="00EC631E" w:rsidRPr="006C517B">
          <w:rPr>
            <w:rStyle w:val="Hyperlink"/>
            <w:noProof/>
          </w:rPr>
          <w:t>Timing of the Bill and submissions</w:t>
        </w:r>
        <w:r w:rsidR="00EC631E">
          <w:rPr>
            <w:noProof/>
            <w:webHidden/>
          </w:rPr>
          <w:tab/>
        </w:r>
        <w:r w:rsidR="00EC631E">
          <w:rPr>
            <w:noProof/>
            <w:webHidden/>
          </w:rPr>
          <w:fldChar w:fldCharType="begin"/>
        </w:r>
        <w:r w:rsidR="00EC631E">
          <w:rPr>
            <w:noProof/>
            <w:webHidden/>
          </w:rPr>
          <w:instrText xml:space="preserve"> PAGEREF _Toc111485507 \h </w:instrText>
        </w:r>
        <w:r w:rsidR="00EC631E">
          <w:rPr>
            <w:noProof/>
            <w:webHidden/>
          </w:rPr>
        </w:r>
        <w:r w:rsidR="00EC631E">
          <w:rPr>
            <w:noProof/>
            <w:webHidden/>
          </w:rPr>
          <w:fldChar w:fldCharType="separate"/>
        </w:r>
        <w:r w:rsidR="00EC631E">
          <w:rPr>
            <w:noProof/>
            <w:webHidden/>
          </w:rPr>
          <w:t>117</w:t>
        </w:r>
        <w:r w:rsidR="00EC631E">
          <w:rPr>
            <w:noProof/>
            <w:webHidden/>
          </w:rPr>
          <w:fldChar w:fldCharType="end"/>
        </w:r>
      </w:hyperlink>
    </w:p>
    <w:p w14:paraId="729EC600" w14:textId="667DD670" w:rsidR="00EC631E" w:rsidRDefault="00000000">
      <w:pPr>
        <w:pStyle w:val="TOC2"/>
        <w:rPr>
          <w:rFonts w:eastAsiaTheme="minorEastAsia"/>
          <w:noProof/>
          <w:sz w:val="22"/>
          <w:szCs w:val="22"/>
          <w:lang w:val="en-NZ" w:eastAsia="en-NZ"/>
        </w:rPr>
      </w:pPr>
      <w:hyperlink w:anchor="_Toc111485508" w:history="1">
        <w:r w:rsidR="00EC631E" w:rsidRPr="006C517B">
          <w:rPr>
            <w:rStyle w:val="Hyperlink"/>
            <w:noProof/>
          </w:rPr>
          <w:t>Looking Ahead</w:t>
        </w:r>
        <w:r w:rsidR="00EC631E">
          <w:rPr>
            <w:noProof/>
            <w:webHidden/>
          </w:rPr>
          <w:tab/>
        </w:r>
        <w:r w:rsidR="00EC631E">
          <w:rPr>
            <w:noProof/>
            <w:webHidden/>
          </w:rPr>
          <w:fldChar w:fldCharType="begin"/>
        </w:r>
        <w:r w:rsidR="00EC631E">
          <w:rPr>
            <w:noProof/>
            <w:webHidden/>
          </w:rPr>
          <w:instrText xml:space="preserve"> PAGEREF _Toc111485508 \h </w:instrText>
        </w:r>
        <w:r w:rsidR="00EC631E">
          <w:rPr>
            <w:noProof/>
            <w:webHidden/>
          </w:rPr>
        </w:r>
        <w:r w:rsidR="00EC631E">
          <w:rPr>
            <w:noProof/>
            <w:webHidden/>
          </w:rPr>
          <w:fldChar w:fldCharType="separate"/>
        </w:r>
        <w:r w:rsidR="00EC631E">
          <w:rPr>
            <w:noProof/>
            <w:webHidden/>
          </w:rPr>
          <w:t>120</w:t>
        </w:r>
        <w:r w:rsidR="00EC631E">
          <w:rPr>
            <w:noProof/>
            <w:webHidden/>
          </w:rPr>
          <w:fldChar w:fldCharType="end"/>
        </w:r>
      </w:hyperlink>
    </w:p>
    <w:p w14:paraId="501ED254" w14:textId="0741F184" w:rsidR="00EC631E" w:rsidRDefault="00000000">
      <w:pPr>
        <w:pStyle w:val="TOC2"/>
        <w:rPr>
          <w:rFonts w:eastAsiaTheme="minorEastAsia"/>
          <w:noProof/>
          <w:sz w:val="22"/>
          <w:szCs w:val="22"/>
          <w:lang w:val="en-NZ" w:eastAsia="en-NZ"/>
        </w:rPr>
      </w:pPr>
      <w:hyperlink w:anchor="_Toc111485509" w:history="1">
        <w:r w:rsidR="00EC631E" w:rsidRPr="006C517B">
          <w:rPr>
            <w:rStyle w:val="Hyperlink"/>
            <w:noProof/>
          </w:rPr>
          <w:t>Wider Context – Developments within Oranga Tamariki</w:t>
        </w:r>
        <w:r w:rsidR="00EC631E">
          <w:rPr>
            <w:noProof/>
            <w:webHidden/>
          </w:rPr>
          <w:tab/>
        </w:r>
        <w:r w:rsidR="00EC631E">
          <w:rPr>
            <w:noProof/>
            <w:webHidden/>
          </w:rPr>
          <w:fldChar w:fldCharType="begin"/>
        </w:r>
        <w:r w:rsidR="00EC631E">
          <w:rPr>
            <w:noProof/>
            <w:webHidden/>
          </w:rPr>
          <w:instrText xml:space="preserve"> PAGEREF _Toc111485509 \h </w:instrText>
        </w:r>
        <w:r w:rsidR="00EC631E">
          <w:rPr>
            <w:noProof/>
            <w:webHidden/>
          </w:rPr>
        </w:r>
        <w:r w:rsidR="00EC631E">
          <w:rPr>
            <w:noProof/>
            <w:webHidden/>
          </w:rPr>
          <w:fldChar w:fldCharType="separate"/>
        </w:r>
        <w:r w:rsidR="00EC631E">
          <w:rPr>
            <w:noProof/>
            <w:webHidden/>
          </w:rPr>
          <w:t>121</w:t>
        </w:r>
        <w:r w:rsidR="00EC631E">
          <w:rPr>
            <w:noProof/>
            <w:webHidden/>
          </w:rPr>
          <w:fldChar w:fldCharType="end"/>
        </w:r>
      </w:hyperlink>
    </w:p>
    <w:p w14:paraId="4977C2BF" w14:textId="2B6D1D0B" w:rsidR="00EC631E" w:rsidRDefault="00000000">
      <w:pPr>
        <w:pStyle w:val="TOC2"/>
        <w:rPr>
          <w:rFonts w:eastAsiaTheme="minorEastAsia"/>
          <w:noProof/>
          <w:sz w:val="22"/>
          <w:szCs w:val="22"/>
          <w:lang w:val="en-NZ" w:eastAsia="en-NZ"/>
        </w:rPr>
      </w:pPr>
      <w:hyperlink w:anchor="_Toc111485510" w:history="1">
        <w:r w:rsidR="00EC631E" w:rsidRPr="006C517B">
          <w:rPr>
            <w:rStyle w:val="Hyperlink"/>
            <w:noProof/>
          </w:rPr>
          <w:t>Conclusion</w:t>
        </w:r>
        <w:r w:rsidR="00EC631E">
          <w:rPr>
            <w:noProof/>
            <w:webHidden/>
          </w:rPr>
          <w:tab/>
        </w:r>
        <w:r w:rsidR="00EC631E">
          <w:rPr>
            <w:noProof/>
            <w:webHidden/>
          </w:rPr>
          <w:fldChar w:fldCharType="begin"/>
        </w:r>
        <w:r w:rsidR="00EC631E">
          <w:rPr>
            <w:noProof/>
            <w:webHidden/>
          </w:rPr>
          <w:instrText xml:space="preserve"> PAGEREF _Toc111485510 \h </w:instrText>
        </w:r>
        <w:r w:rsidR="00EC631E">
          <w:rPr>
            <w:noProof/>
            <w:webHidden/>
          </w:rPr>
        </w:r>
        <w:r w:rsidR="00EC631E">
          <w:rPr>
            <w:noProof/>
            <w:webHidden/>
          </w:rPr>
          <w:fldChar w:fldCharType="separate"/>
        </w:r>
        <w:r w:rsidR="00EC631E">
          <w:rPr>
            <w:noProof/>
            <w:webHidden/>
          </w:rPr>
          <w:t>125</w:t>
        </w:r>
        <w:r w:rsidR="00EC631E">
          <w:rPr>
            <w:noProof/>
            <w:webHidden/>
          </w:rPr>
          <w:fldChar w:fldCharType="end"/>
        </w:r>
      </w:hyperlink>
    </w:p>
    <w:p w14:paraId="0E971D8B" w14:textId="1276F840" w:rsidR="00C52D65" w:rsidRDefault="007366B8" w:rsidP="009F7466">
      <w:pPr>
        <w:ind w:right="544"/>
        <w:rPr>
          <w:rFonts w:asciiTheme="majorHAnsi" w:eastAsiaTheme="majorEastAsia" w:hAnsiTheme="majorHAnsi" w:cstheme="majorBidi"/>
          <w:b/>
          <w:bCs/>
          <w:color w:val="25409A" w:themeColor="text2"/>
          <w:sz w:val="28"/>
          <w:szCs w:val="28"/>
        </w:rPr>
      </w:pPr>
      <w:r>
        <w:rPr>
          <w:rFonts w:asciiTheme="majorHAnsi" w:eastAsiaTheme="majorEastAsia" w:hAnsiTheme="majorHAnsi" w:cstheme="majorBidi"/>
          <w:b/>
          <w:bCs/>
          <w:color w:val="25409A" w:themeColor="text2"/>
          <w:sz w:val="28"/>
          <w:szCs w:val="28"/>
        </w:rPr>
        <w:fldChar w:fldCharType="end"/>
      </w:r>
    </w:p>
    <w:p w14:paraId="033244F3" w14:textId="77777777" w:rsidR="006831DE" w:rsidRDefault="006831DE" w:rsidP="009F7466">
      <w:pPr>
        <w:ind w:right="544"/>
        <w:rPr>
          <w:rFonts w:asciiTheme="majorHAnsi" w:eastAsiaTheme="majorEastAsia" w:hAnsiTheme="majorHAnsi" w:cstheme="majorBidi"/>
          <w:b/>
          <w:bCs/>
          <w:color w:val="25409A" w:themeColor="text2"/>
          <w:sz w:val="28"/>
          <w:szCs w:val="28"/>
        </w:rPr>
      </w:pPr>
      <w:r>
        <w:br w:type="page"/>
      </w:r>
    </w:p>
    <w:p w14:paraId="57733121" w14:textId="77777777" w:rsidR="00AE73EC" w:rsidRPr="008466A3" w:rsidRDefault="00AE73EC" w:rsidP="00C90DEC">
      <w:pPr>
        <w:pStyle w:val="Heading1"/>
      </w:pPr>
      <w:bookmarkStart w:id="3" w:name="_Toc111485431"/>
      <w:r w:rsidRPr="00E7687D">
        <w:rPr>
          <w:lang w:val="mi-NZ"/>
        </w:rPr>
        <w:lastRenderedPageBreak/>
        <w:t>Glossary</w:t>
      </w:r>
      <w:r>
        <w:rPr>
          <w:lang w:val="mi-NZ"/>
        </w:rPr>
        <w:t xml:space="preserve"> of Te Reo Māori Kupu (words)</w:t>
      </w:r>
      <w:bookmarkEnd w:id="3"/>
      <w:r>
        <w:rPr>
          <w:lang w:val="mi-NZ"/>
        </w:rPr>
        <w:t xml:space="preserve"> </w:t>
      </w:r>
    </w:p>
    <w:p w14:paraId="79309C45" w14:textId="77777777" w:rsidR="00AE73EC" w:rsidRPr="00E7687D" w:rsidRDefault="00AE73EC" w:rsidP="00AE73EC">
      <w:pPr>
        <w:rPr>
          <w:rFonts w:cstheme="minorHAnsi"/>
          <w:b/>
          <w:bCs/>
          <w:color w:val="00AE6D" w:themeColor="accent1"/>
          <w:sz w:val="28"/>
          <w:szCs w:val="28"/>
          <w:lang w:val="mi-NZ"/>
        </w:rPr>
      </w:pPr>
    </w:p>
    <w:p w14:paraId="58E808BD" w14:textId="77777777" w:rsidR="00AE73EC" w:rsidRPr="006F22BF" w:rsidRDefault="00AE73EC" w:rsidP="00AE73EC">
      <w:pPr>
        <w:rPr>
          <w:rFonts w:cstheme="minorHAnsi"/>
          <w:sz w:val="21"/>
          <w:szCs w:val="21"/>
          <w:lang w:val="mi-NZ"/>
        </w:rPr>
      </w:pPr>
      <w:r w:rsidRPr="006F22BF">
        <w:rPr>
          <w:rFonts w:cstheme="minorHAnsi"/>
          <w:sz w:val="21"/>
          <w:szCs w:val="21"/>
          <w:lang w:val="mi-NZ"/>
        </w:rPr>
        <w:t>Aroha</w:t>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t>Love, to love</w:t>
      </w:r>
    </w:p>
    <w:p w14:paraId="58A4164C" w14:textId="77777777" w:rsidR="00AE73EC" w:rsidRPr="006F22BF" w:rsidRDefault="00AE73EC" w:rsidP="00AE73EC">
      <w:pPr>
        <w:rPr>
          <w:rFonts w:cstheme="minorHAnsi"/>
          <w:sz w:val="21"/>
          <w:szCs w:val="21"/>
          <w:lang w:val="mi-NZ"/>
        </w:rPr>
      </w:pPr>
    </w:p>
    <w:p w14:paraId="29F84112" w14:textId="77777777" w:rsidR="00AE73EC" w:rsidRPr="006F22BF" w:rsidRDefault="00AE73EC" w:rsidP="00AE73EC">
      <w:pPr>
        <w:ind w:left="2880" w:hanging="2880"/>
        <w:rPr>
          <w:rFonts w:cstheme="minorHAnsi"/>
          <w:sz w:val="21"/>
          <w:szCs w:val="21"/>
          <w:lang w:val="mi-NZ"/>
        </w:rPr>
      </w:pPr>
      <w:r w:rsidRPr="006F22BF">
        <w:rPr>
          <w:rFonts w:cstheme="minorHAnsi"/>
          <w:sz w:val="21"/>
          <w:szCs w:val="21"/>
          <w:lang w:val="mi-NZ"/>
        </w:rPr>
        <w:t>Hapū</w:t>
      </w:r>
      <w:r w:rsidRPr="006F22BF">
        <w:rPr>
          <w:rFonts w:cstheme="minorHAnsi"/>
          <w:sz w:val="21"/>
          <w:szCs w:val="21"/>
          <w:lang w:val="mi-NZ"/>
        </w:rPr>
        <w:tab/>
      </w:r>
      <w:r w:rsidRPr="006F22BF">
        <w:rPr>
          <w:rFonts w:cstheme="minorHAnsi"/>
          <w:sz w:val="21"/>
          <w:szCs w:val="21"/>
        </w:rPr>
        <w:t xml:space="preserve">Māori subtribe consisting of a number of </w:t>
      </w:r>
      <w:proofErr w:type="spellStart"/>
      <w:r w:rsidRPr="006F22BF">
        <w:rPr>
          <w:rFonts w:cstheme="minorHAnsi"/>
          <w:sz w:val="21"/>
          <w:szCs w:val="21"/>
        </w:rPr>
        <w:t>whānau</w:t>
      </w:r>
      <w:proofErr w:type="spellEnd"/>
      <w:r w:rsidRPr="006F22BF">
        <w:rPr>
          <w:rFonts w:cstheme="minorHAnsi"/>
          <w:sz w:val="21"/>
          <w:szCs w:val="21"/>
        </w:rPr>
        <w:t xml:space="preserve"> sharing descent from a common ancestor</w:t>
      </w:r>
    </w:p>
    <w:p w14:paraId="33E512C0" w14:textId="77777777" w:rsidR="00AE73EC" w:rsidRPr="006F22BF" w:rsidRDefault="00AE73EC" w:rsidP="00AE73EC">
      <w:pPr>
        <w:rPr>
          <w:rFonts w:cstheme="minorHAnsi"/>
          <w:sz w:val="21"/>
          <w:szCs w:val="21"/>
          <w:lang w:val="mi-NZ"/>
        </w:rPr>
      </w:pPr>
    </w:p>
    <w:p w14:paraId="760D26F7" w14:textId="77777777" w:rsidR="00AE73EC" w:rsidRPr="006F22BF" w:rsidRDefault="00AE73EC" w:rsidP="00AE73EC">
      <w:pPr>
        <w:ind w:left="2880" w:hanging="2880"/>
        <w:rPr>
          <w:rFonts w:cstheme="minorHAnsi"/>
          <w:sz w:val="21"/>
          <w:szCs w:val="21"/>
          <w:lang w:val="mi-NZ"/>
        </w:rPr>
      </w:pPr>
      <w:r w:rsidRPr="006F22BF">
        <w:rPr>
          <w:rFonts w:cstheme="minorHAnsi"/>
          <w:sz w:val="21"/>
          <w:szCs w:val="21"/>
          <w:lang w:val="mi-NZ"/>
        </w:rPr>
        <w:t>Iwi</w:t>
      </w:r>
      <w:r w:rsidRPr="006F22BF">
        <w:rPr>
          <w:rFonts w:cstheme="minorHAnsi"/>
          <w:sz w:val="21"/>
          <w:szCs w:val="21"/>
          <w:lang w:val="mi-NZ"/>
        </w:rPr>
        <w:tab/>
      </w:r>
      <w:r w:rsidRPr="006F22BF">
        <w:rPr>
          <w:rFonts w:cstheme="minorHAnsi"/>
          <w:sz w:val="21"/>
          <w:szCs w:val="21"/>
        </w:rPr>
        <w:t>Māori tribe - often refers to a large group of people descended from a common ancestor and associated with a distinct territory</w:t>
      </w:r>
    </w:p>
    <w:p w14:paraId="719CBC0D" w14:textId="77777777" w:rsidR="00AE73EC" w:rsidRPr="006F22BF" w:rsidRDefault="00AE73EC" w:rsidP="00AE73EC">
      <w:pPr>
        <w:rPr>
          <w:rFonts w:cstheme="minorHAnsi"/>
          <w:sz w:val="21"/>
          <w:szCs w:val="21"/>
          <w:lang w:val="mi-NZ"/>
        </w:rPr>
      </w:pPr>
    </w:p>
    <w:p w14:paraId="24E73556" w14:textId="77777777" w:rsidR="00AE73EC" w:rsidRPr="006F22BF" w:rsidRDefault="00AE73EC" w:rsidP="00AE73EC">
      <w:pPr>
        <w:rPr>
          <w:rFonts w:cstheme="minorHAnsi"/>
          <w:sz w:val="21"/>
          <w:szCs w:val="21"/>
          <w:lang w:val="mi-NZ"/>
        </w:rPr>
      </w:pPr>
      <w:r w:rsidRPr="006F22BF">
        <w:rPr>
          <w:rFonts w:cstheme="minorHAnsi"/>
          <w:sz w:val="21"/>
          <w:szCs w:val="21"/>
          <w:lang w:val="mi-NZ"/>
        </w:rPr>
        <w:t>Kaitiakitanga</w:t>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rPr>
        <w:t>Guardianship, stewardship, trusteeship</w:t>
      </w:r>
    </w:p>
    <w:p w14:paraId="54F5EC66" w14:textId="77777777" w:rsidR="00AE73EC" w:rsidRPr="006F22BF" w:rsidRDefault="00AE73EC" w:rsidP="00AE73EC">
      <w:pPr>
        <w:rPr>
          <w:rFonts w:cstheme="minorHAnsi"/>
          <w:sz w:val="21"/>
          <w:szCs w:val="21"/>
          <w:lang w:val="mi-NZ"/>
        </w:rPr>
      </w:pPr>
    </w:p>
    <w:p w14:paraId="797ADBD2" w14:textId="77777777" w:rsidR="00AE73EC" w:rsidRPr="006F22BF" w:rsidRDefault="00AE73EC" w:rsidP="00AE73EC">
      <w:pPr>
        <w:rPr>
          <w:rFonts w:cstheme="minorHAnsi"/>
          <w:sz w:val="21"/>
          <w:szCs w:val="21"/>
          <w:lang w:val="mi-NZ"/>
        </w:rPr>
      </w:pPr>
      <w:r w:rsidRPr="006F22BF">
        <w:rPr>
          <w:rFonts w:cstheme="minorHAnsi"/>
          <w:sz w:val="21"/>
          <w:szCs w:val="21"/>
          <w:lang w:val="mi-NZ"/>
        </w:rPr>
        <w:t>Kāwanatanga</w:t>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rPr>
        <w:t>Government, dominion, rule, authority, governorship</w:t>
      </w:r>
    </w:p>
    <w:p w14:paraId="794FEE2A" w14:textId="77777777" w:rsidR="00AE73EC" w:rsidRPr="006F22BF" w:rsidRDefault="00AE73EC" w:rsidP="00AE73EC">
      <w:pPr>
        <w:rPr>
          <w:rFonts w:cstheme="minorHAnsi"/>
          <w:sz w:val="21"/>
          <w:szCs w:val="21"/>
          <w:lang w:val="mi-NZ"/>
        </w:rPr>
      </w:pPr>
    </w:p>
    <w:p w14:paraId="0A70AA3C" w14:textId="77777777" w:rsidR="00AE73EC" w:rsidRPr="006F22BF" w:rsidRDefault="00AE73EC" w:rsidP="00AE73EC">
      <w:pPr>
        <w:rPr>
          <w:rFonts w:cstheme="minorHAnsi"/>
          <w:sz w:val="21"/>
          <w:szCs w:val="21"/>
          <w:lang w:val="mi-NZ"/>
        </w:rPr>
      </w:pPr>
      <w:r w:rsidRPr="006F22BF">
        <w:rPr>
          <w:rFonts w:cstheme="minorHAnsi"/>
          <w:sz w:val="21"/>
          <w:szCs w:val="21"/>
          <w:lang w:val="mi-NZ"/>
        </w:rPr>
        <w:t>Maatauranga</w:t>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t>Knowledge, wisdom, understanding</w:t>
      </w:r>
    </w:p>
    <w:p w14:paraId="1F3F85B5" w14:textId="77777777" w:rsidR="00AE73EC" w:rsidRPr="006F22BF" w:rsidRDefault="00AE73EC" w:rsidP="00AE73EC">
      <w:pPr>
        <w:rPr>
          <w:rFonts w:cstheme="minorHAnsi"/>
          <w:sz w:val="21"/>
          <w:szCs w:val="21"/>
          <w:lang w:val="mi-NZ"/>
        </w:rPr>
      </w:pPr>
    </w:p>
    <w:p w14:paraId="62F93649" w14:textId="77777777" w:rsidR="00AE73EC" w:rsidRPr="006F22BF" w:rsidRDefault="00AE73EC" w:rsidP="00EB4B92">
      <w:pPr>
        <w:spacing w:after="0" w:line="240" w:lineRule="auto"/>
        <w:rPr>
          <w:rFonts w:cstheme="minorHAnsi"/>
          <w:sz w:val="21"/>
          <w:szCs w:val="21"/>
        </w:rPr>
      </w:pPr>
      <w:r w:rsidRPr="006F22BF">
        <w:rPr>
          <w:rFonts w:cstheme="minorHAnsi"/>
          <w:sz w:val="21"/>
          <w:szCs w:val="21"/>
          <w:lang w:val="mi-NZ"/>
        </w:rPr>
        <w:t>Mana</w:t>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rPr>
        <w:t xml:space="preserve">A supernatural force in a person, place or object. Mana is </w:t>
      </w:r>
    </w:p>
    <w:p w14:paraId="0DA47DF1" w14:textId="77777777" w:rsidR="00AE73EC" w:rsidRPr="006F22BF" w:rsidRDefault="00AE73EC" w:rsidP="00EB4B92">
      <w:pPr>
        <w:spacing w:after="0" w:line="240" w:lineRule="auto"/>
        <w:ind w:left="2880"/>
        <w:rPr>
          <w:rFonts w:cstheme="minorHAnsi"/>
          <w:sz w:val="21"/>
          <w:szCs w:val="21"/>
          <w:lang w:val="mi-NZ"/>
        </w:rPr>
      </w:pPr>
      <w:r w:rsidRPr="006F22BF">
        <w:rPr>
          <w:rFonts w:cstheme="minorHAnsi"/>
          <w:sz w:val="21"/>
          <w:szCs w:val="21"/>
        </w:rPr>
        <w:t>enduring, inherited at birth and flows from atua (gods). Mana can also be understood as prestige, authority, control, power, influence, status, spiritual power, charisma. A person’s mana can increase and decrease through different events and over time</w:t>
      </w:r>
    </w:p>
    <w:p w14:paraId="7A803DD8" w14:textId="77777777" w:rsidR="00AE73EC" w:rsidRPr="006F22BF" w:rsidRDefault="00AE73EC" w:rsidP="00AE73EC">
      <w:pPr>
        <w:rPr>
          <w:rFonts w:cstheme="minorHAnsi"/>
          <w:sz w:val="21"/>
          <w:szCs w:val="21"/>
          <w:lang w:val="mi-NZ"/>
        </w:rPr>
      </w:pPr>
    </w:p>
    <w:p w14:paraId="24D1899F" w14:textId="77777777" w:rsidR="00AE73EC" w:rsidRPr="006F22BF" w:rsidRDefault="00AE73EC" w:rsidP="00AE73EC">
      <w:pPr>
        <w:ind w:left="2880" w:hanging="2880"/>
        <w:rPr>
          <w:rFonts w:cstheme="minorHAnsi"/>
          <w:sz w:val="21"/>
          <w:szCs w:val="21"/>
          <w:lang w:val="mi-NZ"/>
        </w:rPr>
      </w:pPr>
      <w:r w:rsidRPr="006F22BF">
        <w:rPr>
          <w:rFonts w:cstheme="minorHAnsi"/>
          <w:sz w:val="21"/>
          <w:szCs w:val="21"/>
          <w:lang w:val="mi-NZ"/>
        </w:rPr>
        <w:t>Mana Whenua</w:t>
      </w:r>
      <w:r w:rsidRPr="006F22BF">
        <w:rPr>
          <w:rFonts w:cstheme="minorHAnsi"/>
          <w:sz w:val="21"/>
          <w:szCs w:val="21"/>
          <w:lang w:val="mi-NZ"/>
        </w:rPr>
        <w:tab/>
      </w:r>
      <w:r w:rsidRPr="006F22BF">
        <w:rPr>
          <w:rFonts w:cstheme="minorHAnsi"/>
          <w:sz w:val="21"/>
          <w:szCs w:val="21"/>
        </w:rPr>
        <w:t>Territorial rights, power from the land, authority over land or territory, jurisdiction over land or territory - power associated with possession and occupation of tribal land</w:t>
      </w:r>
    </w:p>
    <w:p w14:paraId="15995FDF" w14:textId="77777777" w:rsidR="00AE73EC" w:rsidRPr="006F22BF" w:rsidRDefault="00AE73EC" w:rsidP="00AE73EC">
      <w:pPr>
        <w:rPr>
          <w:rFonts w:cstheme="minorHAnsi"/>
          <w:sz w:val="21"/>
          <w:szCs w:val="21"/>
          <w:lang w:val="mi-NZ"/>
        </w:rPr>
      </w:pPr>
    </w:p>
    <w:p w14:paraId="58E2B0DB" w14:textId="64903053" w:rsidR="00CD4D75" w:rsidRPr="006F22BF" w:rsidRDefault="00CD4D75" w:rsidP="00AE73EC">
      <w:pPr>
        <w:ind w:left="2880" w:hanging="2880"/>
        <w:rPr>
          <w:rFonts w:cstheme="minorHAnsi"/>
          <w:sz w:val="21"/>
          <w:szCs w:val="21"/>
          <w:lang w:val="mi-NZ"/>
        </w:rPr>
      </w:pPr>
      <w:r w:rsidRPr="006F22BF">
        <w:rPr>
          <w:rFonts w:cstheme="minorHAnsi"/>
          <w:sz w:val="21"/>
          <w:szCs w:val="21"/>
          <w:lang w:val="mi-NZ"/>
        </w:rPr>
        <w:t xml:space="preserve">Matariki </w:t>
      </w:r>
      <w:r w:rsidR="008E12EB" w:rsidRPr="006F22BF">
        <w:rPr>
          <w:rFonts w:cstheme="minorHAnsi"/>
          <w:sz w:val="21"/>
          <w:szCs w:val="21"/>
          <w:lang w:val="mi-NZ"/>
        </w:rPr>
        <w:tab/>
      </w:r>
      <w:r w:rsidR="004A51F4" w:rsidRPr="006F22BF">
        <w:rPr>
          <w:rFonts w:cstheme="minorHAnsi"/>
          <w:sz w:val="21"/>
          <w:szCs w:val="21"/>
        </w:rPr>
        <w:t>A</w:t>
      </w:r>
      <w:r w:rsidR="0042665C" w:rsidRPr="006F22BF">
        <w:rPr>
          <w:rFonts w:cstheme="minorHAnsi"/>
          <w:sz w:val="21"/>
          <w:szCs w:val="21"/>
        </w:rPr>
        <w:t xml:space="preserve"> cluster of nine stars</w:t>
      </w:r>
      <w:r w:rsidR="004A51F4" w:rsidRPr="006F22BF">
        <w:rPr>
          <w:rFonts w:cstheme="minorHAnsi"/>
          <w:sz w:val="21"/>
          <w:szCs w:val="21"/>
        </w:rPr>
        <w:t xml:space="preserve"> with special significance to </w:t>
      </w:r>
      <w:r w:rsidR="004A51F4" w:rsidRPr="006F22BF">
        <w:rPr>
          <w:rFonts w:cstheme="minorHAnsi"/>
          <w:sz w:val="21"/>
          <w:szCs w:val="21"/>
          <w:lang w:val="mi-NZ"/>
        </w:rPr>
        <w:t>Māori</w:t>
      </w:r>
      <w:r w:rsidR="0042665C" w:rsidRPr="006F22BF">
        <w:rPr>
          <w:rFonts w:cstheme="minorHAnsi"/>
          <w:sz w:val="21"/>
          <w:szCs w:val="21"/>
        </w:rPr>
        <w:t xml:space="preserve">. The first appearance before sunrise of </w:t>
      </w:r>
      <w:proofErr w:type="spellStart"/>
      <w:r w:rsidR="0042665C" w:rsidRPr="006F22BF">
        <w:rPr>
          <w:rFonts w:cstheme="minorHAnsi"/>
          <w:sz w:val="21"/>
          <w:szCs w:val="21"/>
        </w:rPr>
        <w:t>Matariki</w:t>
      </w:r>
      <w:proofErr w:type="spellEnd"/>
      <w:r w:rsidR="0042665C" w:rsidRPr="006F22BF">
        <w:rPr>
          <w:rFonts w:cstheme="minorHAnsi"/>
          <w:sz w:val="21"/>
          <w:szCs w:val="21"/>
        </w:rPr>
        <w:t xml:space="preserve"> in the north-eastern sky indicates the beginning of the Māori year - about mid-June - and is the cause for celebrations</w:t>
      </w:r>
      <w:r w:rsidR="009D24C0" w:rsidRPr="006F22BF">
        <w:rPr>
          <w:rFonts w:cstheme="minorHAnsi"/>
          <w:sz w:val="21"/>
          <w:szCs w:val="21"/>
        </w:rPr>
        <w:t xml:space="preserve">, </w:t>
      </w:r>
      <w:proofErr w:type="gramStart"/>
      <w:r w:rsidR="009D24C0" w:rsidRPr="006F22BF">
        <w:rPr>
          <w:rFonts w:cstheme="minorHAnsi"/>
          <w:sz w:val="21"/>
          <w:szCs w:val="21"/>
        </w:rPr>
        <w:t>remembrance</w:t>
      </w:r>
      <w:proofErr w:type="gramEnd"/>
      <w:r w:rsidR="009D24C0" w:rsidRPr="006F22BF">
        <w:rPr>
          <w:rFonts w:cstheme="minorHAnsi"/>
          <w:sz w:val="21"/>
          <w:szCs w:val="21"/>
        </w:rPr>
        <w:t xml:space="preserve"> and planning</w:t>
      </w:r>
    </w:p>
    <w:p w14:paraId="39ECF39D" w14:textId="77777777" w:rsidR="00CD4D75" w:rsidRPr="006F22BF" w:rsidRDefault="00CD4D75" w:rsidP="00AE73EC">
      <w:pPr>
        <w:ind w:left="2880" w:hanging="2880"/>
        <w:rPr>
          <w:rFonts w:cstheme="minorHAnsi"/>
          <w:sz w:val="21"/>
          <w:szCs w:val="21"/>
          <w:lang w:val="mi-NZ"/>
        </w:rPr>
      </w:pPr>
    </w:p>
    <w:p w14:paraId="5B0ABB6A" w14:textId="0BA7A837" w:rsidR="00626091" w:rsidRPr="006F22BF" w:rsidRDefault="00626091" w:rsidP="00AE73EC">
      <w:pPr>
        <w:ind w:left="2880" w:hanging="2880"/>
        <w:rPr>
          <w:rFonts w:cstheme="minorHAnsi"/>
          <w:sz w:val="21"/>
          <w:szCs w:val="21"/>
          <w:lang w:val="mi-NZ"/>
        </w:rPr>
      </w:pPr>
      <w:r w:rsidRPr="006F22BF">
        <w:rPr>
          <w:rFonts w:cstheme="minorHAnsi"/>
          <w:sz w:val="21"/>
          <w:szCs w:val="21"/>
          <w:lang w:val="mi-NZ"/>
        </w:rPr>
        <w:t xml:space="preserve">Mauri </w:t>
      </w:r>
      <w:r w:rsidRPr="006F22BF">
        <w:rPr>
          <w:rFonts w:cstheme="minorHAnsi"/>
          <w:sz w:val="21"/>
          <w:szCs w:val="21"/>
          <w:lang w:val="mi-NZ"/>
        </w:rPr>
        <w:tab/>
        <w:t>Life force</w:t>
      </w:r>
    </w:p>
    <w:p w14:paraId="2988D1FB" w14:textId="77777777" w:rsidR="00626091" w:rsidRPr="006F22BF" w:rsidRDefault="00626091" w:rsidP="00AE73EC">
      <w:pPr>
        <w:ind w:left="2880" w:hanging="2880"/>
        <w:rPr>
          <w:rFonts w:cstheme="minorHAnsi"/>
          <w:sz w:val="21"/>
          <w:szCs w:val="21"/>
          <w:lang w:val="mi-NZ"/>
        </w:rPr>
      </w:pPr>
    </w:p>
    <w:p w14:paraId="37FFAFF3" w14:textId="6FC0D5B5" w:rsidR="00AE73EC" w:rsidRPr="006F22BF" w:rsidRDefault="00AE73EC" w:rsidP="00AE73EC">
      <w:pPr>
        <w:ind w:left="2880" w:hanging="2880"/>
        <w:rPr>
          <w:rFonts w:cstheme="minorHAnsi"/>
          <w:sz w:val="21"/>
          <w:szCs w:val="21"/>
          <w:lang w:val="mi-NZ"/>
        </w:rPr>
      </w:pPr>
      <w:r w:rsidRPr="006F22BF">
        <w:rPr>
          <w:rFonts w:cstheme="minorHAnsi"/>
          <w:sz w:val="21"/>
          <w:szCs w:val="21"/>
          <w:lang w:val="mi-NZ"/>
        </w:rPr>
        <w:lastRenderedPageBreak/>
        <w:t xml:space="preserve">Oranga Tamariki </w:t>
      </w:r>
      <w:r w:rsidRPr="006F22BF">
        <w:rPr>
          <w:rFonts w:cstheme="minorHAnsi"/>
          <w:sz w:val="21"/>
          <w:szCs w:val="21"/>
          <w:lang w:val="mi-NZ"/>
        </w:rPr>
        <w:tab/>
        <w:t xml:space="preserve">Aotearoa New Zealand’s Ministry for Children – the government agency responsible for the </w:t>
      </w:r>
      <w:r w:rsidR="009D24C0" w:rsidRPr="006F22BF">
        <w:rPr>
          <w:rFonts w:cstheme="minorHAnsi"/>
          <w:sz w:val="21"/>
          <w:szCs w:val="21"/>
          <w:lang w:val="mi-NZ"/>
        </w:rPr>
        <w:t>S</w:t>
      </w:r>
      <w:r w:rsidRPr="006F22BF">
        <w:rPr>
          <w:rFonts w:cstheme="minorHAnsi"/>
          <w:sz w:val="21"/>
          <w:szCs w:val="21"/>
          <w:lang w:val="mi-NZ"/>
        </w:rPr>
        <w:t xml:space="preserve">tate child care, protection and youth justice system </w:t>
      </w:r>
    </w:p>
    <w:p w14:paraId="670DD11F" w14:textId="77777777" w:rsidR="00AE73EC" w:rsidRPr="006F22BF" w:rsidRDefault="00AE73EC" w:rsidP="00AE73EC">
      <w:pPr>
        <w:rPr>
          <w:rFonts w:cstheme="minorHAnsi"/>
          <w:sz w:val="21"/>
          <w:szCs w:val="21"/>
          <w:lang w:val="mi-NZ"/>
        </w:rPr>
      </w:pPr>
    </w:p>
    <w:p w14:paraId="181C75EB" w14:textId="4A3D844D" w:rsidR="00AE73EC" w:rsidRPr="006F22BF" w:rsidRDefault="00AE73EC" w:rsidP="00AE73EC">
      <w:pPr>
        <w:rPr>
          <w:rFonts w:cstheme="minorHAnsi"/>
          <w:sz w:val="21"/>
          <w:szCs w:val="21"/>
          <w:lang w:val="mi-NZ"/>
        </w:rPr>
      </w:pPr>
      <w:r w:rsidRPr="006F22BF">
        <w:rPr>
          <w:rFonts w:cstheme="minorHAnsi"/>
          <w:sz w:val="21"/>
          <w:szCs w:val="21"/>
          <w:lang w:val="mi-NZ"/>
        </w:rPr>
        <w:t>Pākehā</w:t>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t>New Zealander of European descent</w:t>
      </w:r>
    </w:p>
    <w:p w14:paraId="16E4822E" w14:textId="77777777" w:rsidR="00AE73EC" w:rsidRPr="006F22BF" w:rsidRDefault="00AE73EC" w:rsidP="00AE73EC">
      <w:pPr>
        <w:rPr>
          <w:rFonts w:cstheme="minorHAnsi"/>
          <w:sz w:val="21"/>
          <w:szCs w:val="21"/>
          <w:lang w:val="mi-NZ"/>
        </w:rPr>
      </w:pPr>
    </w:p>
    <w:p w14:paraId="5762CEF7" w14:textId="77777777" w:rsidR="00AE73EC" w:rsidRPr="006F22BF" w:rsidRDefault="00AE73EC" w:rsidP="00AE73EC">
      <w:pPr>
        <w:rPr>
          <w:rFonts w:cstheme="minorHAnsi"/>
          <w:sz w:val="21"/>
          <w:szCs w:val="21"/>
          <w:lang w:val="mi-NZ"/>
        </w:rPr>
      </w:pPr>
      <w:r w:rsidRPr="006F22BF">
        <w:rPr>
          <w:rFonts w:cstheme="minorHAnsi"/>
          <w:sz w:val="21"/>
          <w:szCs w:val="21"/>
          <w:lang w:val="mi-NZ"/>
        </w:rPr>
        <w:t>Pēpē</w:t>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t>Baby, Māori baby</w:t>
      </w:r>
    </w:p>
    <w:p w14:paraId="04AAB2AD" w14:textId="77777777" w:rsidR="00AE73EC" w:rsidRPr="006F22BF" w:rsidRDefault="00AE73EC" w:rsidP="00AE73EC">
      <w:pPr>
        <w:rPr>
          <w:rFonts w:cstheme="minorHAnsi"/>
          <w:sz w:val="21"/>
          <w:szCs w:val="21"/>
          <w:lang w:val="mi-NZ"/>
        </w:rPr>
      </w:pPr>
    </w:p>
    <w:p w14:paraId="23953B44" w14:textId="77777777" w:rsidR="00AE73EC" w:rsidRPr="006F22BF" w:rsidRDefault="00AE73EC" w:rsidP="00AE73EC">
      <w:pPr>
        <w:rPr>
          <w:rFonts w:cstheme="minorHAnsi"/>
          <w:sz w:val="21"/>
          <w:szCs w:val="21"/>
          <w:lang w:val="mi-NZ"/>
        </w:rPr>
      </w:pPr>
      <w:r w:rsidRPr="006F22BF">
        <w:rPr>
          <w:rFonts w:cstheme="minorHAnsi"/>
          <w:sz w:val="21"/>
          <w:szCs w:val="21"/>
          <w:lang w:val="mi-NZ"/>
        </w:rPr>
        <w:t>Rangatahi</w:t>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rPr>
        <w:t>Younger generation, Māori youth</w:t>
      </w:r>
    </w:p>
    <w:p w14:paraId="2F0F5DD2" w14:textId="77777777" w:rsidR="00AE73EC" w:rsidRPr="006F22BF" w:rsidRDefault="00AE73EC" w:rsidP="00AE73EC">
      <w:pPr>
        <w:rPr>
          <w:rFonts w:cstheme="minorHAnsi"/>
          <w:sz w:val="21"/>
          <w:szCs w:val="21"/>
          <w:lang w:val="mi-NZ"/>
        </w:rPr>
      </w:pPr>
    </w:p>
    <w:p w14:paraId="7B8F0B04" w14:textId="77777777" w:rsidR="00AE73EC" w:rsidRPr="006F22BF" w:rsidRDefault="00AE73EC" w:rsidP="00AE73EC">
      <w:pPr>
        <w:rPr>
          <w:rFonts w:cstheme="minorHAnsi"/>
          <w:sz w:val="21"/>
          <w:szCs w:val="21"/>
          <w:lang w:val="mi-NZ"/>
        </w:rPr>
      </w:pPr>
      <w:r w:rsidRPr="006F22BF">
        <w:rPr>
          <w:rFonts w:cstheme="minorHAnsi"/>
          <w:sz w:val="21"/>
          <w:szCs w:val="21"/>
          <w:lang w:val="mi-NZ"/>
        </w:rPr>
        <w:t>Rangatira</w:t>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t>Chief</w:t>
      </w:r>
    </w:p>
    <w:p w14:paraId="39A68E77" w14:textId="77777777" w:rsidR="00AE73EC" w:rsidRPr="006F22BF" w:rsidRDefault="00AE73EC" w:rsidP="00AE73EC">
      <w:pPr>
        <w:rPr>
          <w:rFonts w:cstheme="minorHAnsi"/>
          <w:sz w:val="21"/>
          <w:szCs w:val="21"/>
          <w:lang w:val="mi-NZ"/>
        </w:rPr>
      </w:pPr>
    </w:p>
    <w:p w14:paraId="5E20D263" w14:textId="77777777" w:rsidR="00626091" w:rsidRPr="006F22BF" w:rsidRDefault="00626091" w:rsidP="00626091">
      <w:pPr>
        <w:rPr>
          <w:rFonts w:cstheme="minorHAnsi"/>
          <w:sz w:val="21"/>
          <w:szCs w:val="21"/>
          <w:lang w:val="mi-NZ"/>
        </w:rPr>
      </w:pPr>
      <w:r w:rsidRPr="006F22BF">
        <w:rPr>
          <w:rFonts w:cstheme="minorHAnsi"/>
          <w:sz w:val="21"/>
          <w:szCs w:val="21"/>
          <w:lang w:val="mi-NZ"/>
        </w:rPr>
        <w:t xml:space="preserve">Tamariki </w:t>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t>Children, Māori children</w:t>
      </w:r>
    </w:p>
    <w:p w14:paraId="6483FD28" w14:textId="77777777" w:rsidR="00626091" w:rsidRPr="006F22BF" w:rsidRDefault="00626091" w:rsidP="00AE73EC">
      <w:pPr>
        <w:rPr>
          <w:rFonts w:cstheme="minorHAnsi"/>
          <w:sz w:val="21"/>
          <w:szCs w:val="21"/>
          <w:lang w:val="mi-NZ"/>
        </w:rPr>
      </w:pPr>
    </w:p>
    <w:p w14:paraId="1156BFE8" w14:textId="48A983A8" w:rsidR="00626091" w:rsidRPr="006F22BF" w:rsidRDefault="00626091" w:rsidP="00AE73EC">
      <w:pPr>
        <w:rPr>
          <w:rFonts w:cstheme="minorHAnsi"/>
          <w:sz w:val="21"/>
          <w:szCs w:val="21"/>
          <w:lang w:val="mi-NZ"/>
        </w:rPr>
      </w:pPr>
      <w:r w:rsidRPr="006F22BF">
        <w:rPr>
          <w:rFonts w:cstheme="minorHAnsi"/>
          <w:sz w:val="21"/>
          <w:szCs w:val="21"/>
          <w:lang w:val="mi-NZ"/>
        </w:rPr>
        <w:t xml:space="preserve">Tapu </w:t>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t xml:space="preserve">Sacred, prohibited, protected, set apart </w:t>
      </w:r>
    </w:p>
    <w:p w14:paraId="2EF7C43F" w14:textId="77777777" w:rsidR="00626091" w:rsidRPr="006F22BF" w:rsidRDefault="00626091" w:rsidP="00AE73EC">
      <w:pPr>
        <w:rPr>
          <w:rFonts w:cstheme="minorHAnsi"/>
          <w:sz w:val="21"/>
          <w:szCs w:val="21"/>
          <w:lang w:val="mi-NZ"/>
        </w:rPr>
      </w:pPr>
    </w:p>
    <w:p w14:paraId="45B4485E" w14:textId="480CD297" w:rsidR="00AE73EC" w:rsidRPr="006F22BF" w:rsidRDefault="00AE73EC" w:rsidP="00AE73EC">
      <w:pPr>
        <w:rPr>
          <w:rFonts w:cstheme="minorHAnsi"/>
          <w:sz w:val="21"/>
          <w:szCs w:val="21"/>
          <w:lang w:val="mi-NZ"/>
        </w:rPr>
      </w:pPr>
      <w:r w:rsidRPr="006F22BF">
        <w:rPr>
          <w:rFonts w:cstheme="minorHAnsi"/>
          <w:sz w:val="21"/>
          <w:szCs w:val="21"/>
          <w:lang w:val="mi-NZ"/>
        </w:rPr>
        <w:t>Tangata whenua</w:t>
      </w:r>
      <w:r w:rsidRPr="006F22BF">
        <w:rPr>
          <w:rFonts w:cstheme="minorHAnsi"/>
          <w:sz w:val="21"/>
          <w:szCs w:val="21"/>
          <w:lang w:val="mi-NZ"/>
        </w:rPr>
        <w:tab/>
      </w:r>
      <w:r w:rsidRPr="006F22BF">
        <w:rPr>
          <w:rFonts w:cstheme="minorHAnsi"/>
          <w:sz w:val="21"/>
          <w:szCs w:val="21"/>
          <w:lang w:val="mi-NZ"/>
        </w:rPr>
        <w:tab/>
        <w:t>People of the land or first peoples</w:t>
      </w:r>
    </w:p>
    <w:p w14:paraId="5F9C6DDF" w14:textId="77777777" w:rsidR="00AE73EC" w:rsidRPr="006F22BF" w:rsidRDefault="00AE73EC" w:rsidP="00AE73EC">
      <w:pPr>
        <w:rPr>
          <w:rFonts w:cstheme="minorHAnsi"/>
          <w:sz w:val="21"/>
          <w:szCs w:val="21"/>
          <w:lang w:val="mi-NZ"/>
        </w:rPr>
      </w:pPr>
    </w:p>
    <w:p w14:paraId="0F2FF4A2" w14:textId="77777777" w:rsidR="00AE73EC" w:rsidRPr="006F22BF" w:rsidRDefault="00AE73EC" w:rsidP="00AE73EC">
      <w:pPr>
        <w:rPr>
          <w:rFonts w:cstheme="minorHAnsi"/>
          <w:sz w:val="21"/>
          <w:szCs w:val="21"/>
          <w:lang w:val="mi-NZ"/>
        </w:rPr>
      </w:pPr>
      <w:r w:rsidRPr="006F22BF">
        <w:rPr>
          <w:rFonts w:cstheme="minorHAnsi"/>
          <w:sz w:val="21"/>
          <w:szCs w:val="21"/>
          <w:lang w:val="mi-NZ"/>
        </w:rPr>
        <w:t>Tīpuna</w:t>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rPr>
        <w:t>Ancestors, grandparents</w:t>
      </w:r>
    </w:p>
    <w:p w14:paraId="3DC89E8D" w14:textId="77777777" w:rsidR="00AE73EC" w:rsidRPr="006F22BF" w:rsidRDefault="00AE73EC" w:rsidP="00AE73EC">
      <w:pPr>
        <w:rPr>
          <w:rFonts w:cstheme="minorHAnsi"/>
          <w:sz w:val="21"/>
          <w:szCs w:val="21"/>
          <w:lang w:val="mi-NZ"/>
        </w:rPr>
      </w:pPr>
    </w:p>
    <w:p w14:paraId="54776DCC" w14:textId="77777777" w:rsidR="00AE73EC" w:rsidRPr="006F22BF" w:rsidRDefault="00AE73EC" w:rsidP="00AE73EC">
      <w:pPr>
        <w:rPr>
          <w:rFonts w:cstheme="minorHAnsi"/>
          <w:sz w:val="21"/>
          <w:szCs w:val="21"/>
          <w:lang w:val="mi-NZ"/>
        </w:rPr>
      </w:pPr>
      <w:r w:rsidRPr="006F22BF">
        <w:rPr>
          <w:rFonts w:cstheme="minorHAnsi"/>
          <w:sz w:val="21"/>
          <w:szCs w:val="21"/>
          <w:lang w:val="mi-NZ"/>
        </w:rPr>
        <w:t>Toiora</w:t>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t>Wellbeing, welfare</w:t>
      </w:r>
    </w:p>
    <w:p w14:paraId="04BC1E81" w14:textId="77777777" w:rsidR="00AE73EC" w:rsidRPr="006F22BF" w:rsidRDefault="00AE73EC" w:rsidP="00AE73EC">
      <w:pPr>
        <w:rPr>
          <w:rFonts w:cstheme="minorHAnsi"/>
          <w:sz w:val="21"/>
          <w:szCs w:val="21"/>
          <w:lang w:val="mi-NZ"/>
        </w:rPr>
      </w:pPr>
    </w:p>
    <w:p w14:paraId="3FEAE3D9" w14:textId="77777777" w:rsidR="00AE73EC" w:rsidRPr="006F22BF" w:rsidRDefault="00AE73EC" w:rsidP="00AE73EC">
      <w:pPr>
        <w:rPr>
          <w:rFonts w:cstheme="minorHAnsi"/>
          <w:sz w:val="21"/>
          <w:szCs w:val="21"/>
          <w:lang w:val="mi-NZ"/>
        </w:rPr>
      </w:pPr>
      <w:r w:rsidRPr="006F22BF">
        <w:rPr>
          <w:rFonts w:cstheme="minorHAnsi"/>
          <w:sz w:val="21"/>
          <w:szCs w:val="21"/>
          <w:lang w:val="mi-NZ"/>
        </w:rPr>
        <w:t>Te ao Māori</w:t>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t>The Māori world view</w:t>
      </w:r>
    </w:p>
    <w:p w14:paraId="3133E362" w14:textId="77777777" w:rsidR="00AE73EC" w:rsidRPr="006F22BF" w:rsidRDefault="00AE73EC" w:rsidP="00AE73EC">
      <w:pPr>
        <w:rPr>
          <w:rFonts w:cstheme="minorHAnsi"/>
          <w:sz w:val="21"/>
          <w:szCs w:val="21"/>
          <w:lang w:val="mi-NZ"/>
        </w:rPr>
      </w:pPr>
    </w:p>
    <w:p w14:paraId="2EA7017E" w14:textId="0CAE83C0" w:rsidR="00AE73EC" w:rsidRPr="006F22BF" w:rsidRDefault="00AE73EC" w:rsidP="00AE73EC">
      <w:pPr>
        <w:rPr>
          <w:rFonts w:cstheme="minorHAnsi"/>
          <w:sz w:val="21"/>
          <w:szCs w:val="21"/>
          <w:lang w:val="mi-NZ"/>
        </w:rPr>
      </w:pPr>
      <w:r w:rsidRPr="006F22BF">
        <w:rPr>
          <w:rFonts w:cstheme="minorHAnsi"/>
          <w:sz w:val="21"/>
          <w:szCs w:val="21"/>
          <w:lang w:val="mi-NZ"/>
        </w:rPr>
        <w:t>Te Reo</w:t>
      </w:r>
      <w:r w:rsidR="00975B3B">
        <w:rPr>
          <w:rFonts w:cstheme="minorHAnsi"/>
          <w:sz w:val="21"/>
          <w:szCs w:val="21"/>
          <w:lang w:val="mi-NZ"/>
        </w:rPr>
        <w:t xml:space="preserve"> </w:t>
      </w:r>
      <w:r w:rsidRPr="006F22BF">
        <w:rPr>
          <w:rFonts w:cstheme="minorHAnsi"/>
          <w:sz w:val="21"/>
          <w:szCs w:val="21"/>
          <w:lang w:val="mi-NZ"/>
        </w:rPr>
        <w:t xml:space="preserve">Māori </w:t>
      </w:r>
      <w:r w:rsidRPr="006F22BF">
        <w:rPr>
          <w:rFonts w:cstheme="minorHAnsi"/>
          <w:sz w:val="21"/>
          <w:szCs w:val="21"/>
          <w:lang w:val="mi-NZ"/>
        </w:rPr>
        <w:tab/>
      </w:r>
      <w:r w:rsidRPr="006F22BF">
        <w:rPr>
          <w:rFonts w:cstheme="minorHAnsi"/>
          <w:sz w:val="21"/>
          <w:szCs w:val="21"/>
          <w:lang w:val="mi-NZ"/>
        </w:rPr>
        <w:tab/>
        <w:t>The Māori language</w:t>
      </w:r>
    </w:p>
    <w:p w14:paraId="57F0FEE9" w14:textId="77777777" w:rsidR="00AE73EC" w:rsidRPr="006F22BF" w:rsidRDefault="00AE73EC" w:rsidP="00AE73EC">
      <w:pPr>
        <w:rPr>
          <w:rFonts w:cstheme="minorHAnsi"/>
          <w:sz w:val="21"/>
          <w:szCs w:val="21"/>
          <w:lang w:val="mi-NZ"/>
        </w:rPr>
      </w:pPr>
    </w:p>
    <w:p w14:paraId="53701D11" w14:textId="77777777" w:rsidR="00AE73EC" w:rsidRPr="006F22BF" w:rsidRDefault="00AE73EC" w:rsidP="00AE73EC">
      <w:pPr>
        <w:ind w:left="2880" w:hanging="2880"/>
        <w:rPr>
          <w:rFonts w:cstheme="minorHAnsi"/>
          <w:sz w:val="21"/>
          <w:szCs w:val="21"/>
          <w:lang w:val="mi-NZ"/>
        </w:rPr>
      </w:pPr>
      <w:r w:rsidRPr="006F22BF">
        <w:rPr>
          <w:rFonts w:cstheme="minorHAnsi"/>
          <w:sz w:val="21"/>
          <w:szCs w:val="21"/>
          <w:lang w:val="mi-NZ"/>
        </w:rPr>
        <w:t>Te Tiriti o Waitangi</w:t>
      </w:r>
      <w:r w:rsidRPr="006F22BF">
        <w:rPr>
          <w:rFonts w:cstheme="minorHAnsi"/>
          <w:sz w:val="21"/>
          <w:szCs w:val="21"/>
          <w:lang w:val="mi-NZ"/>
        </w:rPr>
        <w:tab/>
      </w:r>
      <w:r w:rsidRPr="006F22BF">
        <w:rPr>
          <w:rFonts w:cstheme="minorHAnsi"/>
          <w:sz w:val="21"/>
          <w:szCs w:val="21"/>
        </w:rPr>
        <w:t xml:space="preserve">Treaty of Waitangi – an agreement between the British Crown and a large number of Māori </w:t>
      </w:r>
      <w:proofErr w:type="spellStart"/>
      <w:r w:rsidRPr="006F22BF">
        <w:rPr>
          <w:rFonts w:cstheme="minorHAnsi"/>
          <w:sz w:val="21"/>
          <w:szCs w:val="21"/>
        </w:rPr>
        <w:t>rangatira</w:t>
      </w:r>
      <w:proofErr w:type="spellEnd"/>
      <w:r w:rsidRPr="006F22BF">
        <w:rPr>
          <w:rFonts w:cstheme="minorHAnsi"/>
          <w:sz w:val="21"/>
          <w:szCs w:val="21"/>
        </w:rPr>
        <w:t xml:space="preserve"> (chiefs) signed in 1840. The Treaty </w:t>
      </w:r>
      <w:proofErr w:type="gramStart"/>
      <w:r w:rsidRPr="006F22BF">
        <w:rPr>
          <w:rFonts w:cstheme="minorHAnsi"/>
          <w:sz w:val="21"/>
          <w:szCs w:val="21"/>
        </w:rPr>
        <w:t>is considered to be</w:t>
      </w:r>
      <w:proofErr w:type="gramEnd"/>
      <w:r w:rsidRPr="006F22BF">
        <w:rPr>
          <w:rFonts w:cstheme="minorHAnsi"/>
          <w:sz w:val="21"/>
          <w:szCs w:val="21"/>
        </w:rPr>
        <w:t xml:space="preserve"> Aotearoa New Zealand’s founding document, as it confirmed formal British settlement in New Zealand, but its interpretation remains contested.</w:t>
      </w:r>
    </w:p>
    <w:p w14:paraId="0F17E8A6" w14:textId="77777777" w:rsidR="00AE73EC" w:rsidRPr="006F22BF" w:rsidRDefault="00AE73EC" w:rsidP="00AE73EC">
      <w:pPr>
        <w:rPr>
          <w:rFonts w:cstheme="minorHAnsi"/>
          <w:sz w:val="21"/>
          <w:szCs w:val="21"/>
          <w:lang w:val="mi-NZ"/>
        </w:rPr>
      </w:pPr>
    </w:p>
    <w:p w14:paraId="2344E91F" w14:textId="1E011CE4" w:rsidR="00AE73EC" w:rsidRPr="006F22BF" w:rsidRDefault="00AE73EC" w:rsidP="00AE73EC">
      <w:pPr>
        <w:rPr>
          <w:rFonts w:cstheme="minorHAnsi"/>
          <w:sz w:val="21"/>
          <w:szCs w:val="21"/>
          <w:lang w:val="mi-NZ"/>
        </w:rPr>
      </w:pPr>
      <w:r w:rsidRPr="006F22BF">
        <w:rPr>
          <w:rFonts w:cstheme="minorHAnsi"/>
          <w:sz w:val="21"/>
          <w:szCs w:val="21"/>
          <w:lang w:val="mi-NZ"/>
        </w:rPr>
        <w:t>Tikanga Māori</w:t>
      </w:r>
      <w:r w:rsidRPr="006F22BF">
        <w:rPr>
          <w:rFonts w:cstheme="minorHAnsi"/>
          <w:sz w:val="21"/>
          <w:szCs w:val="21"/>
          <w:lang w:val="mi-NZ"/>
        </w:rPr>
        <w:tab/>
      </w:r>
      <w:r w:rsidRPr="006F22BF">
        <w:rPr>
          <w:rFonts w:cstheme="minorHAnsi"/>
          <w:sz w:val="21"/>
          <w:szCs w:val="21"/>
          <w:lang w:val="mi-NZ"/>
        </w:rPr>
        <w:tab/>
        <w:t>Māori customary law and practices</w:t>
      </w:r>
    </w:p>
    <w:p w14:paraId="25B0024F" w14:textId="77777777" w:rsidR="00AE73EC" w:rsidRPr="006F22BF" w:rsidRDefault="00AE73EC" w:rsidP="00AE73EC">
      <w:pPr>
        <w:rPr>
          <w:rFonts w:cstheme="minorHAnsi"/>
          <w:sz w:val="21"/>
          <w:szCs w:val="21"/>
          <w:lang w:val="mi-NZ"/>
        </w:rPr>
      </w:pPr>
    </w:p>
    <w:p w14:paraId="6C556571" w14:textId="77777777" w:rsidR="00AE73EC" w:rsidRPr="006F22BF" w:rsidRDefault="00AE73EC" w:rsidP="00AE73EC">
      <w:pPr>
        <w:ind w:left="2880" w:hanging="2880"/>
        <w:rPr>
          <w:rFonts w:cstheme="minorHAnsi"/>
          <w:sz w:val="21"/>
          <w:szCs w:val="21"/>
          <w:lang w:val="mi-NZ"/>
        </w:rPr>
      </w:pPr>
      <w:r w:rsidRPr="006F22BF">
        <w:rPr>
          <w:rFonts w:cstheme="minorHAnsi"/>
          <w:sz w:val="21"/>
          <w:szCs w:val="21"/>
          <w:lang w:val="mi-NZ"/>
        </w:rPr>
        <w:t>Tino Rangitiratanga</w:t>
      </w:r>
      <w:r w:rsidRPr="006F22BF">
        <w:rPr>
          <w:rFonts w:cstheme="minorHAnsi"/>
          <w:sz w:val="21"/>
          <w:szCs w:val="21"/>
          <w:lang w:val="mi-NZ"/>
        </w:rPr>
        <w:tab/>
      </w:r>
      <w:r w:rsidRPr="006F22BF">
        <w:rPr>
          <w:rFonts w:cstheme="minorHAnsi"/>
          <w:sz w:val="21"/>
          <w:szCs w:val="21"/>
        </w:rPr>
        <w:t>Self-determination, sovereignty, autonomy, self-government, domination, rule, control, power</w:t>
      </w:r>
    </w:p>
    <w:p w14:paraId="23218A9A" w14:textId="77777777" w:rsidR="00AE73EC" w:rsidRPr="006F22BF" w:rsidRDefault="00AE73EC" w:rsidP="00AE73EC">
      <w:pPr>
        <w:rPr>
          <w:rFonts w:cstheme="minorHAnsi"/>
          <w:sz w:val="21"/>
          <w:szCs w:val="21"/>
          <w:lang w:val="mi-NZ"/>
        </w:rPr>
      </w:pPr>
    </w:p>
    <w:p w14:paraId="58CEF4CF" w14:textId="2BBE1CE3" w:rsidR="00AE73EC" w:rsidRPr="006F22BF" w:rsidRDefault="00AE73EC" w:rsidP="00AE73EC">
      <w:pPr>
        <w:rPr>
          <w:rFonts w:cstheme="minorHAnsi"/>
          <w:sz w:val="21"/>
          <w:szCs w:val="21"/>
          <w:lang w:val="mi-NZ"/>
        </w:rPr>
      </w:pPr>
      <w:r w:rsidRPr="006F22BF">
        <w:rPr>
          <w:rFonts w:cstheme="minorHAnsi"/>
          <w:sz w:val="21"/>
          <w:szCs w:val="21"/>
          <w:lang w:val="mi-NZ"/>
        </w:rPr>
        <w:t>Wairua</w:t>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t>Spirit, soul, spritual</w:t>
      </w:r>
    </w:p>
    <w:p w14:paraId="16929240" w14:textId="77777777" w:rsidR="00AE73EC" w:rsidRPr="006F22BF" w:rsidRDefault="00AE73EC" w:rsidP="00AE73EC">
      <w:pPr>
        <w:rPr>
          <w:rFonts w:cstheme="minorHAnsi"/>
          <w:sz w:val="21"/>
          <w:szCs w:val="21"/>
          <w:lang w:val="mi-NZ"/>
        </w:rPr>
      </w:pPr>
    </w:p>
    <w:p w14:paraId="10016E0E" w14:textId="77777777" w:rsidR="00AE73EC" w:rsidRPr="006F22BF" w:rsidRDefault="00AE73EC" w:rsidP="00AE73EC">
      <w:pPr>
        <w:rPr>
          <w:rFonts w:cstheme="minorHAnsi"/>
          <w:sz w:val="21"/>
          <w:szCs w:val="21"/>
          <w:lang w:val="mi-NZ"/>
        </w:rPr>
      </w:pPr>
      <w:r w:rsidRPr="006F22BF">
        <w:rPr>
          <w:rFonts w:cstheme="minorHAnsi"/>
          <w:sz w:val="21"/>
          <w:szCs w:val="21"/>
          <w:lang w:val="mi-NZ"/>
        </w:rPr>
        <w:t xml:space="preserve">Wānanga </w:t>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t>To meet and discuss, deliberate, consider</w:t>
      </w:r>
    </w:p>
    <w:p w14:paraId="21E7C988" w14:textId="77777777" w:rsidR="00AE73EC" w:rsidRPr="006F22BF" w:rsidRDefault="00AE73EC" w:rsidP="00AE73EC">
      <w:pPr>
        <w:rPr>
          <w:rFonts w:cstheme="minorHAnsi"/>
          <w:sz w:val="21"/>
          <w:szCs w:val="21"/>
          <w:lang w:val="mi-NZ"/>
        </w:rPr>
      </w:pPr>
    </w:p>
    <w:p w14:paraId="542B33F5" w14:textId="77777777" w:rsidR="00AE73EC" w:rsidRPr="006F22BF" w:rsidRDefault="00AE73EC" w:rsidP="00AE73EC">
      <w:pPr>
        <w:ind w:left="2880" w:hanging="2880"/>
        <w:rPr>
          <w:rFonts w:cstheme="minorHAnsi"/>
          <w:sz w:val="21"/>
          <w:szCs w:val="21"/>
          <w:lang w:val="mi-NZ"/>
        </w:rPr>
      </w:pPr>
      <w:r w:rsidRPr="006F22BF">
        <w:rPr>
          <w:rFonts w:cstheme="minorHAnsi"/>
          <w:sz w:val="21"/>
          <w:szCs w:val="21"/>
          <w:lang w:val="mi-NZ"/>
        </w:rPr>
        <w:t>Whakapapa</w:t>
      </w:r>
      <w:r w:rsidRPr="006F22BF">
        <w:rPr>
          <w:rFonts w:cstheme="minorHAnsi"/>
          <w:sz w:val="21"/>
          <w:szCs w:val="21"/>
          <w:lang w:val="mi-NZ"/>
        </w:rPr>
        <w:tab/>
      </w:r>
      <w:r w:rsidRPr="006F22BF">
        <w:rPr>
          <w:rFonts w:cstheme="minorHAnsi"/>
          <w:sz w:val="21"/>
          <w:szCs w:val="21"/>
        </w:rPr>
        <w:t xml:space="preserve">In relation to a person, means the multigenerational kinship relationships that help to describe who the person is in terms of their </w:t>
      </w:r>
      <w:proofErr w:type="spellStart"/>
      <w:r w:rsidRPr="006F22BF">
        <w:rPr>
          <w:rFonts w:cstheme="minorHAnsi"/>
          <w:sz w:val="21"/>
          <w:szCs w:val="21"/>
        </w:rPr>
        <w:t>mātua</w:t>
      </w:r>
      <w:proofErr w:type="spellEnd"/>
      <w:r w:rsidRPr="006F22BF">
        <w:rPr>
          <w:rFonts w:cstheme="minorHAnsi"/>
          <w:sz w:val="21"/>
          <w:szCs w:val="21"/>
        </w:rPr>
        <w:t xml:space="preserve"> (parents), and </w:t>
      </w:r>
      <w:proofErr w:type="spellStart"/>
      <w:r w:rsidRPr="006F22BF">
        <w:rPr>
          <w:rFonts w:cstheme="minorHAnsi"/>
          <w:sz w:val="21"/>
          <w:szCs w:val="21"/>
        </w:rPr>
        <w:t>tūpuna</w:t>
      </w:r>
      <w:proofErr w:type="spellEnd"/>
      <w:r w:rsidRPr="006F22BF">
        <w:rPr>
          <w:rFonts w:cstheme="minorHAnsi"/>
          <w:sz w:val="21"/>
          <w:szCs w:val="21"/>
        </w:rPr>
        <w:t xml:space="preserve"> (ancestors), from whom they descend</w:t>
      </w:r>
    </w:p>
    <w:p w14:paraId="187517C5" w14:textId="77777777" w:rsidR="00AE73EC" w:rsidRPr="006F22BF" w:rsidRDefault="00AE73EC" w:rsidP="00AE73EC">
      <w:pPr>
        <w:rPr>
          <w:rFonts w:cstheme="minorHAnsi"/>
          <w:sz w:val="21"/>
          <w:szCs w:val="21"/>
          <w:lang w:val="mi-NZ"/>
        </w:rPr>
      </w:pPr>
    </w:p>
    <w:p w14:paraId="5F1DAB45" w14:textId="77777777" w:rsidR="00AE73EC" w:rsidRPr="006F22BF" w:rsidRDefault="00AE73EC" w:rsidP="00AE73EC">
      <w:pPr>
        <w:rPr>
          <w:rFonts w:cstheme="minorHAnsi"/>
          <w:sz w:val="21"/>
          <w:szCs w:val="21"/>
          <w:lang w:val="mi-NZ"/>
        </w:rPr>
      </w:pPr>
      <w:r w:rsidRPr="006F22BF">
        <w:rPr>
          <w:rFonts w:cstheme="minorHAnsi"/>
          <w:sz w:val="21"/>
          <w:szCs w:val="21"/>
          <w:lang w:val="mi-NZ"/>
        </w:rPr>
        <w:t>Whānau</w:t>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rPr>
        <w:t>Family group, extended family</w:t>
      </w:r>
    </w:p>
    <w:p w14:paraId="10405395" w14:textId="77777777" w:rsidR="00AE73EC" w:rsidRPr="006F22BF" w:rsidRDefault="00AE73EC" w:rsidP="00AE73EC">
      <w:pPr>
        <w:rPr>
          <w:rFonts w:cstheme="minorHAnsi"/>
          <w:sz w:val="21"/>
          <w:szCs w:val="21"/>
          <w:lang w:val="mi-NZ"/>
        </w:rPr>
      </w:pPr>
    </w:p>
    <w:p w14:paraId="0ED3229F" w14:textId="77777777" w:rsidR="00AE73EC" w:rsidRPr="006F22BF" w:rsidRDefault="00AE73EC" w:rsidP="00AE73EC">
      <w:pPr>
        <w:ind w:left="2880" w:hanging="2880"/>
        <w:rPr>
          <w:rFonts w:cstheme="minorHAnsi"/>
          <w:sz w:val="21"/>
          <w:szCs w:val="21"/>
          <w:lang w:val="mi-NZ"/>
        </w:rPr>
      </w:pPr>
      <w:r w:rsidRPr="006F22BF">
        <w:rPr>
          <w:rFonts w:cstheme="minorHAnsi"/>
          <w:sz w:val="21"/>
          <w:szCs w:val="21"/>
          <w:lang w:val="mi-NZ"/>
        </w:rPr>
        <w:t>Whānaungatanga</w:t>
      </w:r>
      <w:r w:rsidRPr="006F22BF">
        <w:rPr>
          <w:rFonts w:cstheme="minorHAnsi"/>
          <w:sz w:val="21"/>
          <w:szCs w:val="21"/>
          <w:lang w:val="mi-NZ"/>
        </w:rPr>
        <w:tab/>
      </w:r>
      <w:r w:rsidRPr="006F22BF">
        <w:rPr>
          <w:rFonts w:cstheme="minorHAnsi"/>
          <w:sz w:val="21"/>
          <w:szCs w:val="21"/>
        </w:rPr>
        <w:t>In relation to a person, means the purposeful carrying out of responsibilities based on obligations to whakapapa; the kinship that provides the foundations for reciprocal obligations and responsibilities to be met; and the wider kinship ties that need to be protected and maintained to ensure the maintenance and protection of their sense of belonging, identity, and connection</w:t>
      </w:r>
    </w:p>
    <w:p w14:paraId="54E3D6AC" w14:textId="77777777" w:rsidR="00AE73EC" w:rsidRPr="006F22BF" w:rsidRDefault="00AE73EC" w:rsidP="00AE73EC">
      <w:pPr>
        <w:rPr>
          <w:rFonts w:cstheme="minorHAnsi"/>
          <w:sz w:val="21"/>
          <w:szCs w:val="21"/>
          <w:lang w:val="mi-NZ"/>
        </w:rPr>
      </w:pPr>
    </w:p>
    <w:p w14:paraId="43AF6511" w14:textId="77777777" w:rsidR="00AE73EC" w:rsidRPr="006F22BF" w:rsidRDefault="00AE73EC" w:rsidP="00AE73EC">
      <w:pPr>
        <w:rPr>
          <w:rFonts w:cstheme="minorHAnsi"/>
          <w:sz w:val="21"/>
          <w:szCs w:val="21"/>
          <w:lang w:val="mi-NZ"/>
        </w:rPr>
      </w:pPr>
      <w:r w:rsidRPr="006F22BF">
        <w:rPr>
          <w:rFonts w:cstheme="minorHAnsi"/>
          <w:sz w:val="21"/>
          <w:szCs w:val="21"/>
          <w:lang w:val="mi-NZ"/>
        </w:rPr>
        <w:t>Whenua</w:t>
      </w:r>
      <w:r w:rsidRPr="006F22BF">
        <w:rPr>
          <w:rFonts w:cstheme="minorHAnsi"/>
          <w:sz w:val="21"/>
          <w:szCs w:val="21"/>
          <w:lang w:val="mi-NZ"/>
        </w:rPr>
        <w:tab/>
      </w:r>
      <w:r w:rsidRPr="006F22BF">
        <w:rPr>
          <w:rFonts w:cstheme="minorHAnsi"/>
          <w:sz w:val="21"/>
          <w:szCs w:val="21"/>
          <w:lang w:val="mi-NZ"/>
        </w:rPr>
        <w:tab/>
      </w:r>
      <w:r w:rsidRPr="006F22BF">
        <w:rPr>
          <w:rFonts w:cstheme="minorHAnsi"/>
          <w:sz w:val="21"/>
          <w:szCs w:val="21"/>
          <w:lang w:val="mi-NZ"/>
        </w:rPr>
        <w:tab/>
        <w:t>Land</w:t>
      </w:r>
    </w:p>
    <w:p w14:paraId="3AC51C2F" w14:textId="77777777" w:rsidR="00AE73EC" w:rsidRPr="006F22BF" w:rsidRDefault="00AE73EC" w:rsidP="00AE73EC">
      <w:pPr>
        <w:rPr>
          <w:rFonts w:cstheme="minorHAnsi"/>
          <w:sz w:val="21"/>
          <w:szCs w:val="21"/>
          <w:lang w:val="mi-NZ"/>
        </w:rPr>
      </w:pPr>
    </w:p>
    <w:p w14:paraId="36D71D34" w14:textId="77777777" w:rsidR="00AE73EC" w:rsidRPr="006F22BF" w:rsidRDefault="00AE73EC" w:rsidP="00AE73EC">
      <w:pPr>
        <w:rPr>
          <w:rFonts w:cstheme="minorHAnsi"/>
          <w:b/>
          <w:bCs/>
          <w:color w:val="00AE6D" w:themeColor="accent1"/>
          <w:sz w:val="21"/>
          <w:szCs w:val="21"/>
          <w:lang w:val="mi-NZ"/>
        </w:rPr>
      </w:pPr>
    </w:p>
    <w:p w14:paraId="75881D78" w14:textId="77777777" w:rsidR="00AE73EC" w:rsidRPr="006F22BF" w:rsidRDefault="00AE73EC" w:rsidP="00AE73EC">
      <w:pPr>
        <w:jc w:val="center"/>
        <w:rPr>
          <w:rFonts w:cstheme="minorHAnsi"/>
          <w:b/>
          <w:bCs/>
          <w:sz w:val="21"/>
          <w:szCs w:val="21"/>
          <w:lang w:val="mi-NZ"/>
        </w:rPr>
      </w:pPr>
    </w:p>
    <w:p w14:paraId="01DF6CAC" w14:textId="77777777" w:rsidR="00AE73EC" w:rsidRPr="006F22BF" w:rsidRDefault="00AE73EC" w:rsidP="00AE73EC">
      <w:pPr>
        <w:jc w:val="center"/>
        <w:rPr>
          <w:rFonts w:cstheme="minorHAnsi"/>
          <w:b/>
          <w:bCs/>
          <w:sz w:val="21"/>
          <w:szCs w:val="21"/>
          <w:lang w:val="mi-NZ"/>
        </w:rPr>
      </w:pPr>
    </w:p>
    <w:p w14:paraId="7358C17F" w14:textId="77777777" w:rsidR="00AE73EC" w:rsidRPr="006F22BF" w:rsidRDefault="00AE73EC" w:rsidP="00AE73EC">
      <w:pPr>
        <w:jc w:val="center"/>
        <w:rPr>
          <w:rFonts w:cstheme="minorHAnsi"/>
          <w:b/>
          <w:bCs/>
          <w:sz w:val="21"/>
          <w:szCs w:val="21"/>
          <w:lang w:val="mi-NZ"/>
        </w:rPr>
      </w:pPr>
    </w:p>
    <w:p w14:paraId="2F041C20" w14:textId="77777777" w:rsidR="00AE73EC" w:rsidRPr="006F22BF" w:rsidRDefault="00AE73EC" w:rsidP="00AE73EC">
      <w:pPr>
        <w:jc w:val="center"/>
        <w:rPr>
          <w:rFonts w:cstheme="minorHAnsi"/>
          <w:b/>
          <w:bCs/>
          <w:sz w:val="21"/>
          <w:szCs w:val="21"/>
          <w:lang w:val="mi-NZ"/>
        </w:rPr>
      </w:pPr>
    </w:p>
    <w:p w14:paraId="4BB7D343" w14:textId="77777777" w:rsidR="00AE73EC" w:rsidRPr="00E7687D" w:rsidRDefault="00AE73EC" w:rsidP="00AE73EC">
      <w:pPr>
        <w:rPr>
          <w:rFonts w:cstheme="minorHAnsi"/>
          <w:b/>
          <w:bCs/>
          <w:sz w:val="28"/>
          <w:szCs w:val="28"/>
          <w:lang w:val="mi-NZ"/>
        </w:rPr>
      </w:pPr>
      <w:r w:rsidRPr="00E7687D">
        <w:rPr>
          <w:rFonts w:cstheme="minorHAnsi"/>
          <w:b/>
          <w:bCs/>
          <w:sz w:val="28"/>
          <w:szCs w:val="28"/>
          <w:lang w:val="mi-NZ"/>
        </w:rPr>
        <w:br w:type="page"/>
      </w:r>
    </w:p>
    <w:p w14:paraId="702FCBAE" w14:textId="77777777" w:rsidR="00AE73EC" w:rsidRPr="00E7687D" w:rsidRDefault="00AE73EC" w:rsidP="00AE73EC">
      <w:pPr>
        <w:pStyle w:val="Heading1"/>
        <w:rPr>
          <w:lang w:val="mi-NZ"/>
        </w:rPr>
      </w:pPr>
      <w:bookmarkStart w:id="4" w:name="_Toc111485432"/>
      <w:r w:rsidRPr="00E7687D">
        <w:rPr>
          <w:lang w:val="mi-NZ"/>
        </w:rPr>
        <w:lastRenderedPageBreak/>
        <w:t>List of Abbreviations</w:t>
      </w:r>
      <w:bookmarkEnd w:id="4"/>
    </w:p>
    <w:p w14:paraId="74A5CFCA" w14:textId="77777777" w:rsidR="00AE73EC" w:rsidRPr="00975B3B" w:rsidRDefault="00AE73EC" w:rsidP="00AE73EC">
      <w:pPr>
        <w:rPr>
          <w:rFonts w:cstheme="minorHAnsi"/>
          <w:sz w:val="21"/>
          <w:szCs w:val="21"/>
          <w:lang w:val="mi-NZ"/>
        </w:rPr>
      </w:pPr>
    </w:p>
    <w:p w14:paraId="182162B5" w14:textId="77777777" w:rsidR="00AE73EC" w:rsidRPr="00975B3B" w:rsidRDefault="00AE73EC" w:rsidP="00AE73EC">
      <w:pPr>
        <w:spacing w:after="0" w:line="360" w:lineRule="auto"/>
        <w:rPr>
          <w:sz w:val="21"/>
          <w:szCs w:val="21"/>
          <w:lang w:val="mi-NZ"/>
        </w:rPr>
      </w:pPr>
      <w:r w:rsidRPr="00975B3B">
        <w:rPr>
          <w:sz w:val="21"/>
          <w:szCs w:val="21"/>
          <w:lang w:val="mi-NZ"/>
        </w:rPr>
        <w:t xml:space="preserve">Alliance </w:t>
      </w:r>
      <w:r w:rsidRPr="00975B3B">
        <w:rPr>
          <w:sz w:val="21"/>
          <w:szCs w:val="21"/>
          <w:lang w:val="mi-NZ"/>
        </w:rPr>
        <w:tab/>
      </w:r>
      <w:r w:rsidRPr="00975B3B">
        <w:rPr>
          <w:sz w:val="21"/>
          <w:szCs w:val="21"/>
          <w:lang w:val="mi-NZ"/>
        </w:rPr>
        <w:tab/>
        <w:t>Children’s Rights Alliance Aotearoa New Zealand</w:t>
      </w:r>
      <w:r w:rsidRPr="00975B3B">
        <w:rPr>
          <w:sz w:val="21"/>
          <w:szCs w:val="21"/>
          <w:lang w:val="mi-NZ"/>
        </w:rPr>
        <w:tab/>
      </w:r>
      <w:r w:rsidRPr="00975B3B">
        <w:rPr>
          <w:sz w:val="21"/>
          <w:szCs w:val="21"/>
          <w:lang w:val="mi-NZ"/>
        </w:rPr>
        <w:tab/>
      </w:r>
    </w:p>
    <w:p w14:paraId="53D48A00" w14:textId="77777777" w:rsidR="00AE73EC" w:rsidRPr="00975B3B" w:rsidRDefault="00AE73EC" w:rsidP="00AE73EC">
      <w:pPr>
        <w:spacing w:after="0" w:line="360" w:lineRule="auto"/>
        <w:rPr>
          <w:sz w:val="21"/>
          <w:szCs w:val="21"/>
          <w:lang w:val="mi-NZ"/>
        </w:rPr>
      </w:pPr>
    </w:p>
    <w:p w14:paraId="76A35FF8" w14:textId="259CAD92" w:rsidR="00466365" w:rsidRPr="00975B3B" w:rsidRDefault="00466365" w:rsidP="00466365">
      <w:pPr>
        <w:spacing w:after="0" w:line="360" w:lineRule="auto"/>
        <w:rPr>
          <w:sz w:val="21"/>
          <w:szCs w:val="21"/>
          <w:lang w:val="mi-NZ"/>
        </w:rPr>
      </w:pPr>
      <w:r w:rsidRPr="00975B3B">
        <w:rPr>
          <w:sz w:val="21"/>
          <w:szCs w:val="21"/>
          <w:lang w:val="mi-NZ"/>
        </w:rPr>
        <w:t>Aotearoa</w:t>
      </w:r>
      <w:r w:rsidRPr="00975B3B">
        <w:rPr>
          <w:sz w:val="21"/>
          <w:szCs w:val="21"/>
          <w:lang w:val="mi-NZ"/>
        </w:rPr>
        <w:tab/>
      </w:r>
      <w:r w:rsidRPr="00975B3B">
        <w:rPr>
          <w:sz w:val="21"/>
          <w:szCs w:val="21"/>
          <w:lang w:val="mi-NZ"/>
        </w:rPr>
        <w:tab/>
        <w:t xml:space="preserve">Te Reo Māori name for New Zealand </w:t>
      </w:r>
    </w:p>
    <w:p w14:paraId="1215D872" w14:textId="77777777" w:rsidR="00466365" w:rsidRPr="00975B3B" w:rsidRDefault="00466365" w:rsidP="00AE73EC">
      <w:pPr>
        <w:spacing w:after="0" w:line="360" w:lineRule="auto"/>
        <w:rPr>
          <w:sz w:val="21"/>
          <w:szCs w:val="21"/>
          <w:lang w:val="mi-NZ"/>
        </w:rPr>
      </w:pPr>
    </w:p>
    <w:p w14:paraId="1BBF1072" w14:textId="58920D4F" w:rsidR="00AE73EC" w:rsidRPr="00975B3B" w:rsidRDefault="00AE73EC" w:rsidP="00AE73EC">
      <w:pPr>
        <w:spacing w:after="0" w:line="360" w:lineRule="auto"/>
        <w:rPr>
          <w:sz w:val="21"/>
          <w:szCs w:val="21"/>
          <w:lang w:val="mi-NZ"/>
        </w:rPr>
      </w:pPr>
      <w:r w:rsidRPr="00975B3B">
        <w:rPr>
          <w:sz w:val="21"/>
          <w:szCs w:val="21"/>
          <w:lang w:val="mi-NZ"/>
        </w:rPr>
        <w:t>ANZPM</w:t>
      </w:r>
      <w:r w:rsidRPr="00975B3B">
        <w:rPr>
          <w:sz w:val="21"/>
          <w:szCs w:val="21"/>
          <w:lang w:val="mi-NZ"/>
        </w:rPr>
        <w:tab/>
      </w:r>
      <w:r w:rsidRPr="00975B3B">
        <w:rPr>
          <w:sz w:val="21"/>
          <w:szCs w:val="21"/>
          <w:lang w:val="mi-NZ"/>
        </w:rPr>
        <w:tab/>
        <w:t>Aotearoa New Zealand Public Media</w:t>
      </w:r>
    </w:p>
    <w:p w14:paraId="0BE6B537" w14:textId="77777777" w:rsidR="00AE73EC" w:rsidRPr="00975B3B" w:rsidRDefault="00AE73EC" w:rsidP="00AE73EC">
      <w:pPr>
        <w:spacing w:after="0" w:line="360" w:lineRule="auto"/>
        <w:rPr>
          <w:sz w:val="21"/>
          <w:szCs w:val="21"/>
          <w:lang w:val="mi-NZ"/>
        </w:rPr>
      </w:pPr>
    </w:p>
    <w:p w14:paraId="2CC2C39E" w14:textId="77777777" w:rsidR="00AE73EC" w:rsidRPr="00975B3B" w:rsidRDefault="00AE73EC" w:rsidP="00AE73EC">
      <w:pPr>
        <w:spacing w:after="0" w:line="360" w:lineRule="auto"/>
        <w:rPr>
          <w:sz w:val="21"/>
          <w:szCs w:val="21"/>
          <w:lang w:val="mi-NZ"/>
        </w:rPr>
      </w:pPr>
      <w:r w:rsidRPr="00975B3B">
        <w:rPr>
          <w:sz w:val="21"/>
          <w:szCs w:val="21"/>
          <w:lang w:val="mi-NZ"/>
        </w:rPr>
        <w:t>BSA</w:t>
      </w:r>
      <w:r w:rsidRPr="00975B3B">
        <w:rPr>
          <w:sz w:val="21"/>
          <w:szCs w:val="21"/>
          <w:lang w:val="mi-NZ"/>
        </w:rPr>
        <w:tab/>
      </w:r>
      <w:r w:rsidRPr="00975B3B">
        <w:rPr>
          <w:sz w:val="21"/>
          <w:szCs w:val="21"/>
          <w:lang w:val="mi-NZ"/>
        </w:rPr>
        <w:tab/>
      </w:r>
      <w:r w:rsidRPr="00975B3B">
        <w:rPr>
          <w:sz w:val="21"/>
          <w:szCs w:val="21"/>
          <w:lang w:val="mi-NZ"/>
        </w:rPr>
        <w:tab/>
        <w:t>Broadcasting Standards Authority</w:t>
      </w:r>
    </w:p>
    <w:p w14:paraId="46D7468F" w14:textId="77777777" w:rsidR="00AE73EC" w:rsidRPr="00975B3B" w:rsidRDefault="00AE73EC" w:rsidP="00AE73EC">
      <w:pPr>
        <w:spacing w:after="0" w:line="360" w:lineRule="auto"/>
        <w:rPr>
          <w:sz w:val="21"/>
          <w:szCs w:val="21"/>
          <w:lang w:val="mi-NZ"/>
        </w:rPr>
      </w:pPr>
    </w:p>
    <w:p w14:paraId="4BBAC4B3" w14:textId="1CA3D314" w:rsidR="00AE73EC" w:rsidRPr="00975B3B" w:rsidRDefault="00AE73EC" w:rsidP="00AE73EC">
      <w:pPr>
        <w:spacing w:after="0" w:line="360" w:lineRule="auto"/>
        <w:ind w:left="2160" w:hanging="2160"/>
        <w:rPr>
          <w:sz w:val="21"/>
          <w:szCs w:val="21"/>
          <w:lang w:val="mi-NZ"/>
        </w:rPr>
      </w:pPr>
      <w:r w:rsidRPr="00975B3B">
        <w:rPr>
          <w:sz w:val="21"/>
          <w:szCs w:val="21"/>
          <w:lang w:val="mi-NZ"/>
        </w:rPr>
        <w:t>CEDAW</w:t>
      </w:r>
      <w:r w:rsidRPr="00975B3B">
        <w:rPr>
          <w:sz w:val="21"/>
          <w:szCs w:val="21"/>
          <w:lang w:val="mi-NZ"/>
        </w:rPr>
        <w:tab/>
        <w:t xml:space="preserve">United Nations </w:t>
      </w:r>
      <w:r w:rsidRPr="00975B3B">
        <w:rPr>
          <w:sz w:val="21"/>
          <w:szCs w:val="21"/>
        </w:rPr>
        <w:t>Convention on the Elimination of All Forms of Discrimination against Women</w:t>
      </w:r>
    </w:p>
    <w:p w14:paraId="5718DE51" w14:textId="77777777" w:rsidR="00AE73EC" w:rsidRPr="00975B3B" w:rsidRDefault="00AE73EC" w:rsidP="00AE73EC">
      <w:pPr>
        <w:spacing w:after="0" w:line="360" w:lineRule="auto"/>
        <w:rPr>
          <w:sz w:val="21"/>
          <w:szCs w:val="21"/>
          <w:lang w:val="mi-NZ"/>
        </w:rPr>
      </w:pPr>
    </w:p>
    <w:p w14:paraId="7015BAB7" w14:textId="40B02F93" w:rsidR="00AE73EC" w:rsidRPr="00975B3B" w:rsidRDefault="00AE73EC" w:rsidP="00AE73EC">
      <w:pPr>
        <w:spacing w:after="0" w:line="360" w:lineRule="auto"/>
        <w:ind w:left="2160" w:hanging="2160"/>
        <w:rPr>
          <w:sz w:val="21"/>
          <w:szCs w:val="21"/>
          <w:lang w:val="mi-NZ"/>
        </w:rPr>
      </w:pPr>
      <w:r w:rsidRPr="00975B3B">
        <w:rPr>
          <w:sz w:val="21"/>
          <w:szCs w:val="21"/>
          <w:lang w:val="mi-NZ"/>
        </w:rPr>
        <w:t>CERD</w:t>
      </w:r>
      <w:r w:rsidRPr="00975B3B">
        <w:rPr>
          <w:sz w:val="21"/>
          <w:szCs w:val="21"/>
          <w:lang w:val="mi-NZ"/>
        </w:rPr>
        <w:tab/>
        <w:t>United Nations Convention on the Elimination of All Forms of Racial Discrimination</w:t>
      </w:r>
    </w:p>
    <w:p w14:paraId="0CA8F0E6" w14:textId="77777777" w:rsidR="00AE73EC" w:rsidRPr="00975B3B" w:rsidRDefault="00AE73EC" w:rsidP="00AE73EC">
      <w:pPr>
        <w:spacing w:after="0" w:line="360" w:lineRule="auto"/>
        <w:rPr>
          <w:sz w:val="21"/>
          <w:szCs w:val="21"/>
          <w:lang w:val="mi-NZ"/>
        </w:rPr>
      </w:pPr>
    </w:p>
    <w:p w14:paraId="482E691E" w14:textId="77777777" w:rsidR="00AE73EC" w:rsidRPr="00975B3B" w:rsidRDefault="00AE73EC" w:rsidP="00AE73EC">
      <w:pPr>
        <w:spacing w:after="0" w:line="360" w:lineRule="auto"/>
        <w:rPr>
          <w:sz w:val="21"/>
          <w:szCs w:val="21"/>
          <w:lang w:val="mi-NZ"/>
        </w:rPr>
      </w:pPr>
      <w:r w:rsidRPr="00975B3B">
        <w:rPr>
          <w:sz w:val="21"/>
          <w:szCs w:val="21"/>
          <w:lang w:val="mi-NZ"/>
        </w:rPr>
        <w:t>CIAT</w:t>
      </w:r>
      <w:r w:rsidRPr="00975B3B">
        <w:rPr>
          <w:sz w:val="21"/>
          <w:szCs w:val="21"/>
          <w:lang w:val="mi-NZ"/>
        </w:rPr>
        <w:tab/>
      </w:r>
      <w:r w:rsidRPr="00975B3B">
        <w:rPr>
          <w:sz w:val="21"/>
          <w:szCs w:val="21"/>
          <w:lang w:val="mi-NZ"/>
        </w:rPr>
        <w:tab/>
      </w:r>
      <w:r w:rsidRPr="00975B3B">
        <w:rPr>
          <w:sz w:val="21"/>
          <w:szCs w:val="21"/>
          <w:lang w:val="mi-NZ"/>
        </w:rPr>
        <w:tab/>
      </w:r>
      <w:r w:rsidRPr="00975B3B">
        <w:rPr>
          <w:sz w:val="21"/>
          <w:szCs w:val="21"/>
        </w:rPr>
        <w:t>Child Impact Assessment Tool</w:t>
      </w:r>
    </w:p>
    <w:p w14:paraId="37837B44" w14:textId="77777777" w:rsidR="00AE73EC" w:rsidRPr="00975B3B" w:rsidRDefault="00AE73EC" w:rsidP="00AE73EC">
      <w:pPr>
        <w:spacing w:after="0" w:line="360" w:lineRule="auto"/>
        <w:rPr>
          <w:sz w:val="21"/>
          <w:szCs w:val="21"/>
          <w:lang w:val="mi-NZ"/>
        </w:rPr>
      </w:pPr>
    </w:p>
    <w:p w14:paraId="4A1CB199" w14:textId="77777777" w:rsidR="00AE73EC" w:rsidRPr="00975B3B" w:rsidRDefault="00AE73EC" w:rsidP="00AE73EC">
      <w:pPr>
        <w:spacing w:after="0" w:line="360" w:lineRule="auto"/>
        <w:rPr>
          <w:sz w:val="21"/>
          <w:szCs w:val="21"/>
          <w:lang w:val="mi-NZ"/>
        </w:rPr>
      </w:pPr>
      <w:r w:rsidRPr="00975B3B">
        <w:rPr>
          <w:sz w:val="21"/>
          <w:szCs w:val="21"/>
          <w:lang w:val="mi-NZ"/>
        </w:rPr>
        <w:t xml:space="preserve">CMG </w:t>
      </w:r>
      <w:r w:rsidRPr="00975B3B">
        <w:rPr>
          <w:sz w:val="21"/>
          <w:szCs w:val="21"/>
          <w:lang w:val="mi-NZ"/>
        </w:rPr>
        <w:tab/>
      </w:r>
      <w:r w:rsidRPr="00975B3B">
        <w:rPr>
          <w:sz w:val="21"/>
          <w:szCs w:val="21"/>
          <w:lang w:val="mi-NZ"/>
        </w:rPr>
        <w:tab/>
      </w:r>
      <w:r w:rsidRPr="00975B3B">
        <w:rPr>
          <w:sz w:val="21"/>
          <w:szCs w:val="21"/>
          <w:lang w:val="mi-NZ"/>
        </w:rPr>
        <w:tab/>
        <w:t xml:space="preserve">Children’s Convention Monitoring Group </w:t>
      </w:r>
    </w:p>
    <w:p w14:paraId="49D628E0" w14:textId="77777777" w:rsidR="00AE73EC" w:rsidRPr="00975B3B" w:rsidRDefault="00AE73EC" w:rsidP="00AE73EC">
      <w:pPr>
        <w:spacing w:after="0" w:line="360" w:lineRule="auto"/>
        <w:rPr>
          <w:sz w:val="21"/>
          <w:szCs w:val="21"/>
          <w:lang w:val="mi-NZ"/>
        </w:rPr>
      </w:pPr>
    </w:p>
    <w:p w14:paraId="37EB019A" w14:textId="77777777" w:rsidR="00AE73EC" w:rsidRPr="00975B3B" w:rsidRDefault="00AE73EC" w:rsidP="00AE73EC">
      <w:pPr>
        <w:spacing w:after="0" w:line="360" w:lineRule="auto"/>
        <w:rPr>
          <w:sz w:val="21"/>
          <w:szCs w:val="21"/>
          <w:lang w:val="mi-NZ"/>
        </w:rPr>
      </w:pPr>
      <w:r w:rsidRPr="00975B3B">
        <w:rPr>
          <w:sz w:val="21"/>
          <w:szCs w:val="21"/>
          <w:lang w:val="mi-NZ"/>
        </w:rPr>
        <w:t>CRC</w:t>
      </w:r>
      <w:r w:rsidRPr="00975B3B">
        <w:rPr>
          <w:sz w:val="21"/>
          <w:szCs w:val="21"/>
          <w:lang w:val="mi-NZ"/>
        </w:rPr>
        <w:tab/>
      </w:r>
      <w:r w:rsidRPr="00975B3B">
        <w:rPr>
          <w:sz w:val="21"/>
          <w:szCs w:val="21"/>
          <w:lang w:val="mi-NZ"/>
        </w:rPr>
        <w:tab/>
      </w:r>
      <w:r w:rsidRPr="00975B3B">
        <w:rPr>
          <w:sz w:val="21"/>
          <w:szCs w:val="21"/>
          <w:lang w:val="mi-NZ"/>
        </w:rPr>
        <w:tab/>
        <w:t>United Nations Convention on the Rights of the Child</w:t>
      </w:r>
    </w:p>
    <w:p w14:paraId="4DA93DD2" w14:textId="77777777" w:rsidR="00AE73EC" w:rsidRPr="00975B3B" w:rsidRDefault="00AE73EC" w:rsidP="00AE73EC">
      <w:pPr>
        <w:spacing w:after="0" w:line="360" w:lineRule="auto"/>
        <w:rPr>
          <w:sz w:val="21"/>
          <w:szCs w:val="21"/>
          <w:lang w:val="mi-NZ"/>
        </w:rPr>
      </w:pPr>
    </w:p>
    <w:p w14:paraId="722FEC2B" w14:textId="5C3AD88A" w:rsidR="00626091" w:rsidRPr="00975B3B" w:rsidRDefault="00626091" w:rsidP="00AE73EC">
      <w:pPr>
        <w:spacing w:after="0" w:line="360" w:lineRule="auto"/>
        <w:rPr>
          <w:sz w:val="21"/>
          <w:szCs w:val="21"/>
          <w:lang w:val="mi-NZ"/>
        </w:rPr>
      </w:pPr>
      <w:r w:rsidRPr="00975B3B">
        <w:rPr>
          <w:sz w:val="21"/>
          <w:szCs w:val="21"/>
          <w:lang w:val="mi-NZ"/>
        </w:rPr>
        <w:t>CYMRC</w:t>
      </w:r>
      <w:r w:rsidRPr="00975B3B">
        <w:rPr>
          <w:sz w:val="21"/>
          <w:szCs w:val="21"/>
          <w:lang w:val="mi-NZ"/>
        </w:rPr>
        <w:tab/>
      </w:r>
      <w:r w:rsidRPr="00975B3B">
        <w:rPr>
          <w:sz w:val="21"/>
          <w:szCs w:val="21"/>
          <w:lang w:val="mi-NZ"/>
        </w:rPr>
        <w:tab/>
        <w:t>Child and Youth Mortality Review Committee</w:t>
      </w:r>
    </w:p>
    <w:p w14:paraId="6FA57791" w14:textId="77777777" w:rsidR="00626091" w:rsidRPr="00975B3B" w:rsidRDefault="00626091" w:rsidP="00AE73EC">
      <w:pPr>
        <w:spacing w:after="0" w:line="360" w:lineRule="auto"/>
        <w:rPr>
          <w:sz w:val="21"/>
          <w:szCs w:val="21"/>
          <w:lang w:val="mi-NZ"/>
        </w:rPr>
      </w:pPr>
    </w:p>
    <w:p w14:paraId="70B58910" w14:textId="338425A8" w:rsidR="00AE73EC" w:rsidRPr="00975B3B" w:rsidRDefault="00AE73EC" w:rsidP="00AE73EC">
      <w:pPr>
        <w:spacing w:after="0" w:line="360" w:lineRule="auto"/>
        <w:rPr>
          <w:sz w:val="21"/>
          <w:szCs w:val="21"/>
          <w:lang w:val="mi-NZ"/>
        </w:rPr>
      </w:pPr>
      <w:r w:rsidRPr="00975B3B">
        <w:rPr>
          <w:sz w:val="21"/>
          <w:szCs w:val="21"/>
          <w:lang w:val="mi-NZ"/>
        </w:rPr>
        <w:t>CYWS</w:t>
      </w:r>
      <w:r w:rsidRPr="00975B3B">
        <w:rPr>
          <w:sz w:val="21"/>
          <w:szCs w:val="21"/>
          <w:lang w:val="mi-NZ"/>
        </w:rPr>
        <w:tab/>
      </w:r>
      <w:r w:rsidRPr="00975B3B">
        <w:rPr>
          <w:sz w:val="21"/>
          <w:szCs w:val="21"/>
          <w:lang w:val="mi-NZ"/>
        </w:rPr>
        <w:tab/>
      </w:r>
      <w:r w:rsidRPr="00975B3B">
        <w:rPr>
          <w:sz w:val="21"/>
          <w:szCs w:val="21"/>
          <w:lang w:val="mi-NZ"/>
        </w:rPr>
        <w:tab/>
        <w:t>Child and Youth Wellbeing Strategy</w:t>
      </w:r>
    </w:p>
    <w:p w14:paraId="7F581A9A" w14:textId="77777777" w:rsidR="00AE73EC" w:rsidRPr="00975B3B" w:rsidRDefault="00AE73EC" w:rsidP="00AE73EC">
      <w:pPr>
        <w:spacing w:after="0" w:line="360" w:lineRule="auto"/>
        <w:rPr>
          <w:sz w:val="21"/>
          <w:szCs w:val="21"/>
          <w:lang w:val="mi-NZ"/>
        </w:rPr>
      </w:pPr>
    </w:p>
    <w:p w14:paraId="6B6BDC03" w14:textId="13338531" w:rsidR="000F3083" w:rsidRPr="00975B3B" w:rsidRDefault="000F3083" w:rsidP="00AE73EC">
      <w:pPr>
        <w:spacing w:after="0" w:line="360" w:lineRule="auto"/>
        <w:rPr>
          <w:sz w:val="21"/>
          <w:szCs w:val="21"/>
          <w:lang w:val="mi-NZ"/>
        </w:rPr>
      </w:pPr>
      <w:r w:rsidRPr="00975B3B">
        <w:rPr>
          <w:sz w:val="21"/>
          <w:szCs w:val="21"/>
          <w:lang w:val="mi-NZ"/>
        </w:rPr>
        <w:t xml:space="preserve">DIA </w:t>
      </w:r>
      <w:r w:rsidRPr="00975B3B">
        <w:rPr>
          <w:sz w:val="21"/>
          <w:szCs w:val="21"/>
          <w:lang w:val="mi-NZ"/>
        </w:rPr>
        <w:tab/>
      </w:r>
      <w:r w:rsidRPr="00975B3B">
        <w:rPr>
          <w:sz w:val="21"/>
          <w:szCs w:val="21"/>
          <w:lang w:val="mi-NZ"/>
        </w:rPr>
        <w:tab/>
      </w:r>
      <w:r w:rsidRPr="00975B3B">
        <w:rPr>
          <w:sz w:val="21"/>
          <w:szCs w:val="21"/>
          <w:lang w:val="mi-NZ"/>
        </w:rPr>
        <w:tab/>
        <w:t>Department of Internal Affairs</w:t>
      </w:r>
    </w:p>
    <w:p w14:paraId="085FB212" w14:textId="77777777" w:rsidR="000F3083" w:rsidRPr="00975B3B" w:rsidRDefault="000F3083" w:rsidP="00AE73EC">
      <w:pPr>
        <w:spacing w:after="0" w:line="360" w:lineRule="auto"/>
        <w:rPr>
          <w:sz w:val="21"/>
          <w:szCs w:val="21"/>
          <w:lang w:val="mi-NZ"/>
        </w:rPr>
      </w:pPr>
    </w:p>
    <w:p w14:paraId="72018672" w14:textId="23E44CB6" w:rsidR="00AE73EC" w:rsidRPr="00975B3B" w:rsidRDefault="00AE73EC" w:rsidP="00AE73EC">
      <w:pPr>
        <w:spacing w:after="0" w:line="360" w:lineRule="auto"/>
        <w:rPr>
          <w:sz w:val="21"/>
          <w:szCs w:val="21"/>
          <w:lang w:val="mi-NZ"/>
        </w:rPr>
      </w:pPr>
      <w:r w:rsidRPr="00975B3B">
        <w:rPr>
          <w:sz w:val="21"/>
          <w:szCs w:val="21"/>
          <w:lang w:val="mi-NZ"/>
        </w:rPr>
        <w:t>ERO</w:t>
      </w:r>
      <w:r w:rsidRPr="00975B3B">
        <w:rPr>
          <w:sz w:val="21"/>
          <w:szCs w:val="21"/>
          <w:lang w:val="mi-NZ"/>
        </w:rPr>
        <w:tab/>
      </w:r>
      <w:r w:rsidRPr="00975B3B">
        <w:rPr>
          <w:sz w:val="21"/>
          <w:szCs w:val="21"/>
          <w:lang w:val="mi-NZ"/>
        </w:rPr>
        <w:tab/>
      </w:r>
      <w:r w:rsidRPr="00975B3B">
        <w:rPr>
          <w:sz w:val="21"/>
          <w:szCs w:val="21"/>
          <w:lang w:val="mi-NZ"/>
        </w:rPr>
        <w:tab/>
        <w:t>Education Review Office</w:t>
      </w:r>
    </w:p>
    <w:p w14:paraId="3F8FB109" w14:textId="77777777" w:rsidR="00AE73EC" w:rsidRPr="00975B3B" w:rsidRDefault="00AE73EC" w:rsidP="00AE73EC">
      <w:pPr>
        <w:spacing w:after="0" w:line="360" w:lineRule="auto"/>
        <w:rPr>
          <w:sz w:val="21"/>
          <w:szCs w:val="21"/>
          <w:lang w:val="mi-NZ"/>
        </w:rPr>
      </w:pPr>
    </w:p>
    <w:p w14:paraId="06877639" w14:textId="77777777" w:rsidR="00AE73EC" w:rsidRPr="00975B3B" w:rsidRDefault="00AE73EC" w:rsidP="00AE73EC">
      <w:pPr>
        <w:spacing w:after="0" w:line="360" w:lineRule="auto"/>
        <w:rPr>
          <w:sz w:val="21"/>
          <w:szCs w:val="21"/>
          <w:lang w:val="mi-NZ"/>
        </w:rPr>
      </w:pPr>
      <w:r w:rsidRPr="00975B3B">
        <w:rPr>
          <w:sz w:val="21"/>
          <w:szCs w:val="21"/>
          <w:lang w:val="mi-NZ"/>
        </w:rPr>
        <w:t>FASD</w:t>
      </w:r>
      <w:r w:rsidRPr="00975B3B">
        <w:rPr>
          <w:sz w:val="21"/>
          <w:szCs w:val="21"/>
          <w:lang w:val="mi-NZ"/>
        </w:rPr>
        <w:tab/>
      </w:r>
      <w:r w:rsidRPr="00975B3B">
        <w:rPr>
          <w:sz w:val="21"/>
          <w:szCs w:val="21"/>
          <w:lang w:val="mi-NZ"/>
        </w:rPr>
        <w:tab/>
      </w:r>
      <w:r w:rsidRPr="00975B3B">
        <w:rPr>
          <w:sz w:val="21"/>
          <w:szCs w:val="21"/>
          <w:lang w:val="mi-NZ"/>
        </w:rPr>
        <w:tab/>
        <w:t>Fetal Alcohol Spectrum Disorder</w:t>
      </w:r>
    </w:p>
    <w:p w14:paraId="15CF14EB" w14:textId="77777777" w:rsidR="00AE73EC" w:rsidRPr="00975B3B" w:rsidRDefault="00AE73EC" w:rsidP="00AE73EC">
      <w:pPr>
        <w:spacing w:after="0" w:line="360" w:lineRule="auto"/>
        <w:rPr>
          <w:sz w:val="21"/>
          <w:szCs w:val="21"/>
          <w:lang w:val="mi-NZ"/>
        </w:rPr>
      </w:pPr>
    </w:p>
    <w:p w14:paraId="4462354A" w14:textId="77777777" w:rsidR="00AE73EC" w:rsidRPr="00975B3B" w:rsidRDefault="00AE73EC" w:rsidP="00AE73EC">
      <w:pPr>
        <w:spacing w:after="0" w:line="360" w:lineRule="auto"/>
        <w:rPr>
          <w:sz w:val="21"/>
          <w:szCs w:val="21"/>
          <w:lang w:val="mi-NZ"/>
        </w:rPr>
      </w:pPr>
      <w:r w:rsidRPr="00975B3B">
        <w:rPr>
          <w:sz w:val="21"/>
          <w:szCs w:val="21"/>
          <w:lang w:val="mi-NZ"/>
        </w:rPr>
        <w:t>FGC</w:t>
      </w:r>
      <w:r w:rsidRPr="00975B3B">
        <w:rPr>
          <w:sz w:val="21"/>
          <w:szCs w:val="21"/>
          <w:lang w:val="mi-NZ"/>
        </w:rPr>
        <w:tab/>
      </w:r>
      <w:r w:rsidRPr="00975B3B">
        <w:rPr>
          <w:sz w:val="21"/>
          <w:szCs w:val="21"/>
          <w:lang w:val="mi-NZ"/>
        </w:rPr>
        <w:tab/>
      </w:r>
      <w:r w:rsidRPr="00975B3B">
        <w:rPr>
          <w:sz w:val="21"/>
          <w:szCs w:val="21"/>
          <w:lang w:val="mi-NZ"/>
        </w:rPr>
        <w:tab/>
        <w:t>Family Group Conference</w:t>
      </w:r>
    </w:p>
    <w:p w14:paraId="06A34163" w14:textId="77777777" w:rsidR="00AE73EC" w:rsidRPr="00975B3B" w:rsidRDefault="00AE73EC" w:rsidP="00AE73EC">
      <w:pPr>
        <w:spacing w:after="0" w:line="360" w:lineRule="auto"/>
        <w:rPr>
          <w:sz w:val="21"/>
          <w:szCs w:val="21"/>
          <w:lang w:val="mi-NZ"/>
        </w:rPr>
      </w:pPr>
    </w:p>
    <w:p w14:paraId="40101CDA" w14:textId="4D529AFA" w:rsidR="00AE73EC" w:rsidRPr="00975B3B" w:rsidRDefault="00AE73EC" w:rsidP="00AE73EC">
      <w:pPr>
        <w:spacing w:after="0" w:line="360" w:lineRule="auto"/>
        <w:rPr>
          <w:sz w:val="21"/>
          <w:szCs w:val="21"/>
          <w:lang w:val="mi-NZ"/>
        </w:rPr>
      </w:pPr>
      <w:r w:rsidRPr="00975B3B">
        <w:rPr>
          <w:sz w:val="21"/>
          <w:szCs w:val="21"/>
          <w:lang w:val="mi-NZ"/>
        </w:rPr>
        <w:lastRenderedPageBreak/>
        <w:t>FVDRC</w:t>
      </w:r>
      <w:r w:rsidRPr="00975B3B">
        <w:rPr>
          <w:sz w:val="21"/>
          <w:szCs w:val="21"/>
          <w:lang w:val="mi-NZ"/>
        </w:rPr>
        <w:tab/>
      </w:r>
      <w:r w:rsidRPr="00975B3B">
        <w:rPr>
          <w:sz w:val="21"/>
          <w:szCs w:val="21"/>
          <w:lang w:val="mi-NZ"/>
        </w:rPr>
        <w:tab/>
      </w:r>
      <w:r w:rsidR="006F22BF" w:rsidRPr="00975B3B">
        <w:rPr>
          <w:sz w:val="21"/>
          <w:szCs w:val="21"/>
          <w:lang w:val="mi-NZ"/>
        </w:rPr>
        <w:tab/>
      </w:r>
      <w:r w:rsidRPr="00975B3B">
        <w:rPr>
          <w:sz w:val="21"/>
          <w:szCs w:val="21"/>
          <w:lang w:val="mi-NZ"/>
        </w:rPr>
        <w:t>Family Violence Death Review Committee</w:t>
      </w:r>
    </w:p>
    <w:p w14:paraId="452F9F47" w14:textId="77777777" w:rsidR="00AE73EC" w:rsidRPr="00975B3B" w:rsidRDefault="00AE73EC" w:rsidP="00AE73EC">
      <w:pPr>
        <w:spacing w:after="0" w:line="360" w:lineRule="auto"/>
        <w:rPr>
          <w:sz w:val="21"/>
          <w:szCs w:val="21"/>
          <w:lang w:val="mi-NZ"/>
        </w:rPr>
      </w:pPr>
    </w:p>
    <w:p w14:paraId="4EFE3697" w14:textId="77777777" w:rsidR="00AE73EC" w:rsidRPr="00975B3B" w:rsidRDefault="00AE73EC" w:rsidP="00AE73EC">
      <w:pPr>
        <w:spacing w:after="0" w:line="360" w:lineRule="auto"/>
        <w:rPr>
          <w:sz w:val="21"/>
          <w:szCs w:val="21"/>
          <w:lang w:val="mi-NZ"/>
        </w:rPr>
      </w:pPr>
      <w:r w:rsidRPr="00975B3B">
        <w:rPr>
          <w:sz w:val="21"/>
          <w:szCs w:val="21"/>
          <w:lang w:val="mi-NZ"/>
        </w:rPr>
        <w:t>ICM</w:t>
      </w:r>
      <w:r w:rsidRPr="00975B3B">
        <w:rPr>
          <w:sz w:val="21"/>
          <w:szCs w:val="21"/>
          <w:lang w:val="mi-NZ"/>
        </w:rPr>
        <w:tab/>
      </w:r>
      <w:r w:rsidRPr="00975B3B">
        <w:rPr>
          <w:sz w:val="21"/>
          <w:szCs w:val="21"/>
          <w:lang w:val="mi-NZ"/>
        </w:rPr>
        <w:tab/>
      </w:r>
      <w:r w:rsidRPr="00975B3B">
        <w:rPr>
          <w:sz w:val="21"/>
          <w:szCs w:val="21"/>
          <w:lang w:val="mi-NZ"/>
        </w:rPr>
        <w:tab/>
        <w:t>Independent Children’s Monitor</w:t>
      </w:r>
    </w:p>
    <w:p w14:paraId="098129DB" w14:textId="77777777" w:rsidR="00AE73EC" w:rsidRPr="00975B3B" w:rsidRDefault="00AE73EC" w:rsidP="00AE73EC">
      <w:pPr>
        <w:spacing w:after="0" w:line="360" w:lineRule="auto"/>
        <w:rPr>
          <w:sz w:val="21"/>
          <w:szCs w:val="21"/>
          <w:lang w:val="mi-NZ"/>
        </w:rPr>
      </w:pPr>
    </w:p>
    <w:p w14:paraId="3B2F78B9" w14:textId="77777777" w:rsidR="00AE73EC" w:rsidRPr="00975B3B" w:rsidRDefault="00AE73EC" w:rsidP="00AE73EC">
      <w:pPr>
        <w:spacing w:after="0" w:line="360" w:lineRule="auto"/>
        <w:rPr>
          <w:sz w:val="21"/>
          <w:szCs w:val="21"/>
          <w:lang w:val="mi-NZ"/>
        </w:rPr>
      </w:pPr>
      <w:r w:rsidRPr="00975B3B">
        <w:rPr>
          <w:sz w:val="21"/>
          <w:szCs w:val="21"/>
          <w:lang w:val="mi-NZ"/>
        </w:rPr>
        <w:t>IPCA</w:t>
      </w:r>
      <w:r w:rsidRPr="00975B3B">
        <w:rPr>
          <w:sz w:val="21"/>
          <w:szCs w:val="21"/>
          <w:lang w:val="mi-NZ"/>
        </w:rPr>
        <w:tab/>
      </w:r>
      <w:r w:rsidRPr="00975B3B">
        <w:rPr>
          <w:sz w:val="21"/>
          <w:szCs w:val="21"/>
          <w:lang w:val="mi-NZ"/>
        </w:rPr>
        <w:tab/>
      </w:r>
      <w:r w:rsidRPr="00975B3B">
        <w:rPr>
          <w:sz w:val="21"/>
          <w:szCs w:val="21"/>
          <w:lang w:val="mi-NZ"/>
        </w:rPr>
        <w:tab/>
        <w:t>Independent Police Conduct Authority</w:t>
      </w:r>
      <w:r w:rsidRPr="00975B3B">
        <w:rPr>
          <w:sz w:val="21"/>
          <w:szCs w:val="21"/>
          <w:lang w:val="mi-NZ"/>
        </w:rPr>
        <w:tab/>
      </w:r>
    </w:p>
    <w:p w14:paraId="27371398" w14:textId="77777777" w:rsidR="00AE73EC" w:rsidRPr="00975B3B" w:rsidRDefault="00AE73EC" w:rsidP="00AE73EC">
      <w:pPr>
        <w:spacing w:after="0" w:line="360" w:lineRule="auto"/>
        <w:rPr>
          <w:sz w:val="21"/>
          <w:szCs w:val="21"/>
          <w:lang w:val="mi-NZ"/>
        </w:rPr>
      </w:pPr>
      <w:r w:rsidRPr="00975B3B">
        <w:rPr>
          <w:sz w:val="21"/>
          <w:szCs w:val="21"/>
          <w:lang w:val="mi-NZ"/>
        </w:rPr>
        <w:tab/>
      </w:r>
    </w:p>
    <w:p w14:paraId="53E4272D" w14:textId="63BD201D" w:rsidR="00CA4F65" w:rsidRPr="00975B3B" w:rsidRDefault="00CA4F65" w:rsidP="00AE73EC">
      <w:pPr>
        <w:spacing w:after="0" w:line="360" w:lineRule="auto"/>
        <w:rPr>
          <w:sz w:val="21"/>
          <w:szCs w:val="21"/>
          <w:lang w:val="mi-NZ"/>
        </w:rPr>
      </w:pPr>
      <w:r w:rsidRPr="00975B3B">
        <w:rPr>
          <w:sz w:val="21"/>
          <w:szCs w:val="21"/>
          <w:lang w:val="mi-NZ"/>
        </w:rPr>
        <w:t>LOIPR</w:t>
      </w:r>
      <w:r w:rsidRPr="00975B3B">
        <w:rPr>
          <w:sz w:val="21"/>
          <w:szCs w:val="21"/>
          <w:lang w:val="mi-NZ"/>
        </w:rPr>
        <w:tab/>
      </w:r>
      <w:r w:rsidRPr="00975B3B">
        <w:rPr>
          <w:sz w:val="21"/>
          <w:szCs w:val="21"/>
          <w:lang w:val="mi-NZ"/>
        </w:rPr>
        <w:tab/>
      </w:r>
      <w:r w:rsidRPr="00975B3B">
        <w:rPr>
          <w:sz w:val="21"/>
          <w:szCs w:val="21"/>
          <w:lang w:val="mi-NZ"/>
        </w:rPr>
        <w:tab/>
        <w:t>List of Issues Prior to Reporting</w:t>
      </w:r>
    </w:p>
    <w:p w14:paraId="431CE9AF" w14:textId="77777777" w:rsidR="00CA4F65" w:rsidRPr="00975B3B" w:rsidRDefault="00CA4F65" w:rsidP="00AE73EC">
      <w:pPr>
        <w:spacing w:after="0" w:line="360" w:lineRule="auto"/>
        <w:rPr>
          <w:sz w:val="21"/>
          <w:szCs w:val="21"/>
          <w:lang w:val="mi-NZ"/>
        </w:rPr>
      </w:pPr>
    </w:p>
    <w:p w14:paraId="06F78584" w14:textId="72BFCCB3" w:rsidR="00AE73EC" w:rsidRPr="00975B3B" w:rsidRDefault="00AE73EC" w:rsidP="00AE73EC">
      <w:pPr>
        <w:spacing w:after="0" w:line="360" w:lineRule="auto"/>
        <w:rPr>
          <w:sz w:val="21"/>
          <w:szCs w:val="21"/>
          <w:lang w:val="mi-NZ"/>
        </w:rPr>
      </w:pPr>
      <w:r w:rsidRPr="00975B3B">
        <w:rPr>
          <w:sz w:val="21"/>
          <w:szCs w:val="21"/>
          <w:lang w:val="mi-NZ"/>
        </w:rPr>
        <w:t>MSD</w:t>
      </w:r>
      <w:r w:rsidRPr="00975B3B">
        <w:rPr>
          <w:sz w:val="21"/>
          <w:szCs w:val="21"/>
          <w:lang w:val="mi-NZ"/>
        </w:rPr>
        <w:tab/>
      </w:r>
      <w:r w:rsidRPr="00975B3B">
        <w:rPr>
          <w:sz w:val="21"/>
          <w:szCs w:val="21"/>
          <w:lang w:val="mi-NZ"/>
        </w:rPr>
        <w:tab/>
      </w:r>
      <w:r w:rsidRPr="00975B3B">
        <w:rPr>
          <w:sz w:val="21"/>
          <w:szCs w:val="21"/>
          <w:lang w:val="mi-NZ"/>
        </w:rPr>
        <w:tab/>
        <w:t>Ministry of Social Development</w:t>
      </w:r>
    </w:p>
    <w:p w14:paraId="60C9BD84" w14:textId="77777777" w:rsidR="00AE73EC" w:rsidRPr="00975B3B" w:rsidRDefault="00AE73EC" w:rsidP="00AE73EC">
      <w:pPr>
        <w:spacing w:after="0" w:line="360" w:lineRule="auto"/>
        <w:rPr>
          <w:sz w:val="21"/>
          <w:szCs w:val="21"/>
          <w:lang w:val="mi-NZ"/>
        </w:rPr>
      </w:pPr>
    </w:p>
    <w:p w14:paraId="3678635F" w14:textId="77777777" w:rsidR="00AE73EC" w:rsidRPr="00975B3B" w:rsidRDefault="00AE73EC" w:rsidP="00AE73EC">
      <w:pPr>
        <w:spacing w:after="0" w:line="360" w:lineRule="auto"/>
        <w:rPr>
          <w:sz w:val="21"/>
          <w:szCs w:val="21"/>
          <w:lang w:val="mi-NZ"/>
        </w:rPr>
      </w:pPr>
      <w:r w:rsidRPr="00975B3B">
        <w:rPr>
          <w:sz w:val="21"/>
          <w:szCs w:val="21"/>
          <w:lang w:val="mi-NZ"/>
        </w:rPr>
        <w:t>NGOs</w:t>
      </w:r>
      <w:r w:rsidRPr="00975B3B">
        <w:rPr>
          <w:sz w:val="21"/>
          <w:szCs w:val="21"/>
          <w:lang w:val="mi-NZ"/>
        </w:rPr>
        <w:tab/>
      </w:r>
      <w:r w:rsidRPr="00975B3B">
        <w:rPr>
          <w:sz w:val="21"/>
          <w:szCs w:val="21"/>
          <w:lang w:val="mi-NZ"/>
        </w:rPr>
        <w:tab/>
      </w:r>
      <w:r w:rsidRPr="00975B3B">
        <w:rPr>
          <w:sz w:val="21"/>
          <w:szCs w:val="21"/>
          <w:lang w:val="mi-NZ"/>
        </w:rPr>
        <w:tab/>
        <w:t>Non-Government Organisations</w:t>
      </w:r>
    </w:p>
    <w:p w14:paraId="4388F500" w14:textId="77777777" w:rsidR="00AE73EC" w:rsidRPr="00975B3B" w:rsidRDefault="00AE73EC" w:rsidP="00AE73EC">
      <w:pPr>
        <w:spacing w:after="0" w:line="360" w:lineRule="auto"/>
        <w:rPr>
          <w:sz w:val="21"/>
          <w:szCs w:val="21"/>
          <w:lang w:val="mi-NZ"/>
        </w:rPr>
      </w:pPr>
    </w:p>
    <w:p w14:paraId="782BD165" w14:textId="77777777" w:rsidR="00AE73EC" w:rsidRPr="00975B3B" w:rsidRDefault="00AE73EC" w:rsidP="00AE73EC">
      <w:pPr>
        <w:spacing w:after="0" w:line="360" w:lineRule="auto"/>
        <w:rPr>
          <w:sz w:val="21"/>
          <w:szCs w:val="21"/>
          <w:lang w:val="mi-NZ"/>
        </w:rPr>
      </w:pPr>
      <w:r w:rsidRPr="00975B3B">
        <w:rPr>
          <w:sz w:val="21"/>
          <w:szCs w:val="21"/>
          <w:lang w:val="mi-NZ"/>
        </w:rPr>
        <w:t>OCC</w:t>
      </w:r>
      <w:r w:rsidRPr="00975B3B">
        <w:rPr>
          <w:sz w:val="21"/>
          <w:szCs w:val="21"/>
          <w:lang w:val="mi-NZ"/>
        </w:rPr>
        <w:tab/>
      </w:r>
      <w:r w:rsidRPr="00975B3B">
        <w:rPr>
          <w:sz w:val="21"/>
          <w:szCs w:val="21"/>
          <w:lang w:val="mi-NZ"/>
        </w:rPr>
        <w:tab/>
      </w:r>
      <w:r w:rsidRPr="00975B3B">
        <w:rPr>
          <w:sz w:val="21"/>
          <w:szCs w:val="21"/>
          <w:lang w:val="mi-NZ"/>
        </w:rPr>
        <w:tab/>
        <w:t>Office of the Children’s Commissioner</w:t>
      </w:r>
    </w:p>
    <w:p w14:paraId="440D0C13" w14:textId="77777777" w:rsidR="00AE73EC" w:rsidRPr="00975B3B" w:rsidRDefault="00AE73EC" w:rsidP="00AE73EC">
      <w:pPr>
        <w:spacing w:after="0" w:line="360" w:lineRule="auto"/>
        <w:rPr>
          <w:sz w:val="21"/>
          <w:szCs w:val="21"/>
          <w:lang w:val="mi-NZ"/>
        </w:rPr>
      </w:pPr>
    </w:p>
    <w:p w14:paraId="07E411B6" w14:textId="77777777" w:rsidR="003D56A7" w:rsidRPr="00975B3B" w:rsidRDefault="003D56A7" w:rsidP="00AE73EC">
      <w:pPr>
        <w:spacing w:after="0" w:line="360" w:lineRule="auto"/>
        <w:rPr>
          <w:sz w:val="21"/>
          <w:szCs w:val="21"/>
          <w:lang w:val="mi-NZ"/>
        </w:rPr>
      </w:pPr>
      <w:r w:rsidRPr="00975B3B">
        <w:rPr>
          <w:sz w:val="21"/>
          <w:szCs w:val="21"/>
          <w:lang w:val="mi-NZ"/>
        </w:rPr>
        <w:t>OP3</w:t>
      </w:r>
      <w:r w:rsidRPr="00975B3B">
        <w:rPr>
          <w:sz w:val="21"/>
          <w:szCs w:val="21"/>
          <w:lang w:val="mi-NZ"/>
        </w:rPr>
        <w:tab/>
      </w:r>
      <w:r w:rsidRPr="00975B3B">
        <w:rPr>
          <w:sz w:val="21"/>
          <w:szCs w:val="21"/>
          <w:lang w:val="mi-NZ"/>
        </w:rPr>
        <w:tab/>
      </w:r>
      <w:r w:rsidRPr="00975B3B">
        <w:rPr>
          <w:sz w:val="21"/>
          <w:szCs w:val="21"/>
          <w:lang w:val="mi-NZ"/>
        </w:rPr>
        <w:tab/>
        <w:t xml:space="preserve">Optional Protocol 3 to the UN Convention on the Rights of the </w:t>
      </w:r>
    </w:p>
    <w:p w14:paraId="2289D27F" w14:textId="74414AEB" w:rsidR="003D56A7" w:rsidRPr="00975B3B" w:rsidRDefault="003D56A7" w:rsidP="003D56A7">
      <w:pPr>
        <w:spacing w:after="0" w:line="360" w:lineRule="auto"/>
        <w:ind w:left="1440" w:firstLine="720"/>
        <w:rPr>
          <w:sz w:val="21"/>
          <w:szCs w:val="21"/>
          <w:lang w:val="mi-NZ"/>
        </w:rPr>
      </w:pPr>
      <w:r w:rsidRPr="00975B3B">
        <w:rPr>
          <w:sz w:val="21"/>
          <w:szCs w:val="21"/>
          <w:lang w:val="mi-NZ"/>
        </w:rPr>
        <w:t>Child on a communications procedure</w:t>
      </w:r>
    </w:p>
    <w:p w14:paraId="3B5EDF29" w14:textId="77777777" w:rsidR="003D56A7" w:rsidRPr="00975B3B" w:rsidRDefault="003D56A7" w:rsidP="00AE73EC">
      <w:pPr>
        <w:spacing w:after="0" w:line="360" w:lineRule="auto"/>
        <w:rPr>
          <w:sz w:val="21"/>
          <w:szCs w:val="21"/>
          <w:lang w:val="mi-NZ"/>
        </w:rPr>
      </w:pPr>
    </w:p>
    <w:p w14:paraId="4394FC75" w14:textId="1C5D1E44" w:rsidR="00AE73EC" w:rsidRPr="00975B3B" w:rsidRDefault="00AE73EC" w:rsidP="00AE73EC">
      <w:pPr>
        <w:spacing w:after="0" w:line="360" w:lineRule="auto"/>
        <w:rPr>
          <w:sz w:val="21"/>
          <w:szCs w:val="21"/>
          <w:lang w:val="mi-NZ"/>
        </w:rPr>
      </w:pPr>
      <w:r w:rsidRPr="00975B3B">
        <w:rPr>
          <w:sz w:val="21"/>
          <w:szCs w:val="21"/>
          <w:lang w:val="mi-NZ"/>
        </w:rPr>
        <w:t>ORS</w:t>
      </w:r>
      <w:r w:rsidRPr="00975B3B">
        <w:rPr>
          <w:sz w:val="21"/>
          <w:szCs w:val="21"/>
          <w:lang w:val="mi-NZ"/>
        </w:rPr>
        <w:tab/>
      </w:r>
      <w:r w:rsidRPr="00975B3B">
        <w:rPr>
          <w:sz w:val="21"/>
          <w:szCs w:val="21"/>
          <w:lang w:val="mi-NZ"/>
        </w:rPr>
        <w:tab/>
      </w:r>
      <w:r w:rsidRPr="00975B3B">
        <w:rPr>
          <w:sz w:val="21"/>
          <w:szCs w:val="21"/>
          <w:lang w:val="mi-NZ"/>
        </w:rPr>
        <w:tab/>
        <w:t>Ongoing Resourcing Scheme</w:t>
      </w:r>
    </w:p>
    <w:p w14:paraId="45A60040" w14:textId="77777777" w:rsidR="00AE73EC" w:rsidRPr="00975B3B" w:rsidRDefault="00AE73EC" w:rsidP="00AE73EC">
      <w:pPr>
        <w:spacing w:after="0" w:line="360" w:lineRule="auto"/>
        <w:rPr>
          <w:sz w:val="21"/>
          <w:szCs w:val="21"/>
          <w:lang w:val="mi-NZ"/>
        </w:rPr>
      </w:pPr>
    </w:p>
    <w:p w14:paraId="0C6478BC" w14:textId="77777777" w:rsidR="00AE73EC" w:rsidRPr="00975B3B" w:rsidRDefault="00AE73EC" w:rsidP="00AE73EC">
      <w:pPr>
        <w:spacing w:after="0" w:line="360" w:lineRule="auto"/>
        <w:rPr>
          <w:sz w:val="21"/>
          <w:szCs w:val="21"/>
          <w:lang w:val="mi-NZ"/>
        </w:rPr>
      </w:pPr>
      <w:r w:rsidRPr="00975B3B">
        <w:rPr>
          <w:sz w:val="21"/>
          <w:szCs w:val="21"/>
          <w:lang w:val="mi-NZ"/>
        </w:rPr>
        <w:t>OT</w:t>
      </w:r>
      <w:r w:rsidRPr="00975B3B">
        <w:rPr>
          <w:sz w:val="21"/>
          <w:szCs w:val="21"/>
          <w:lang w:val="mi-NZ"/>
        </w:rPr>
        <w:tab/>
      </w:r>
      <w:r w:rsidRPr="00975B3B">
        <w:rPr>
          <w:sz w:val="21"/>
          <w:szCs w:val="21"/>
          <w:lang w:val="mi-NZ"/>
        </w:rPr>
        <w:tab/>
      </w:r>
      <w:r w:rsidRPr="00975B3B">
        <w:rPr>
          <w:sz w:val="21"/>
          <w:szCs w:val="21"/>
          <w:lang w:val="mi-NZ"/>
        </w:rPr>
        <w:tab/>
        <w:t>Oranga Tamariki</w:t>
      </w:r>
    </w:p>
    <w:p w14:paraId="057883D7" w14:textId="77777777" w:rsidR="00AE73EC" w:rsidRPr="00975B3B" w:rsidRDefault="00AE73EC" w:rsidP="00AE73EC">
      <w:pPr>
        <w:spacing w:after="0" w:line="360" w:lineRule="auto"/>
        <w:rPr>
          <w:sz w:val="21"/>
          <w:szCs w:val="21"/>
          <w:lang w:val="mi-NZ"/>
        </w:rPr>
      </w:pPr>
    </w:p>
    <w:p w14:paraId="3BEB3398" w14:textId="27FF73A3" w:rsidR="00CA4F65" w:rsidRPr="00975B3B" w:rsidRDefault="00CA4F65" w:rsidP="00AE73EC">
      <w:pPr>
        <w:spacing w:after="0" w:line="360" w:lineRule="auto"/>
        <w:rPr>
          <w:sz w:val="21"/>
          <w:szCs w:val="21"/>
          <w:lang w:val="mi-NZ"/>
        </w:rPr>
      </w:pPr>
      <w:r w:rsidRPr="00975B3B">
        <w:rPr>
          <w:sz w:val="21"/>
          <w:szCs w:val="21"/>
          <w:lang w:val="mi-NZ"/>
        </w:rPr>
        <w:t xml:space="preserve">OTAP </w:t>
      </w:r>
      <w:r w:rsidRPr="00975B3B">
        <w:rPr>
          <w:sz w:val="21"/>
          <w:szCs w:val="21"/>
          <w:lang w:val="mi-NZ"/>
        </w:rPr>
        <w:tab/>
      </w:r>
      <w:r w:rsidRPr="00975B3B">
        <w:rPr>
          <w:sz w:val="21"/>
          <w:szCs w:val="21"/>
          <w:lang w:val="mi-NZ"/>
        </w:rPr>
        <w:tab/>
      </w:r>
      <w:r w:rsidRPr="00975B3B">
        <w:rPr>
          <w:sz w:val="21"/>
          <w:szCs w:val="21"/>
          <w:lang w:val="mi-NZ"/>
        </w:rPr>
        <w:tab/>
        <w:t xml:space="preserve">Oranga Tamariki Action Plan </w:t>
      </w:r>
    </w:p>
    <w:p w14:paraId="7F7D6A81" w14:textId="77777777" w:rsidR="00CA4F65" w:rsidRPr="00975B3B" w:rsidRDefault="00CA4F65" w:rsidP="00AE73EC">
      <w:pPr>
        <w:spacing w:after="0" w:line="360" w:lineRule="auto"/>
        <w:rPr>
          <w:sz w:val="21"/>
          <w:szCs w:val="21"/>
          <w:lang w:val="mi-NZ"/>
        </w:rPr>
      </w:pPr>
    </w:p>
    <w:p w14:paraId="6A8C7A79" w14:textId="663D6439" w:rsidR="00AE73EC" w:rsidRPr="00975B3B" w:rsidRDefault="00AE73EC" w:rsidP="00AE73EC">
      <w:pPr>
        <w:spacing w:after="0" w:line="360" w:lineRule="auto"/>
        <w:rPr>
          <w:sz w:val="21"/>
          <w:szCs w:val="21"/>
          <w:lang w:val="mi-NZ"/>
        </w:rPr>
      </w:pPr>
      <w:r w:rsidRPr="00975B3B">
        <w:rPr>
          <w:sz w:val="21"/>
          <w:szCs w:val="21"/>
          <w:lang w:val="mi-NZ"/>
        </w:rPr>
        <w:t xml:space="preserve">Oversight Bill </w:t>
      </w:r>
      <w:r w:rsidRPr="00975B3B">
        <w:rPr>
          <w:sz w:val="21"/>
          <w:szCs w:val="21"/>
          <w:lang w:val="mi-NZ"/>
        </w:rPr>
        <w:tab/>
        <w:t xml:space="preserve">Oversight of Oranga Tamariki System and Children and Young </w:t>
      </w:r>
    </w:p>
    <w:p w14:paraId="7B6683C7" w14:textId="11AE6605" w:rsidR="00AE73EC" w:rsidRPr="00975B3B" w:rsidRDefault="00AE73EC" w:rsidP="00AE73EC">
      <w:pPr>
        <w:spacing w:after="0" w:line="360" w:lineRule="auto"/>
        <w:ind w:left="1440" w:firstLine="720"/>
        <w:rPr>
          <w:sz w:val="21"/>
          <w:szCs w:val="21"/>
          <w:lang w:val="mi-NZ"/>
        </w:rPr>
      </w:pPr>
      <w:r w:rsidRPr="00975B3B">
        <w:rPr>
          <w:sz w:val="21"/>
          <w:szCs w:val="21"/>
          <w:lang w:val="mi-NZ"/>
        </w:rPr>
        <w:t xml:space="preserve">People’s Commission Bill </w:t>
      </w:r>
    </w:p>
    <w:p w14:paraId="26DA5DBC" w14:textId="77777777" w:rsidR="00AE73EC" w:rsidRPr="00975B3B" w:rsidRDefault="00AE73EC" w:rsidP="00AE73EC">
      <w:pPr>
        <w:spacing w:after="0" w:line="360" w:lineRule="auto"/>
        <w:rPr>
          <w:sz w:val="21"/>
          <w:szCs w:val="21"/>
          <w:lang w:val="mi-NZ"/>
        </w:rPr>
      </w:pPr>
    </w:p>
    <w:p w14:paraId="224AB344" w14:textId="77777777" w:rsidR="00AE73EC" w:rsidRPr="00975B3B" w:rsidRDefault="00AE73EC" w:rsidP="00AE73EC">
      <w:pPr>
        <w:spacing w:after="0" w:line="360" w:lineRule="auto"/>
        <w:rPr>
          <w:sz w:val="21"/>
          <w:szCs w:val="21"/>
          <w:lang w:val="mi-NZ"/>
        </w:rPr>
      </w:pPr>
      <w:r w:rsidRPr="00975B3B">
        <w:rPr>
          <w:sz w:val="21"/>
          <w:szCs w:val="21"/>
          <w:lang w:val="mi-NZ"/>
        </w:rPr>
        <w:t>RNZ</w:t>
      </w:r>
      <w:r w:rsidRPr="00975B3B">
        <w:rPr>
          <w:sz w:val="21"/>
          <w:szCs w:val="21"/>
          <w:lang w:val="mi-NZ"/>
        </w:rPr>
        <w:tab/>
      </w:r>
      <w:r w:rsidRPr="00975B3B">
        <w:rPr>
          <w:sz w:val="21"/>
          <w:szCs w:val="21"/>
          <w:lang w:val="mi-NZ"/>
        </w:rPr>
        <w:tab/>
      </w:r>
      <w:r w:rsidRPr="00975B3B">
        <w:rPr>
          <w:sz w:val="21"/>
          <w:szCs w:val="21"/>
          <w:lang w:val="mi-NZ"/>
        </w:rPr>
        <w:tab/>
        <w:t>Radio New Zealand</w:t>
      </w:r>
    </w:p>
    <w:p w14:paraId="26CBF37F" w14:textId="77777777" w:rsidR="00AE73EC" w:rsidRPr="00975B3B" w:rsidRDefault="00AE73EC" w:rsidP="00AE73EC">
      <w:pPr>
        <w:spacing w:after="0" w:line="360" w:lineRule="auto"/>
        <w:rPr>
          <w:sz w:val="21"/>
          <w:szCs w:val="21"/>
          <w:lang w:val="mi-NZ"/>
        </w:rPr>
      </w:pPr>
    </w:p>
    <w:p w14:paraId="4CB7FA5C" w14:textId="77777777" w:rsidR="00AE73EC" w:rsidRPr="00975B3B" w:rsidRDefault="00AE73EC" w:rsidP="00AE73EC">
      <w:pPr>
        <w:spacing w:after="0" w:line="360" w:lineRule="auto"/>
        <w:rPr>
          <w:sz w:val="21"/>
          <w:szCs w:val="21"/>
        </w:rPr>
      </w:pPr>
      <w:r w:rsidRPr="00975B3B">
        <w:rPr>
          <w:sz w:val="21"/>
          <w:szCs w:val="21"/>
          <w:lang w:val="mi-NZ"/>
        </w:rPr>
        <w:t>RCOI</w:t>
      </w:r>
      <w:r w:rsidRPr="00975B3B">
        <w:rPr>
          <w:sz w:val="21"/>
          <w:szCs w:val="21"/>
          <w:lang w:val="mi-NZ"/>
        </w:rPr>
        <w:tab/>
      </w:r>
      <w:r w:rsidRPr="00975B3B">
        <w:rPr>
          <w:sz w:val="21"/>
          <w:szCs w:val="21"/>
          <w:lang w:val="mi-NZ"/>
        </w:rPr>
        <w:tab/>
      </w:r>
      <w:r w:rsidRPr="00975B3B">
        <w:rPr>
          <w:sz w:val="21"/>
          <w:szCs w:val="21"/>
          <w:lang w:val="mi-NZ"/>
        </w:rPr>
        <w:tab/>
        <w:t xml:space="preserve">Royal </w:t>
      </w:r>
      <w:r w:rsidRPr="00975B3B">
        <w:rPr>
          <w:sz w:val="21"/>
          <w:szCs w:val="21"/>
        </w:rPr>
        <w:t xml:space="preserve">Commission of Inquiry into Historical Abuse in State Care </w:t>
      </w:r>
    </w:p>
    <w:p w14:paraId="79492706" w14:textId="32ADB2FA" w:rsidR="00AE73EC" w:rsidRPr="00975B3B" w:rsidRDefault="00AE73EC" w:rsidP="00AE73EC">
      <w:pPr>
        <w:spacing w:after="0" w:line="360" w:lineRule="auto"/>
        <w:ind w:left="2160"/>
        <w:rPr>
          <w:sz w:val="21"/>
          <w:szCs w:val="21"/>
          <w:lang w:val="mi-NZ"/>
        </w:rPr>
      </w:pPr>
      <w:r w:rsidRPr="00975B3B">
        <w:rPr>
          <w:sz w:val="21"/>
          <w:szCs w:val="21"/>
        </w:rPr>
        <w:t>and in the Care of Faith-based Institutions</w:t>
      </w:r>
    </w:p>
    <w:p w14:paraId="066B13DC" w14:textId="77777777" w:rsidR="00AE73EC" w:rsidRPr="00975B3B" w:rsidRDefault="00AE73EC" w:rsidP="00AE73EC">
      <w:pPr>
        <w:spacing w:after="0" w:line="360" w:lineRule="auto"/>
        <w:rPr>
          <w:sz w:val="21"/>
          <w:szCs w:val="21"/>
          <w:lang w:val="mi-NZ"/>
        </w:rPr>
      </w:pPr>
    </w:p>
    <w:p w14:paraId="66F72C00" w14:textId="266DA9D3" w:rsidR="00E81C92" w:rsidRPr="00975B3B" w:rsidRDefault="00E81C92" w:rsidP="00AE73EC">
      <w:pPr>
        <w:spacing w:after="0" w:line="360" w:lineRule="auto"/>
        <w:rPr>
          <w:sz w:val="21"/>
          <w:szCs w:val="21"/>
          <w:lang w:val="mi-NZ"/>
        </w:rPr>
      </w:pPr>
      <w:r w:rsidRPr="00975B3B">
        <w:rPr>
          <w:sz w:val="21"/>
          <w:szCs w:val="21"/>
          <w:lang w:val="mi-NZ"/>
        </w:rPr>
        <w:t>SEC</w:t>
      </w:r>
      <w:r w:rsidRPr="00975B3B">
        <w:rPr>
          <w:sz w:val="21"/>
          <w:szCs w:val="21"/>
          <w:lang w:val="mi-NZ"/>
        </w:rPr>
        <w:tab/>
      </w:r>
      <w:r w:rsidRPr="00975B3B">
        <w:rPr>
          <w:sz w:val="21"/>
          <w:szCs w:val="21"/>
          <w:lang w:val="mi-NZ"/>
        </w:rPr>
        <w:tab/>
      </w:r>
      <w:r w:rsidRPr="00975B3B">
        <w:rPr>
          <w:sz w:val="21"/>
          <w:szCs w:val="21"/>
          <w:lang w:val="mi-NZ"/>
        </w:rPr>
        <w:tab/>
        <w:t>Sexual Exploitation of Children</w:t>
      </w:r>
    </w:p>
    <w:p w14:paraId="0B1A684E" w14:textId="77777777" w:rsidR="00E81C92" w:rsidRPr="00975B3B" w:rsidRDefault="00E81C92" w:rsidP="00AE73EC">
      <w:pPr>
        <w:spacing w:after="0" w:line="360" w:lineRule="auto"/>
        <w:rPr>
          <w:sz w:val="21"/>
          <w:szCs w:val="21"/>
          <w:lang w:val="mi-NZ"/>
        </w:rPr>
      </w:pPr>
    </w:p>
    <w:p w14:paraId="09B2E818" w14:textId="69D77E6F" w:rsidR="00AE73EC" w:rsidRPr="00975B3B" w:rsidRDefault="00AE73EC" w:rsidP="00AE73EC">
      <w:pPr>
        <w:spacing w:after="0" w:line="360" w:lineRule="auto"/>
        <w:rPr>
          <w:sz w:val="21"/>
          <w:szCs w:val="21"/>
        </w:rPr>
      </w:pPr>
      <w:r w:rsidRPr="00975B3B">
        <w:rPr>
          <w:sz w:val="21"/>
          <w:szCs w:val="21"/>
          <w:lang w:val="mi-NZ"/>
        </w:rPr>
        <w:t>SOGIESC</w:t>
      </w:r>
      <w:r w:rsidRPr="00975B3B">
        <w:rPr>
          <w:rFonts w:ascii="Arial" w:hAnsi="Arial" w:cs="Arial"/>
          <w:color w:val="202124"/>
          <w:sz w:val="21"/>
          <w:szCs w:val="21"/>
          <w:shd w:val="clear" w:color="auto" w:fill="FFFFFF"/>
        </w:rPr>
        <w:t xml:space="preserve"> </w:t>
      </w:r>
      <w:r w:rsidRPr="00975B3B">
        <w:rPr>
          <w:sz w:val="21"/>
          <w:szCs w:val="21"/>
        </w:rPr>
        <w:t> </w:t>
      </w:r>
      <w:r w:rsidRPr="00975B3B">
        <w:rPr>
          <w:sz w:val="21"/>
          <w:szCs w:val="21"/>
        </w:rPr>
        <w:tab/>
      </w:r>
      <w:r w:rsidRPr="00975B3B">
        <w:rPr>
          <w:sz w:val="21"/>
          <w:szCs w:val="21"/>
        </w:rPr>
        <w:tab/>
        <w:t xml:space="preserve">Sexual Orientation, Gender Identity, Gender Expression and Sex </w:t>
      </w:r>
    </w:p>
    <w:p w14:paraId="54E58A01" w14:textId="7E547900" w:rsidR="00AE73EC" w:rsidRPr="00975B3B" w:rsidRDefault="00AE73EC" w:rsidP="00AE73EC">
      <w:pPr>
        <w:spacing w:after="0" w:line="360" w:lineRule="auto"/>
        <w:ind w:left="2160"/>
        <w:rPr>
          <w:sz w:val="21"/>
          <w:szCs w:val="21"/>
          <w:lang w:val="mi-NZ"/>
        </w:rPr>
      </w:pPr>
      <w:r w:rsidRPr="00975B3B">
        <w:rPr>
          <w:sz w:val="21"/>
          <w:szCs w:val="21"/>
        </w:rPr>
        <w:lastRenderedPageBreak/>
        <w:t>Characteristics</w:t>
      </w:r>
    </w:p>
    <w:p w14:paraId="04EC3337" w14:textId="77777777" w:rsidR="00AE73EC" w:rsidRPr="00975B3B" w:rsidRDefault="00AE73EC" w:rsidP="00AE73EC">
      <w:pPr>
        <w:spacing w:after="0" w:line="360" w:lineRule="auto"/>
        <w:rPr>
          <w:sz w:val="21"/>
          <w:szCs w:val="21"/>
          <w:lang w:val="mi-NZ"/>
        </w:rPr>
      </w:pPr>
    </w:p>
    <w:p w14:paraId="74757934" w14:textId="77777777" w:rsidR="00AE73EC" w:rsidRPr="00975B3B" w:rsidRDefault="00AE73EC" w:rsidP="00AE73EC">
      <w:pPr>
        <w:spacing w:after="0" w:line="360" w:lineRule="auto"/>
        <w:rPr>
          <w:sz w:val="21"/>
          <w:szCs w:val="21"/>
          <w:lang w:val="mi-NZ"/>
        </w:rPr>
      </w:pPr>
      <w:r w:rsidRPr="00975B3B">
        <w:rPr>
          <w:sz w:val="21"/>
          <w:szCs w:val="21"/>
          <w:lang w:val="mi-NZ"/>
        </w:rPr>
        <w:t>SUDI</w:t>
      </w:r>
      <w:r w:rsidRPr="00975B3B">
        <w:rPr>
          <w:sz w:val="21"/>
          <w:szCs w:val="21"/>
          <w:lang w:val="mi-NZ"/>
        </w:rPr>
        <w:tab/>
      </w:r>
      <w:r w:rsidRPr="00975B3B">
        <w:rPr>
          <w:sz w:val="21"/>
          <w:szCs w:val="21"/>
          <w:lang w:val="mi-NZ"/>
        </w:rPr>
        <w:tab/>
      </w:r>
      <w:r w:rsidRPr="00975B3B">
        <w:rPr>
          <w:sz w:val="21"/>
          <w:szCs w:val="21"/>
          <w:lang w:val="mi-NZ"/>
        </w:rPr>
        <w:tab/>
        <w:t xml:space="preserve">Sudden Unexpected Death in Infancy </w:t>
      </w:r>
    </w:p>
    <w:p w14:paraId="59B7B0E2" w14:textId="77777777" w:rsidR="00AE73EC" w:rsidRPr="00975B3B" w:rsidRDefault="00AE73EC" w:rsidP="00AE73EC">
      <w:pPr>
        <w:spacing w:after="0" w:line="360" w:lineRule="auto"/>
        <w:rPr>
          <w:sz w:val="21"/>
          <w:szCs w:val="21"/>
          <w:lang w:val="mi-NZ"/>
        </w:rPr>
      </w:pPr>
    </w:p>
    <w:p w14:paraId="7709A4A4" w14:textId="3320B2CD" w:rsidR="00AE73EC" w:rsidRPr="00975B3B" w:rsidRDefault="00AE73EC" w:rsidP="00AE73EC">
      <w:pPr>
        <w:spacing w:after="0" w:line="360" w:lineRule="auto"/>
        <w:rPr>
          <w:sz w:val="21"/>
          <w:szCs w:val="21"/>
          <w:lang w:val="mi-NZ"/>
        </w:rPr>
      </w:pPr>
      <w:r w:rsidRPr="00975B3B">
        <w:rPr>
          <w:sz w:val="21"/>
          <w:szCs w:val="21"/>
          <w:lang w:val="mi-NZ"/>
        </w:rPr>
        <w:t>TORs</w:t>
      </w:r>
      <w:r w:rsidRPr="00975B3B">
        <w:rPr>
          <w:sz w:val="21"/>
          <w:szCs w:val="21"/>
          <w:lang w:val="mi-NZ"/>
        </w:rPr>
        <w:tab/>
      </w:r>
      <w:r w:rsidRPr="00975B3B">
        <w:rPr>
          <w:sz w:val="21"/>
          <w:szCs w:val="21"/>
          <w:lang w:val="mi-NZ"/>
        </w:rPr>
        <w:tab/>
      </w:r>
      <w:r w:rsidRPr="00975B3B">
        <w:rPr>
          <w:sz w:val="21"/>
          <w:szCs w:val="21"/>
          <w:lang w:val="mi-NZ"/>
        </w:rPr>
        <w:tab/>
      </w:r>
      <w:r w:rsidR="000409DC" w:rsidRPr="00975B3B">
        <w:rPr>
          <w:sz w:val="21"/>
          <w:szCs w:val="21"/>
          <w:lang w:val="mi-NZ"/>
        </w:rPr>
        <w:t>Police Tactical Options Reports</w:t>
      </w:r>
    </w:p>
    <w:p w14:paraId="47FE1FEA" w14:textId="77777777" w:rsidR="00AE73EC" w:rsidRPr="00975B3B" w:rsidRDefault="00AE73EC" w:rsidP="00AE73EC">
      <w:pPr>
        <w:spacing w:after="0" w:line="360" w:lineRule="auto"/>
        <w:rPr>
          <w:sz w:val="21"/>
          <w:szCs w:val="21"/>
          <w:lang w:val="mi-NZ"/>
        </w:rPr>
      </w:pPr>
    </w:p>
    <w:p w14:paraId="260813D6" w14:textId="77777777" w:rsidR="00AE73EC" w:rsidRPr="00975B3B" w:rsidRDefault="00AE73EC" w:rsidP="00AE73EC">
      <w:pPr>
        <w:spacing w:after="0" w:line="360" w:lineRule="auto"/>
        <w:rPr>
          <w:sz w:val="21"/>
          <w:szCs w:val="21"/>
          <w:lang w:val="mi-NZ"/>
        </w:rPr>
      </w:pPr>
      <w:r w:rsidRPr="00975B3B">
        <w:rPr>
          <w:sz w:val="21"/>
          <w:szCs w:val="21"/>
          <w:lang w:val="mi-NZ"/>
        </w:rPr>
        <w:t>UNCRPD</w:t>
      </w:r>
      <w:r w:rsidRPr="00975B3B">
        <w:rPr>
          <w:sz w:val="21"/>
          <w:szCs w:val="21"/>
          <w:lang w:val="mi-NZ"/>
        </w:rPr>
        <w:tab/>
      </w:r>
      <w:r w:rsidRPr="00975B3B">
        <w:rPr>
          <w:sz w:val="21"/>
          <w:szCs w:val="21"/>
          <w:lang w:val="mi-NZ"/>
        </w:rPr>
        <w:tab/>
        <w:t xml:space="preserve">United Nations Convention on the Rights of Persons wiht </w:t>
      </w:r>
    </w:p>
    <w:p w14:paraId="7B1B230E" w14:textId="2F7E9432" w:rsidR="00AE73EC" w:rsidRPr="00975B3B" w:rsidRDefault="00AE73EC" w:rsidP="00AE73EC">
      <w:pPr>
        <w:spacing w:after="0" w:line="360" w:lineRule="auto"/>
        <w:ind w:left="1440" w:firstLine="720"/>
        <w:rPr>
          <w:sz w:val="21"/>
          <w:szCs w:val="21"/>
          <w:lang w:val="mi-NZ"/>
        </w:rPr>
      </w:pPr>
      <w:r w:rsidRPr="00975B3B">
        <w:rPr>
          <w:sz w:val="21"/>
          <w:szCs w:val="21"/>
          <w:lang w:val="mi-NZ"/>
        </w:rPr>
        <w:t>Disabilities</w:t>
      </w:r>
    </w:p>
    <w:p w14:paraId="5B1CC220" w14:textId="77777777" w:rsidR="00AE73EC" w:rsidRPr="00975B3B" w:rsidRDefault="00AE73EC" w:rsidP="00AE73EC">
      <w:pPr>
        <w:spacing w:after="0" w:line="360" w:lineRule="auto"/>
        <w:rPr>
          <w:sz w:val="21"/>
          <w:szCs w:val="21"/>
          <w:lang w:val="mi-NZ"/>
        </w:rPr>
      </w:pPr>
    </w:p>
    <w:p w14:paraId="147A4B62" w14:textId="0339174E" w:rsidR="00AE73EC" w:rsidRPr="00975B3B" w:rsidRDefault="00AE73EC" w:rsidP="00AE73EC">
      <w:pPr>
        <w:spacing w:after="0" w:line="360" w:lineRule="auto"/>
        <w:rPr>
          <w:sz w:val="21"/>
          <w:szCs w:val="21"/>
          <w:lang w:val="mi-NZ"/>
        </w:rPr>
      </w:pPr>
      <w:r w:rsidRPr="00975B3B">
        <w:rPr>
          <w:sz w:val="21"/>
          <w:szCs w:val="21"/>
          <w:lang w:val="mi-NZ"/>
        </w:rPr>
        <w:t>UNDRIP</w:t>
      </w:r>
      <w:r w:rsidRPr="00975B3B">
        <w:rPr>
          <w:sz w:val="21"/>
          <w:szCs w:val="21"/>
          <w:lang w:val="mi-NZ"/>
        </w:rPr>
        <w:tab/>
      </w:r>
      <w:r w:rsidRPr="00975B3B">
        <w:rPr>
          <w:sz w:val="21"/>
          <w:szCs w:val="21"/>
          <w:lang w:val="mi-NZ"/>
        </w:rPr>
        <w:tab/>
        <w:t>United Nations Declaration on the Rights of Indigenous Peoples</w:t>
      </w:r>
    </w:p>
    <w:p w14:paraId="403FCA20" w14:textId="77777777" w:rsidR="000860B3" w:rsidRPr="00975B3B" w:rsidRDefault="000860B3" w:rsidP="00AE73EC">
      <w:pPr>
        <w:spacing w:after="0" w:line="360" w:lineRule="auto"/>
        <w:rPr>
          <w:sz w:val="21"/>
          <w:szCs w:val="21"/>
          <w:lang w:val="mi-NZ"/>
        </w:rPr>
      </w:pPr>
    </w:p>
    <w:p w14:paraId="32AABAA8" w14:textId="77777777" w:rsidR="00AE73EC" w:rsidRPr="00975B3B" w:rsidRDefault="00AE73EC" w:rsidP="00AE73EC">
      <w:pPr>
        <w:spacing w:after="0" w:line="360" w:lineRule="auto"/>
        <w:rPr>
          <w:sz w:val="21"/>
          <w:szCs w:val="21"/>
          <w:lang w:val="mi-NZ"/>
        </w:rPr>
      </w:pPr>
      <w:r w:rsidRPr="00975B3B">
        <w:rPr>
          <w:sz w:val="21"/>
          <w:szCs w:val="21"/>
          <w:lang w:val="mi-NZ"/>
        </w:rPr>
        <w:t>WEAG</w:t>
      </w:r>
      <w:r w:rsidRPr="00975B3B">
        <w:rPr>
          <w:sz w:val="21"/>
          <w:szCs w:val="21"/>
          <w:lang w:val="mi-NZ"/>
        </w:rPr>
        <w:tab/>
      </w:r>
      <w:r w:rsidRPr="00975B3B">
        <w:rPr>
          <w:sz w:val="21"/>
          <w:szCs w:val="21"/>
          <w:lang w:val="mi-NZ"/>
        </w:rPr>
        <w:tab/>
      </w:r>
      <w:r w:rsidRPr="00975B3B">
        <w:rPr>
          <w:sz w:val="21"/>
          <w:szCs w:val="21"/>
          <w:lang w:val="mi-NZ"/>
        </w:rPr>
        <w:tab/>
        <w:t xml:space="preserve">Welfare Expert Advisory Group </w:t>
      </w:r>
    </w:p>
    <w:p w14:paraId="5AC78084" w14:textId="77777777" w:rsidR="00AE73EC" w:rsidRPr="00975B3B" w:rsidRDefault="00AE73EC" w:rsidP="00AE73EC">
      <w:pPr>
        <w:rPr>
          <w:rFonts w:cstheme="minorHAnsi"/>
          <w:sz w:val="21"/>
          <w:szCs w:val="21"/>
          <w:highlight w:val="green"/>
          <w:lang w:val="mi-NZ"/>
        </w:rPr>
      </w:pPr>
    </w:p>
    <w:p w14:paraId="329A3EB7" w14:textId="77777777" w:rsidR="00AE73EC" w:rsidRPr="00975B3B" w:rsidRDefault="00AE73EC" w:rsidP="00AE73EC">
      <w:pPr>
        <w:rPr>
          <w:rFonts w:cstheme="minorHAnsi"/>
          <w:sz w:val="21"/>
          <w:szCs w:val="21"/>
          <w:lang w:val="mi-NZ"/>
        </w:rPr>
      </w:pPr>
    </w:p>
    <w:p w14:paraId="6264C87F" w14:textId="77777777" w:rsidR="00AE73EC" w:rsidRDefault="00AE73EC" w:rsidP="00AE73EC"/>
    <w:p w14:paraId="1318E0AC" w14:textId="6A3A0FB5" w:rsidR="000860B3" w:rsidRDefault="000860B3">
      <w:r>
        <w:br w:type="page"/>
      </w:r>
    </w:p>
    <w:p w14:paraId="61CBD496" w14:textId="77777777" w:rsidR="00884896" w:rsidRPr="00884896" w:rsidRDefault="00884896" w:rsidP="00884896">
      <w:pPr>
        <w:rPr>
          <w:rFonts w:asciiTheme="majorHAnsi" w:eastAsiaTheme="majorEastAsia" w:hAnsiTheme="majorHAnsi" w:cstheme="majorBidi"/>
          <w:b/>
          <w:bCs/>
          <w:color w:val="25409A" w:themeColor="text2"/>
          <w:sz w:val="28"/>
          <w:szCs w:val="28"/>
          <w:lang w:val="mi-NZ"/>
        </w:rPr>
      </w:pPr>
      <w:r w:rsidRPr="00884896">
        <w:rPr>
          <w:rFonts w:asciiTheme="majorHAnsi" w:eastAsiaTheme="majorEastAsia" w:hAnsiTheme="majorHAnsi" w:cstheme="majorBidi"/>
          <w:b/>
          <w:bCs/>
          <w:color w:val="25409A" w:themeColor="text2"/>
          <w:sz w:val="28"/>
          <w:szCs w:val="28"/>
          <w:lang w:val="mi-NZ"/>
        </w:rPr>
        <w:lastRenderedPageBreak/>
        <w:t>2022 Thematic Reports Referred to in this Report</w:t>
      </w:r>
    </w:p>
    <w:p w14:paraId="63A760CC" w14:textId="77777777" w:rsidR="00884896" w:rsidRDefault="00884896" w:rsidP="00884896">
      <w:pPr>
        <w:rPr>
          <w:rFonts w:cstheme="minorHAnsi"/>
          <w:lang w:val="mi-NZ"/>
        </w:rPr>
      </w:pPr>
    </w:p>
    <w:p w14:paraId="273957F0" w14:textId="77777777" w:rsidR="00884896" w:rsidRPr="00B41BC8" w:rsidRDefault="00884896" w:rsidP="00B41BC8">
      <w:pPr>
        <w:spacing w:before="120" w:after="0"/>
        <w:rPr>
          <w:rFonts w:cstheme="minorHAnsi"/>
          <w:lang w:val="mi-NZ"/>
        </w:rPr>
      </w:pPr>
      <w:r w:rsidRPr="00B41BC8">
        <w:rPr>
          <w:rFonts w:cstheme="minorHAnsi"/>
          <w:lang w:val="mi-NZ"/>
        </w:rPr>
        <w:t>Backbone Collective Thematic Report, submitted by the Backbone Collective (Reports on the situation of children affected by family violence and sexual violence.)</w:t>
      </w:r>
    </w:p>
    <w:p w14:paraId="5DEF6641" w14:textId="77777777" w:rsidR="00884896" w:rsidRPr="00B41BC8" w:rsidRDefault="00884896" w:rsidP="00B41BC8">
      <w:pPr>
        <w:spacing w:before="120" w:after="0"/>
        <w:rPr>
          <w:rFonts w:cstheme="minorHAnsi"/>
          <w:lang w:val="mi-NZ"/>
        </w:rPr>
      </w:pPr>
    </w:p>
    <w:p w14:paraId="4432C42C" w14:textId="7D8EE3B3" w:rsidR="00884896" w:rsidRPr="00B41BC8" w:rsidRDefault="00884896" w:rsidP="00B41BC8">
      <w:pPr>
        <w:spacing w:before="120" w:after="0"/>
        <w:rPr>
          <w:rFonts w:cstheme="minorHAnsi"/>
          <w:lang w:val="mi-NZ"/>
        </w:rPr>
      </w:pPr>
      <w:r w:rsidRPr="00B41BC8">
        <w:rPr>
          <w:rFonts w:cstheme="minorHAnsi"/>
          <w:lang w:val="mi-NZ"/>
        </w:rPr>
        <w:t>Basic Health and Welfare Rights of Children 0</w:t>
      </w:r>
      <w:r w:rsidR="00822BF0" w:rsidRPr="00B41BC8">
        <w:rPr>
          <w:rFonts w:cstheme="minorHAnsi"/>
          <w:lang w:val="mi-NZ"/>
        </w:rPr>
        <w:t>-</w:t>
      </w:r>
      <w:r w:rsidRPr="00B41BC8">
        <w:rPr>
          <w:rFonts w:cstheme="minorHAnsi"/>
          <w:lang w:val="mi-NZ"/>
        </w:rPr>
        <w:t>5 years of age Thematic Report, submitted by Whānau Āwhina Plunket</w:t>
      </w:r>
      <w:r w:rsidR="00851047" w:rsidRPr="00B41BC8">
        <w:rPr>
          <w:rFonts w:cstheme="minorHAnsi"/>
          <w:lang w:val="mi-NZ"/>
        </w:rPr>
        <w:t>,</w:t>
      </w:r>
      <w:r w:rsidRPr="00B41BC8">
        <w:rPr>
          <w:rFonts w:cstheme="minorHAnsi"/>
          <w:lang w:val="mi-NZ"/>
        </w:rPr>
        <w:t xml:space="preserve"> Save the Children New Zealand</w:t>
      </w:r>
      <w:r w:rsidR="00851047" w:rsidRPr="00B41BC8">
        <w:rPr>
          <w:rFonts w:cstheme="minorHAnsi"/>
          <w:lang w:val="mi-NZ"/>
        </w:rPr>
        <w:t>, Child Poverty Action Group and the New Zealand Council of Christian Social Services</w:t>
      </w:r>
      <w:r w:rsidRPr="00B41BC8">
        <w:rPr>
          <w:rFonts w:cstheme="minorHAnsi"/>
          <w:lang w:val="mi-NZ"/>
        </w:rPr>
        <w:t>.</w:t>
      </w:r>
    </w:p>
    <w:p w14:paraId="6A9CAFC9" w14:textId="77777777" w:rsidR="00884896" w:rsidRPr="00B41BC8" w:rsidRDefault="00884896" w:rsidP="00B41BC8">
      <w:pPr>
        <w:spacing w:before="120" w:after="0"/>
        <w:rPr>
          <w:rFonts w:cstheme="minorHAnsi"/>
          <w:lang w:val="mi-NZ"/>
        </w:rPr>
      </w:pPr>
    </w:p>
    <w:p w14:paraId="1810B020" w14:textId="77777777" w:rsidR="00884896" w:rsidRPr="00B41BC8" w:rsidRDefault="00884896" w:rsidP="00B41BC8">
      <w:pPr>
        <w:spacing w:before="120" w:after="0"/>
        <w:rPr>
          <w:rFonts w:cstheme="minorHAnsi"/>
          <w:lang w:val="mi-NZ"/>
        </w:rPr>
      </w:pPr>
      <w:r w:rsidRPr="00B41BC8">
        <w:rPr>
          <w:rFonts w:cstheme="minorHAnsi"/>
          <w:lang w:val="mi-NZ"/>
        </w:rPr>
        <w:t>Child Poverty Thematic Report, submitted by Child Poverty Action Group.</w:t>
      </w:r>
    </w:p>
    <w:p w14:paraId="53418A00" w14:textId="77777777" w:rsidR="00884896" w:rsidRPr="00B41BC8" w:rsidRDefault="00884896" w:rsidP="00B41BC8">
      <w:pPr>
        <w:spacing w:before="120" w:after="0"/>
        <w:rPr>
          <w:rFonts w:cstheme="minorHAnsi"/>
          <w:lang w:val="mi-NZ"/>
        </w:rPr>
      </w:pPr>
    </w:p>
    <w:p w14:paraId="1457FBB1" w14:textId="45C26874" w:rsidR="00884896" w:rsidRPr="00B41BC8" w:rsidRDefault="00884896" w:rsidP="00B41BC8">
      <w:pPr>
        <w:spacing w:before="120" w:after="0"/>
        <w:rPr>
          <w:rFonts w:cstheme="minorHAnsi"/>
          <w:lang w:val="mi-NZ"/>
        </w:rPr>
      </w:pPr>
      <w:r w:rsidRPr="00B41BC8">
        <w:rPr>
          <w:rFonts w:cstheme="minorHAnsi"/>
          <w:lang w:val="mi-NZ"/>
        </w:rPr>
        <w:t>Children in State Care Thematic Report,  submitted by VOYCE Whakarongo-Mai.</w:t>
      </w:r>
    </w:p>
    <w:p w14:paraId="0E5F790A" w14:textId="77777777" w:rsidR="00884896" w:rsidRPr="00B41BC8" w:rsidRDefault="00884896" w:rsidP="00B41BC8">
      <w:pPr>
        <w:spacing w:before="120" w:after="0"/>
        <w:rPr>
          <w:rFonts w:cstheme="minorHAnsi"/>
          <w:lang w:val="mi-NZ"/>
        </w:rPr>
      </w:pPr>
    </w:p>
    <w:p w14:paraId="7FB32FE6" w14:textId="075CABC2" w:rsidR="00884896" w:rsidRPr="00B41BC8" w:rsidRDefault="00884896" w:rsidP="00B41BC8">
      <w:pPr>
        <w:spacing w:before="120" w:after="0"/>
        <w:rPr>
          <w:rFonts w:cstheme="minorHAnsi"/>
          <w:lang w:val="mi-NZ"/>
        </w:rPr>
      </w:pPr>
      <w:r w:rsidRPr="00B41BC8">
        <w:rPr>
          <w:rFonts w:cstheme="minorHAnsi"/>
          <w:lang w:val="mi-NZ"/>
        </w:rPr>
        <w:t xml:space="preserve">Children’s Rights in </w:t>
      </w:r>
      <w:r w:rsidR="00BA3DCE" w:rsidRPr="00B41BC8">
        <w:rPr>
          <w:rFonts w:cstheme="minorHAnsi"/>
          <w:lang w:val="mi-NZ"/>
        </w:rPr>
        <w:t>a Changing Climate</w:t>
      </w:r>
      <w:r w:rsidRPr="00B41BC8">
        <w:rPr>
          <w:rFonts w:cstheme="minorHAnsi"/>
          <w:lang w:val="mi-NZ"/>
        </w:rPr>
        <w:t xml:space="preserve"> Thematic Report, submitted by OraTaiao: NZ Climate and Health Council.</w:t>
      </w:r>
    </w:p>
    <w:p w14:paraId="18417E66" w14:textId="77777777" w:rsidR="00884896" w:rsidRPr="00B41BC8" w:rsidRDefault="00884896" w:rsidP="00B41BC8">
      <w:pPr>
        <w:spacing w:before="120" w:after="0"/>
        <w:rPr>
          <w:rFonts w:cstheme="minorHAnsi"/>
          <w:lang w:val="en-US"/>
        </w:rPr>
      </w:pPr>
    </w:p>
    <w:p w14:paraId="45C7EC81" w14:textId="22916CB1" w:rsidR="00D41279" w:rsidRDefault="00D41279" w:rsidP="00B41BC8">
      <w:pPr>
        <w:spacing w:before="120" w:after="0"/>
        <w:rPr>
          <w:rFonts w:cstheme="minorHAnsi"/>
          <w:lang w:val="mi-NZ"/>
        </w:rPr>
      </w:pPr>
      <w:r>
        <w:rPr>
          <w:rFonts w:cstheme="minorHAnsi"/>
          <w:lang w:val="mi-NZ"/>
        </w:rPr>
        <w:t xml:space="preserve">Cooper Legal report, submitted by Cooper Legal. </w:t>
      </w:r>
    </w:p>
    <w:p w14:paraId="3484A5B1" w14:textId="77777777" w:rsidR="00D41279" w:rsidRDefault="00D41279" w:rsidP="00B41BC8">
      <w:pPr>
        <w:spacing w:before="120" w:after="0"/>
        <w:rPr>
          <w:rFonts w:cstheme="minorHAnsi"/>
          <w:lang w:val="mi-NZ"/>
        </w:rPr>
      </w:pPr>
    </w:p>
    <w:p w14:paraId="239ABBA4" w14:textId="21C8EEFA" w:rsidR="00884896" w:rsidRPr="00B41BC8" w:rsidRDefault="00884896" w:rsidP="00B41BC8">
      <w:pPr>
        <w:spacing w:before="120" w:after="0"/>
        <w:rPr>
          <w:rFonts w:cstheme="minorHAnsi"/>
          <w:lang w:val="mi-NZ"/>
        </w:rPr>
      </w:pPr>
      <w:r w:rsidRPr="00B41BC8">
        <w:rPr>
          <w:rFonts w:cstheme="minorHAnsi"/>
          <w:lang w:val="mi-NZ"/>
        </w:rPr>
        <w:t>Intersex Aotearoa Thematic Report, submitted by Intersex Aotearoa (New Zealand).</w:t>
      </w:r>
    </w:p>
    <w:p w14:paraId="021D38FB" w14:textId="77777777" w:rsidR="00884896" w:rsidRPr="00B41BC8" w:rsidRDefault="00884896" w:rsidP="00B41BC8">
      <w:pPr>
        <w:spacing w:before="120" w:after="0"/>
        <w:rPr>
          <w:rFonts w:cstheme="minorHAnsi"/>
          <w:lang w:val="en-US"/>
        </w:rPr>
      </w:pPr>
    </w:p>
    <w:p w14:paraId="361FA3B7" w14:textId="77777777" w:rsidR="00884896" w:rsidRPr="00B41BC8" w:rsidRDefault="00884896" w:rsidP="00B41BC8">
      <w:pPr>
        <w:spacing w:before="120" w:after="0"/>
        <w:rPr>
          <w:rFonts w:cstheme="minorHAnsi"/>
          <w:lang w:val="en-NZ"/>
        </w:rPr>
      </w:pPr>
      <w:r w:rsidRPr="00B41BC8">
        <w:rPr>
          <w:rFonts w:cstheme="minorHAnsi"/>
          <w:lang w:val="en-US"/>
        </w:rPr>
        <w:t xml:space="preserve">Optional Protocol for Child Trafficking, Prostitution and Pornography Thematic Report, submitted by </w:t>
      </w:r>
      <w:r w:rsidRPr="00B41BC8">
        <w:rPr>
          <w:rFonts w:cstheme="minorHAnsi"/>
        </w:rPr>
        <w:t>ECPAT NZ Child Alert.</w:t>
      </w:r>
    </w:p>
    <w:p w14:paraId="76D8759A" w14:textId="77777777" w:rsidR="00884896" w:rsidRPr="00B41BC8" w:rsidRDefault="00884896" w:rsidP="00B41BC8">
      <w:pPr>
        <w:spacing w:before="120" w:after="0"/>
        <w:rPr>
          <w:rFonts w:cstheme="minorHAnsi"/>
        </w:rPr>
      </w:pPr>
    </w:p>
    <w:p w14:paraId="692488C8" w14:textId="59B03DD6" w:rsidR="00884896" w:rsidRPr="00B41BC8" w:rsidRDefault="00884896" w:rsidP="00B41BC8">
      <w:pPr>
        <w:spacing w:before="120" w:after="0"/>
        <w:rPr>
          <w:rFonts w:cstheme="minorHAnsi"/>
          <w:lang w:val="en-US"/>
        </w:rPr>
      </w:pPr>
      <w:r w:rsidRPr="00B41BC8">
        <w:rPr>
          <w:rFonts w:cstheme="minorHAnsi"/>
          <w:lang w:val="en-US"/>
        </w:rPr>
        <w:t xml:space="preserve">Optional Protocol on the Involvement of Children in Armed Conflict </w:t>
      </w:r>
      <w:r w:rsidR="009C6940" w:rsidRPr="00B41BC8">
        <w:rPr>
          <w:rFonts w:cstheme="minorHAnsi"/>
          <w:lang w:val="en-US"/>
        </w:rPr>
        <w:t xml:space="preserve">and the Convention on the Rights of the Child </w:t>
      </w:r>
      <w:r w:rsidRPr="00B41BC8">
        <w:rPr>
          <w:rFonts w:cstheme="minorHAnsi"/>
          <w:lang w:val="en-US"/>
        </w:rPr>
        <w:t>Thematic Report, submitted by Peace Movement Aotearoa.</w:t>
      </w:r>
    </w:p>
    <w:p w14:paraId="39A059F7" w14:textId="77777777" w:rsidR="00884896" w:rsidRPr="00B41BC8" w:rsidRDefault="00884896" w:rsidP="00B41BC8">
      <w:pPr>
        <w:spacing w:before="120" w:after="0"/>
        <w:rPr>
          <w:rFonts w:cstheme="minorHAnsi"/>
          <w:lang w:val="en-NZ"/>
        </w:rPr>
      </w:pPr>
    </w:p>
    <w:p w14:paraId="57A8357E" w14:textId="433213E2" w:rsidR="00884896" w:rsidRPr="00B41BC8" w:rsidRDefault="00884896" w:rsidP="00B41BC8">
      <w:pPr>
        <w:spacing w:before="120" w:after="0"/>
        <w:rPr>
          <w:rFonts w:cstheme="minorHAnsi"/>
          <w:lang w:val="mi-NZ"/>
        </w:rPr>
      </w:pPr>
      <w:r w:rsidRPr="00B41BC8">
        <w:rPr>
          <w:rFonts w:cstheme="minorHAnsi"/>
          <w:lang w:val="mi-NZ"/>
        </w:rPr>
        <w:t>Rights of Tamariki Māori in Aotearoa New Zealand Thematic Report</w:t>
      </w:r>
      <w:r w:rsidR="00BA3DCE" w:rsidRPr="00B41BC8">
        <w:rPr>
          <w:rFonts w:cstheme="minorHAnsi"/>
          <w:lang w:val="mi-NZ"/>
        </w:rPr>
        <w:t>,</w:t>
      </w:r>
      <w:r w:rsidRPr="00B41BC8">
        <w:rPr>
          <w:rFonts w:cstheme="minorHAnsi"/>
          <w:lang w:val="mi-NZ"/>
        </w:rPr>
        <w:t xml:space="preserve"> submitted by </w:t>
      </w:r>
      <w:proofErr w:type="spellStart"/>
      <w:r w:rsidRPr="00B41BC8">
        <w:rPr>
          <w:rFonts w:cstheme="minorHAnsi"/>
        </w:rPr>
        <w:t>Te</w:t>
      </w:r>
      <w:proofErr w:type="spellEnd"/>
      <w:r w:rsidRPr="00B41BC8">
        <w:rPr>
          <w:rFonts w:cstheme="minorHAnsi"/>
        </w:rPr>
        <w:t xml:space="preserve"> Puna </w:t>
      </w:r>
      <w:proofErr w:type="spellStart"/>
      <w:r w:rsidRPr="00B41BC8">
        <w:rPr>
          <w:rFonts w:cstheme="minorHAnsi"/>
        </w:rPr>
        <w:t>Rangahau</w:t>
      </w:r>
      <w:proofErr w:type="spellEnd"/>
      <w:r w:rsidRPr="00B41BC8">
        <w:rPr>
          <w:rFonts w:cstheme="minorHAnsi"/>
        </w:rPr>
        <w:t xml:space="preserve"> o </w:t>
      </w:r>
      <w:proofErr w:type="spellStart"/>
      <w:r w:rsidRPr="00B41BC8">
        <w:rPr>
          <w:rFonts w:cstheme="minorHAnsi"/>
        </w:rPr>
        <w:t>Te</w:t>
      </w:r>
      <w:proofErr w:type="spellEnd"/>
      <w:r w:rsidRPr="00B41BC8">
        <w:rPr>
          <w:rFonts w:cstheme="minorHAnsi"/>
        </w:rPr>
        <w:t xml:space="preserve"> Wai Ariki | Aotearoa New Zealand Centre for Indigenous Peoples and the Law</w:t>
      </w:r>
      <w:r w:rsidRPr="00B41BC8">
        <w:rPr>
          <w:rFonts w:cstheme="minorHAnsi"/>
          <w:lang w:val="mi-NZ"/>
        </w:rPr>
        <w:t>.</w:t>
      </w:r>
    </w:p>
    <w:p w14:paraId="6B18F7AA" w14:textId="0D5B6E76" w:rsidR="00884896" w:rsidRPr="00B41BC8" w:rsidRDefault="00884896" w:rsidP="00B41BC8">
      <w:pPr>
        <w:spacing w:before="120" w:after="0"/>
        <w:rPr>
          <w:rFonts w:cstheme="minorHAnsi"/>
          <w:lang w:val="en-NZ"/>
        </w:rPr>
      </w:pPr>
    </w:p>
    <w:p w14:paraId="07A968FB" w14:textId="0E987DAD" w:rsidR="0020588B" w:rsidRPr="00B41BC8" w:rsidRDefault="0020588B" w:rsidP="00B41BC8">
      <w:pPr>
        <w:spacing w:before="120" w:after="0"/>
        <w:rPr>
          <w:rFonts w:cstheme="minorHAnsi"/>
          <w:lang w:val="en-NZ"/>
        </w:rPr>
      </w:pPr>
      <w:r w:rsidRPr="00B41BC8">
        <w:rPr>
          <w:rFonts w:cstheme="minorHAnsi"/>
          <w:lang w:val="en-NZ"/>
        </w:rPr>
        <w:t xml:space="preserve">The sexual and reproductive health and rights of </w:t>
      </w:r>
      <w:r w:rsidR="00BA3DCE" w:rsidRPr="00B41BC8">
        <w:rPr>
          <w:rFonts w:cstheme="minorHAnsi"/>
          <w:lang w:val="en-NZ"/>
        </w:rPr>
        <w:t>young people in Aotearoa New Zealand Thematic Report, submitted by New Zealand Family Planning.</w:t>
      </w:r>
    </w:p>
    <w:p w14:paraId="0B1A04C2" w14:textId="77777777" w:rsidR="00BA3DCE" w:rsidRPr="00B41BC8" w:rsidRDefault="00BA3DCE" w:rsidP="00B41BC8">
      <w:pPr>
        <w:spacing w:before="120" w:after="0"/>
        <w:rPr>
          <w:rFonts w:cstheme="minorHAnsi"/>
          <w:lang w:val="en-NZ"/>
        </w:rPr>
      </w:pPr>
    </w:p>
    <w:p w14:paraId="37E22D3E" w14:textId="17FCC0A2" w:rsidR="00884896" w:rsidRPr="00B41BC8" w:rsidRDefault="00884896" w:rsidP="00B41BC8">
      <w:pPr>
        <w:spacing w:before="120" w:after="0"/>
        <w:rPr>
          <w:rFonts w:cstheme="minorHAnsi"/>
        </w:rPr>
      </w:pPr>
      <w:r w:rsidRPr="00B41BC8">
        <w:rPr>
          <w:rFonts w:cstheme="minorHAnsi"/>
        </w:rPr>
        <w:t xml:space="preserve">The Minimum Age of Criminal Responsibility in Aotearoa New Zealand Thematic Paper, submitted by the Children’s Rights Alliance Aotearoa New Zealand (Author: </w:t>
      </w:r>
      <w:proofErr w:type="spellStart"/>
      <w:r w:rsidRPr="00B41BC8">
        <w:rPr>
          <w:rFonts w:cstheme="minorHAnsi"/>
        </w:rPr>
        <w:t>Enys</w:t>
      </w:r>
      <w:proofErr w:type="spellEnd"/>
      <w:r w:rsidRPr="00B41BC8">
        <w:rPr>
          <w:rFonts w:cstheme="minorHAnsi"/>
        </w:rPr>
        <w:t xml:space="preserve"> </w:t>
      </w:r>
      <w:proofErr w:type="spellStart"/>
      <w:r w:rsidRPr="00B41BC8">
        <w:rPr>
          <w:rFonts w:cstheme="minorHAnsi"/>
        </w:rPr>
        <w:t>Delmage</w:t>
      </w:r>
      <w:proofErr w:type="spellEnd"/>
      <w:r w:rsidRPr="00B41BC8">
        <w:rPr>
          <w:rFonts w:cstheme="minorHAnsi"/>
        </w:rPr>
        <w:t>).</w:t>
      </w:r>
    </w:p>
    <w:p w14:paraId="0F9939A0" w14:textId="4EAD6CBA" w:rsidR="000860B3" w:rsidRPr="00B01AFD" w:rsidRDefault="00884896" w:rsidP="00B41BC8">
      <w:pPr>
        <w:pStyle w:val="Heading1"/>
        <w:spacing w:before="120"/>
        <w:rPr>
          <w:lang w:val="mi-NZ"/>
        </w:rPr>
      </w:pPr>
      <w:r>
        <w:rPr>
          <w:lang w:val="mi-NZ"/>
        </w:rPr>
        <w:br w:type="page"/>
      </w:r>
      <w:bookmarkStart w:id="5" w:name="_Toc111485433"/>
      <w:r w:rsidR="000860B3" w:rsidRPr="00E7687D">
        <w:rPr>
          <w:lang w:val="mi-NZ"/>
        </w:rPr>
        <w:lastRenderedPageBreak/>
        <w:t>Introduction</w:t>
      </w:r>
      <w:bookmarkEnd w:id="5"/>
    </w:p>
    <w:p w14:paraId="04446D05" w14:textId="77777777" w:rsidR="000860B3" w:rsidRPr="00E7687D" w:rsidRDefault="000860B3" w:rsidP="000860B3">
      <w:pPr>
        <w:rPr>
          <w:rFonts w:cstheme="minorHAnsi"/>
          <w:lang w:val="mi-NZ"/>
        </w:rPr>
      </w:pPr>
    </w:p>
    <w:p w14:paraId="1F732898" w14:textId="1C37F737" w:rsidR="000860B3" w:rsidRPr="0098120F" w:rsidRDefault="000860B3">
      <w:pPr>
        <w:pStyle w:val="ListParagraph"/>
        <w:numPr>
          <w:ilvl w:val="0"/>
          <w:numId w:val="9"/>
        </w:numPr>
        <w:ind w:left="360"/>
        <w:rPr>
          <w:rFonts w:cstheme="minorHAnsi"/>
          <w:sz w:val="22"/>
          <w:szCs w:val="22"/>
          <w:lang w:val="mi-NZ"/>
        </w:rPr>
      </w:pPr>
      <w:r w:rsidRPr="0098120F">
        <w:rPr>
          <w:rFonts w:cstheme="minorHAnsi"/>
          <w:sz w:val="22"/>
          <w:szCs w:val="22"/>
          <w:lang w:val="mi-NZ"/>
        </w:rPr>
        <w:t>This report from the Children’s Rights Alliance Aotearoa New Zealand (the Alliance) examines what has been done to uphold and promote the rights of children in Aotearoa since 2016.</w:t>
      </w:r>
      <w:r w:rsidRPr="000860B3">
        <w:rPr>
          <w:rStyle w:val="FootnoteReference"/>
          <w:rFonts w:cstheme="minorHAnsi"/>
          <w:sz w:val="22"/>
          <w:szCs w:val="22"/>
          <w:lang w:val="mi-NZ"/>
        </w:rPr>
        <w:footnoteReference w:id="1"/>
      </w:r>
      <w:r w:rsidRPr="0098120F">
        <w:rPr>
          <w:rFonts w:cstheme="minorHAnsi"/>
          <w:sz w:val="22"/>
          <w:szCs w:val="22"/>
          <w:lang w:val="mi-NZ"/>
        </w:rPr>
        <w:t xml:space="preserve"> </w:t>
      </w:r>
    </w:p>
    <w:p w14:paraId="68D262F2" w14:textId="77777777" w:rsidR="002C640A" w:rsidRPr="002C640A" w:rsidRDefault="002C640A" w:rsidP="002C640A">
      <w:pPr>
        <w:pStyle w:val="ListParagraph"/>
        <w:ind w:left="360"/>
        <w:rPr>
          <w:rFonts w:cstheme="minorHAnsi"/>
          <w:color w:val="000000" w:themeColor="text1"/>
          <w:sz w:val="22"/>
          <w:szCs w:val="22"/>
        </w:rPr>
      </w:pPr>
    </w:p>
    <w:p w14:paraId="6313351F" w14:textId="77777777" w:rsidR="002C640A" w:rsidRPr="002C640A" w:rsidRDefault="000860B3">
      <w:pPr>
        <w:pStyle w:val="ListParagraph"/>
        <w:numPr>
          <w:ilvl w:val="0"/>
          <w:numId w:val="9"/>
        </w:numPr>
        <w:ind w:left="360"/>
        <w:rPr>
          <w:rFonts w:cstheme="minorHAnsi"/>
          <w:color w:val="000000" w:themeColor="text1"/>
          <w:sz w:val="22"/>
          <w:szCs w:val="22"/>
        </w:rPr>
      </w:pPr>
      <w:r w:rsidRPr="002C640A">
        <w:rPr>
          <w:rFonts w:cstheme="minorHAnsi"/>
          <w:sz w:val="22"/>
          <w:szCs w:val="22"/>
          <w:lang w:val="mi-NZ"/>
        </w:rPr>
        <w:t xml:space="preserve">We submit this report as a contribution to building hope and opportunity for all children in Aotearoa as, together, we strive to give effect to the Children’s Convention </w:t>
      </w:r>
      <w:r w:rsidRPr="002C640A">
        <w:rPr>
          <w:rFonts w:cstheme="minorHAnsi"/>
          <w:color w:val="000000" w:themeColor="text1"/>
          <w:sz w:val="22"/>
          <w:szCs w:val="22"/>
        </w:rPr>
        <w:t xml:space="preserve">(CRC) </w:t>
      </w:r>
      <w:r w:rsidRPr="002C640A">
        <w:rPr>
          <w:rFonts w:cstheme="minorHAnsi"/>
          <w:sz w:val="22"/>
          <w:szCs w:val="22"/>
          <w:lang w:val="mi-NZ"/>
        </w:rPr>
        <w:t xml:space="preserve">during these challenging times, to ensure that, daily, each and every child has what they need, including a sense of belonging and worth, and is treated with dignity and respect. </w:t>
      </w:r>
    </w:p>
    <w:p w14:paraId="72E9D90D" w14:textId="77777777" w:rsidR="002C640A" w:rsidRPr="002C640A" w:rsidRDefault="002C640A" w:rsidP="002C640A">
      <w:pPr>
        <w:pStyle w:val="ListParagraph"/>
        <w:rPr>
          <w:rFonts w:cstheme="minorHAnsi"/>
          <w:sz w:val="22"/>
          <w:szCs w:val="22"/>
          <w:lang w:val="mi-NZ"/>
        </w:rPr>
      </w:pPr>
    </w:p>
    <w:p w14:paraId="0B2B80B3" w14:textId="77777777" w:rsidR="002C640A" w:rsidRPr="002C640A" w:rsidRDefault="000860B3">
      <w:pPr>
        <w:pStyle w:val="ListParagraph"/>
        <w:numPr>
          <w:ilvl w:val="0"/>
          <w:numId w:val="9"/>
        </w:numPr>
        <w:ind w:left="360"/>
        <w:rPr>
          <w:rFonts w:cstheme="minorHAnsi"/>
          <w:color w:val="000000" w:themeColor="text1"/>
          <w:sz w:val="22"/>
          <w:szCs w:val="22"/>
        </w:rPr>
      </w:pPr>
      <w:r w:rsidRPr="002C640A">
        <w:rPr>
          <w:rFonts w:cstheme="minorHAnsi"/>
          <w:sz w:val="22"/>
          <w:szCs w:val="22"/>
          <w:lang w:val="mi-NZ"/>
        </w:rPr>
        <w:t>Like their peers globally, children</w:t>
      </w:r>
      <w:r w:rsidRPr="000860B3">
        <w:rPr>
          <w:rStyle w:val="FootnoteReference"/>
          <w:rFonts w:cstheme="minorHAnsi"/>
          <w:sz w:val="22"/>
          <w:szCs w:val="22"/>
          <w:lang w:val="mi-NZ"/>
        </w:rPr>
        <w:footnoteReference w:id="2"/>
      </w:r>
      <w:r w:rsidRPr="002C640A">
        <w:rPr>
          <w:rFonts w:cstheme="minorHAnsi"/>
          <w:sz w:val="22"/>
          <w:szCs w:val="22"/>
          <w:lang w:val="mi-NZ"/>
        </w:rPr>
        <w:t xml:space="preserve"> in Aotearoa are deeply affected by the challenges facing the world and this country. Poverty, inequality, violence, racism and the changing climate touch the lives of children in Aotearoa daily. Yet, too often, in Aotearoa, children remain largely invisible in the public policy discussions and developments on key issues. Despite the increased focus on children and their wellbeing in recent years, Aotearoa is yet to reach a point where children as a population, and groups of children, are routinely considered when laws and policies are developed, and their views heard and taken seriously.</w:t>
      </w:r>
    </w:p>
    <w:p w14:paraId="1EF4F8CB" w14:textId="77777777" w:rsidR="002C640A" w:rsidRPr="002C640A" w:rsidRDefault="002C640A" w:rsidP="002C640A">
      <w:pPr>
        <w:pStyle w:val="ListParagraph"/>
        <w:rPr>
          <w:rFonts w:cstheme="minorHAnsi"/>
          <w:sz w:val="22"/>
          <w:szCs w:val="22"/>
          <w:lang w:val="mi-NZ"/>
        </w:rPr>
      </w:pPr>
    </w:p>
    <w:p w14:paraId="28AF6FE8" w14:textId="77777777" w:rsidR="002C640A" w:rsidRPr="002C640A" w:rsidRDefault="000860B3">
      <w:pPr>
        <w:pStyle w:val="ListParagraph"/>
        <w:numPr>
          <w:ilvl w:val="0"/>
          <w:numId w:val="9"/>
        </w:numPr>
        <w:ind w:left="360"/>
        <w:rPr>
          <w:rFonts w:cstheme="minorHAnsi"/>
          <w:color w:val="000000" w:themeColor="text1"/>
          <w:sz w:val="22"/>
          <w:szCs w:val="22"/>
        </w:rPr>
      </w:pPr>
      <w:r w:rsidRPr="002C640A">
        <w:rPr>
          <w:rFonts w:cstheme="minorHAnsi"/>
          <w:sz w:val="22"/>
          <w:szCs w:val="22"/>
          <w:lang w:val="mi-NZ"/>
        </w:rPr>
        <w:t>Greater priority needs to be given to all rights, for all children in Aotearoa, in all circumstances. This requires improved awareness and understanding, particularly amongst decision-makers, as to how children’s rights can be applied to improve children’s experiences and outcomes, and how children’s rights can be woven through the work of government at all levels, to support better experiences and outcomes for children from the very start of life and throughout all stages of childhood.</w:t>
      </w:r>
    </w:p>
    <w:p w14:paraId="6D64D64B" w14:textId="77777777" w:rsidR="002C640A" w:rsidRPr="002C640A" w:rsidRDefault="002C640A" w:rsidP="002C640A">
      <w:pPr>
        <w:pStyle w:val="ListParagraph"/>
        <w:rPr>
          <w:rFonts w:cstheme="minorHAnsi"/>
          <w:sz w:val="22"/>
          <w:szCs w:val="22"/>
          <w:lang w:val="mi-NZ"/>
        </w:rPr>
      </w:pPr>
    </w:p>
    <w:p w14:paraId="53B4ECB2" w14:textId="3538373B" w:rsidR="002C640A" w:rsidRPr="002C640A" w:rsidRDefault="000860B3">
      <w:pPr>
        <w:pStyle w:val="ListParagraph"/>
        <w:numPr>
          <w:ilvl w:val="0"/>
          <w:numId w:val="9"/>
        </w:numPr>
        <w:ind w:left="360"/>
        <w:rPr>
          <w:rFonts w:cstheme="minorHAnsi"/>
          <w:color w:val="000000" w:themeColor="text1"/>
          <w:sz w:val="22"/>
          <w:szCs w:val="22"/>
        </w:rPr>
      </w:pPr>
      <w:r w:rsidRPr="002C640A">
        <w:rPr>
          <w:rFonts w:cstheme="minorHAnsi"/>
          <w:sz w:val="22"/>
          <w:szCs w:val="22"/>
          <w:lang w:val="mi-NZ"/>
        </w:rPr>
        <w:t>Government’s limited capacity to focus attention to children’s issues has been demonstrated during the COVID-19 pandemic response.</w:t>
      </w:r>
      <w:r w:rsidRPr="000860B3">
        <w:rPr>
          <w:rStyle w:val="FootnoteReference"/>
          <w:rFonts w:cstheme="minorHAnsi"/>
          <w:sz w:val="22"/>
          <w:szCs w:val="22"/>
          <w:lang w:val="mi-NZ"/>
        </w:rPr>
        <w:footnoteReference w:id="3"/>
      </w:r>
      <w:r w:rsidRPr="002C640A">
        <w:rPr>
          <w:rFonts w:cstheme="minorHAnsi"/>
          <w:sz w:val="22"/>
          <w:szCs w:val="22"/>
          <w:lang w:val="mi-NZ"/>
        </w:rPr>
        <w:t xml:space="preserve"> Although Government’s public-health-focused and evidence-informed response limited the pandemic’s </w:t>
      </w:r>
      <w:r w:rsidRPr="002C640A">
        <w:rPr>
          <w:rFonts w:cstheme="minorHAnsi"/>
          <w:sz w:val="22"/>
          <w:szCs w:val="22"/>
          <w:lang w:val="mi-NZ"/>
        </w:rPr>
        <w:lastRenderedPageBreak/>
        <w:t xml:space="preserve">impact, </w:t>
      </w:r>
      <w:r w:rsidRPr="002C640A">
        <w:rPr>
          <w:rFonts w:cstheme="minorHAnsi"/>
          <w:sz w:val="22"/>
          <w:szCs w:val="22"/>
        </w:rPr>
        <w:t xml:space="preserve">COVID-19 has </w:t>
      </w:r>
      <w:r w:rsidRPr="002C640A">
        <w:rPr>
          <w:rFonts w:cstheme="minorHAnsi"/>
          <w:sz w:val="22"/>
          <w:szCs w:val="22"/>
          <w:lang w:val="mi-NZ"/>
        </w:rPr>
        <w:t>highlighted and exacerbated existing inequities in the realisation of children’s rights.</w:t>
      </w:r>
      <w:r w:rsidRPr="000860B3">
        <w:rPr>
          <w:rStyle w:val="FootnoteReference"/>
          <w:rFonts w:cstheme="minorHAnsi"/>
          <w:sz w:val="22"/>
          <w:szCs w:val="22"/>
          <w:lang w:val="mi-NZ"/>
        </w:rPr>
        <w:footnoteReference w:id="4"/>
      </w:r>
      <w:r w:rsidRPr="002C640A">
        <w:rPr>
          <w:rFonts w:cstheme="minorHAnsi"/>
          <w:sz w:val="22"/>
          <w:szCs w:val="22"/>
          <w:lang w:val="mi-NZ"/>
        </w:rPr>
        <w:t xml:space="preserve"> </w:t>
      </w:r>
      <w:r w:rsidRPr="000860B3">
        <w:rPr>
          <w:rStyle w:val="FootnoteReference"/>
          <w:rFonts w:cstheme="minorHAnsi"/>
          <w:sz w:val="22"/>
          <w:szCs w:val="22"/>
          <w:lang w:val="mi-NZ"/>
        </w:rPr>
        <w:footnoteReference w:id="5"/>
      </w:r>
      <w:r w:rsidRPr="002C640A">
        <w:rPr>
          <w:rFonts w:cstheme="minorHAnsi"/>
          <w:sz w:val="22"/>
          <w:szCs w:val="22"/>
          <w:lang w:val="mi-NZ"/>
        </w:rPr>
        <w:t xml:space="preserve"> The pandemic has also provided a glimpse of how, if children’s rights are taken seriously and systematically implemented, there are opportunities to improve the lives of all children, now and in the future.</w:t>
      </w:r>
      <w:r w:rsidRPr="002C640A">
        <w:rPr>
          <w:rStyle w:val="FootnoteReference"/>
          <w:rFonts w:cstheme="minorHAnsi"/>
          <w:sz w:val="22"/>
          <w:szCs w:val="22"/>
          <w:lang w:val="mi-NZ"/>
        </w:rPr>
        <w:t xml:space="preserve"> </w:t>
      </w:r>
      <w:r w:rsidRPr="002C640A">
        <w:rPr>
          <w:rFonts w:cstheme="minorHAnsi"/>
          <w:sz w:val="22"/>
          <w:szCs w:val="22"/>
          <w:lang w:val="mi-NZ"/>
        </w:rPr>
        <w:t xml:space="preserve">These opportunities lie in holistic, </w:t>
      </w:r>
      <w:r w:rsidR="00E714C0">
        <w:rPr>
          <w:rFonts w:cstheme="minorHAnsi"/>
          <w:sz w:val="22"/>
          <w:szCs w:val="22"/>
          <w:lang w:val="mi-NZ"/>
        </w:rPr>
        <w:t xml:space="preserve">child and </w:t>
      </w:r>
      <w:r w:rsidRPr="002C640A">
        <w:rPr>
          <w:rFonts w:cstheme="minorHAnsi"/>
          <w:sz w:val="22"/>
          <w:szCs w:val="22"/>
          <w:lang w:val="mi-NZ"/>
        </w:rPr>
        <w:t>community-led approaches that enable all pēpē, tamariki and rangatahi to belong, to be well cared for, and to be active participants in their own lives and the lives of those around them.</w:t>
      </w:r>
    </w:p>
    <w:p w14:paraId="5EE94679" w14:textId="77777777" w:rsidR="002C640A" w:rsidRPr="002C640A" w:rsidRDefault="002C640A" w:rsidP="002C640A">
      <w:pPr>
        <w:pStyle w:val="ListParagraph"/>
        <w:rPr>
          <w:rFonts w:cstheme="minorHAnsi"/>
          <w:sz w:val="22"/>
          <w:szCs w:val="22"/>
        </w:rPr>
      </w:pPr>
    </w:p>
    <w:p w14:paraId="6239CA37" w14:textId="3C3EABE3" w:rsidR="002C640A" w:rsidRPr="002C640A" w:rsidRDefault="000860B3">
      <w:pPr>
        <w:pStyle w:val="ListParagraph"/>
        <w:numPr>
          <w:ilvl w:val="0"/>
          <w:numId w:val="9"/>
        </w:numPr>
        <w:ind w:left="360"/>
        <w:rPr>
          <w:rFonts w:cstheme="minorHAnsi"/>
          <w:color w:val="000000" w:themeColor="text1"/>
          <w:sz w:val="22"/>
          <w:szCs w:val="22"/>
        </w:rPr>
      </w:pPr>
      <w:r w:rsidRPr="002C640A">
        <w:rPr>
          <w:rFonts w:cstheme="minorHAnsi"/>
          <w:sz w:val="22"/>
          <w:szCs w:val="22"/>
        </w:rPr>
        <w:t xml:space="preserve">Addressing inequities in the realisation and experience of children’s rights in Aotearoa is a strong theme of this report. Significant socio-economic inequalities exist with knock-on effects for all children’s rights, their </w:t>
      </w:r>
      <w:proofErr w:type="gramStart"/>
      <w:r w:rsidRPr="002C640A">
        <w:rPr>
          <w:rFonts w:cstheme="minorHAnsi"/>
          <w:sz w:val="22"/>
          <w:szCs w:val="22"/>
        </w:rPr>
        <w:t>experiences</w:t>
      </w:r>
      <w:proofErr w:type="gramEnd"/>
      <w:r w:rsidRPr="002C640A">
        <w:rPr>
          <w:rFonts w:cstheme="minorHAnsi"/>
          <w:sz w:val="22"/>
          <w:szCs w:val="22"/>
        </w:rPr>
        <w:t xml:space="preserve"> and outcomes.  Unless prevented, climate change will exacerbate these inequities. </w:t>
      </w:r>
      <w:r w:rsidRPr="002C640A">
        <w:rPr>
          <w:rFonts w:cstheme="minorHAnsi"/>
          <w:color w:val="000000"/>
          <w:sz w:val="22"/>
          <w:szCs w:val="22"/>
        </w:rPr>
        <w:t xml:space="preserve">Aotearoa needs to </w:t>
      </w:r>
      <w:r w:rsidRPr="002C640A">
        <w:rPr>
          <w:rFonts w:cstheme="minorHAnsi"/>
          <w:sz w:val="22"/>
          <w:szCs w:val="22"/>
        </w:rPr>
        <w:t xml:space="preserve">address discrimination, including racism, and actively work towards the rights of all children being upheld equally; to hold children central in climate change adaptation and mitigation, </w:t>
      </w:r>
      <w:r w:rsidR="002C640A" w:rsidRPr="002C640A">
        <w:rPr>
          <w:rFonts w:cstheme="minorHAnsi"/>
          <w:sz w:val="22"/>
          <w:szCs w:val="22"/>
        </w:rPr>
        <w:t>prioritising</w:t>
      </w:r>
      <w:r w:rsidRPr="002C640A">
        <w:rPr>
          <w:rFonts w:cstheme="minorHAnsi"/>
          <w:sz w:val="22"/>
          <w:szCs w:val="22"/>
        </w:rPr>
        <w:t xml:space="preserve"> their future. </w:t>
      </w:r>
    </w:p>
    <w:p w14:paraId="5E0F7818" w14:textId="77777777" w:rsidR="002C640A" w:rsidRPr="002C640A" w:rsidRDefault="002C640A" w:rsidP="002C640A">
      <w:pPr>
        <w:pStyle w:val="ListParagraph"/>
        <w:rPr>
          <w:rFonts w:cstheme="minorHAnsi"/>
          <w:color w:val="000000" w:themeColor="text1"/>
          <w:sz w:val="22"/>
          <w:szCs w:val="22"/>
        </w:rPr>
      </w:pPr>
    </w:p>
    <w:p w14:paraId="30DC5E0E" w14:textId="1DFBDC29" w:rsidR="000860B3" w:rsidRPr="002C640A" w:rsidRDefault="000860B3">
      <w:pPr>
        <w:pStyle w:val="ListParagraph"/>
        <w:numPr>
          <w:ilvl w:val="0"/>
          <w:numId w:val="9"/>
        </w:numPr>
        <w:ind w:left="360"/>
        <w:rPr>
          <w:rFonts w:cstheme="minorHAnsi"/>
          <w:color w:val="000000" w:themeColor="text1"/>
          <w:sz w:val="22"/>
          <w:szCs w:val="22"/>
        </w:rPr>
      </w:pPr>
      <w:r w:rsidRPr="002C640A">
        <w:rPr>
          <w:rFonts w:cstheme="minorHAnsi"/>
          <w:color w:val="000000" w:themeColor="text1"/>
          <w:sz w:val="22"/>
          <w:szCs w:val="22"/>
        </w:rPr>
        <w:t xml:space="preserve">In Aotearoa, understanding and respecting the rights of </w:t>
      </w:r>
      <w:proofErr w:type="spellStart"/>
      <w:r w:rsidRPr="002C640A">
        <w:rPr>
          <w:rFonts w:cstheme="minorHAnsi"/>
          <w:color w:val="000000" w:themeColor="text1"/>
          <w:sz w:val="22"/>
          <w:szCs w:val="22"/>
        </w:rPr>
        <w:t>tamariki</w:t>
      </w:r>
      <w:proofErr w:type="spellEnd"/>
      <w:r w:rsidRPr="002C640A">
        <w:rPr>
          <w:rFonts w:cstheme="minorHAnsi"/>
          <w:color w:val="000000" w:themeColor="text1"/>
          <w:sz w:val="22"/>
          <w:szCs w:val="22"/>
        </w:rPr>
        <w:t xml:space="preserve"> Māori is critical to meeting CRC obligations. In addition to the rights that </w:t>
      </w:r>
      <w:proofErr w:type="spellStart"/>
      <w:r w:rsidRPr="002C640A">
        <w:rPr>
          <w:rFonts w:cstheme="minorHAnsi"/>
          <w:color w:val="000000" w:themeColor="text1"/>
          <w:sz w:val="22"/>
          <w:szCs w:val="22"/>
        </w:rPr>
        <w:t>tamariki</w:t>
      </w:r>
      <w:proofErr w:type="spellEnd"/>
      <w:r w:rsidRPr="002C640A">
        <w:rPr>
          <w:rFonts w:cstheme="minorHAnsi"/>
          <w:color w:val="000000" w:themeColor="text1"/>
          <w:sz w:val="22"/>
          <w:szCs w:val="22"/>
        </w:rPr>
        <w:t xml:space="preserve"> Māori hold with all children under the CRC, </w:t>
      </w:r>
      <w:r w:rsidRPr="002C640A">
        <w:rPr>
          <w:rFonts w:cstheme="minorHAnsi"/>
          <w:b/>
          <w:bCs/>
          <w:color w:val="000000" w:themeColor="text1"/>
          <w:sz w:val="22"/>
          <w:szCs w:val="22"/>
        </w:rPr>
        <w:t>T</w:t>
      </w:r>
      <w:r w:rsidRPr="002C640A">
        <w:rPr>
          <w:rFonts w:cstheme="minorHAnsi"/>
          <w:b/>
          <w:bCs/>
          <w:sz w:val="22"/>
          <w:szCs w:val="22"/>
          <w:lang w:val="mi-NZ"/>
        </w:rPr>
        <w:t>amariki Māori</w:t>
      </w:r>
      <w:r w:rsidRPr="002C640A">
        <w:rPr>
          <w:rFonts w:cstheme="minorHAnsi"/>
          <w:sz w:val="22"/>
          <w:szCs w:val="22"/>
          <w:lang w:val="mi-NZ"/>
        </w:rPr>
        <w:t xml:space="preserve"> </w:t>
      </w:r>
      <w:proofErr w:type="gramStart"/>
      <w:r w:rsidRPr="002C640A">
        <w:rPr>
          <w:rFonts w:cstheme="minorHAnsi"/>
          <w:sz w:val="22"/>
          <w:szCs w:val="22"/>
          <w:lang w:val="mi-NZ"/>
        </w:rPr>
        <w:t>hold</w:t>
      </w:r>
      <w:proofErr w:type="gramEnd"/>
      <w:r w:rsidRPr="002C640A">
        <w:rPr>
          <w:rFonts w:cstheme="minorHAnsi"/>
          <w:sz w:val="22"/>
          <w:szCs w:val="22"/>
          <w:lang w:val="mi-NZ"/>
        </w:rPr>
        <w:t xml:space="preserve"> unique rights and protections that are especial to them as: </w:t>
      </w:r>
    </w:p>
    <w:p w14:paraId="1110FB55" w14:textId="77777777" w:rsidR="000860B3" w:rsidRPr="000860B3" w:rsidRDefault="000860B3">
      <w:pPr>
        <w:pStyle w:val="ListParagraph"/>
        <w:numPr>
          <w:ilvl w:val="0"/>
          <w:numId w:val="7"/>
        </w:numPr>
        <w:jc w:val="both"/>
        <w:rPr>
          <w:rFonts w:cstheme="minorHAnsi"/>
          <w:sz w:val="22"/>
          <w:szCs w:val="22"/>
          <w:lang w:val="mi-NZ"/>
        </w:rPr>
      </w:pPr>
      <w:r w:rsidRPr="000860B3">
        <w:rPr>
          <w:rFonts w:cstheme="minorHAnsi"/>
          <w:sz w:val="22"/>
          <w:szCs w:val="22"/>
          <w:lang w:val="mi-NZ"/>
        </w:rPr>
        <w:t>The tangata whenua</w:t>
      </w:r>
      <w:r w:rsidRPr="000860B3">
        <w:rPr>
          <w:rStyle w:val="FootnoteReference"/>
          <w:rFonts w:cstheme="minorHAnsi"/>
          <w:sz w:val="22"/>
          <w:szCs w:val="22"/>
          <w:lang w:val="mi-NZ"/>
        </w:rPr>
        <w:footnoteReference w:id="6"/>
      </w:r>
      <w:r w:rsidRPr="000860B3">
        <w:rPr>
          <w:rFonts w:cstheme="minorHAnsi"/>
          <w:sz w:val="22"/>
          <w:szCs w:val="22"/>
          <w:lang w:val="mi-NZ"/>
        </w:rPr>
        <w:t xml:space="preserve"> of Aotearoa in accordance with te ao Māori,</w:t>
      </w:r>
      <w:r w:rsidRPr="000860B3">
        <w:rPr>
          <w:rStyle w:val="FootnoteReference"/>
          <w:rFonts w:cstheme="minorHAnsi"/>
          <w:sz w:val="22"/>
          <w:szCs w:val="22"/>
          <w:lang w:val="mi-NZ"/>
        </w:rPr>
        <w:footnoteReference w:id="7"/>
      </w:r>
      <w:r w:rsidRPr="000860B3">
        <w:rPr>
          <w:rFonts w:cstheme="minorHAnsi"/>
          <w:sz w:val="22"/>
          <w:szCs w:val="22"/>
          <w:lang w:val="mi-NZ"/>
        </w:rPr>
        <w:t xml:space="preserve"> including, in particular, tikanga Māori.</w:t>
      </w:r>
      <w:r w:rsidRPr="000860B3">
        <w:rPr>
          <w:rStyle w:val="FootnoteReference"/>
          <w:rFonts w:cstheme="minorHAnsi"/>
          <w:sz w:val="22"/>
          <w:szCs w:val="22"/>
          <w:lang w:val="mi-NZ"/>
        </w:rPr>
        <w:footnoteReference w:id="8"/>
      </w:r>
    </w:p>
    <w:p w14:paraId="5386A0DA" w14:textId="713173E1" w:rsidR="000860B3" w:rsidRPr="000860B3" w:rsidRDefault="000860B3">
      <w:pPr>
        <w:pStyle w:val="ListParagraph"/>
        <w:numPr>
          <w:ilvl w:val="0"/>
          <w:numId w:val="7"/>
        </w:numPr>
        <w:jc w:val="both"/>
        <w:rPr>
          <w:rFonts w:cstheme="minorHAnsi"/>
          <w:sz w:val="22"/>
          <w:szCs w:val="22"/>
          <w:lang w:val="mi-NZ"/>
        </w:rPr>
      </w:pPr>
      <w:r w:rsidRPr="000860B3">
        <w:rPr>
          <w:rFonts w:cstheme="minorHAnsi"/>
          <w:sz w:val="22"/>
          <w:szCs w:val="22"/>
          <w:lang w:val="mi-NZ"/>
        </w:rPr>
        <w:t xml:space="preserve">Partners to </w:t>
      </w:r>
      <w:r w:rsidR="00E26F7F">
        <w:rPr>
          <w:rFonts w:cstheme="minorHAnsi"/>
          <w:sz w:val="22"/>
          <w:szCs w:val="22"/>
          <w:lang w:val="mi-NZ"/>
        </w:rPr>
        <w:t>T</w:t>
      </w:r>
      <w:r w:rsidRPr="000860B3">
        <w:rPr>
          <w:rFonts w:cstheme="minorHAnsi"/>
          <w:sz w:val="22"/>
          <w:szCs w:val="22"/>
          <w:lang w:val="mi-NZ"/>
        </w:rPr>
        <w:t>e Tiriti o Waitangi,</w:t>
      </w:r>
      <w:r w:rsidRPr="000860B3">
        <w:rPr>
          <w:rStyle w:val="FootnoteReference"/>
          <w:rFonts w:cstheme="minorHAnsi"/>
          <w:sz w:val="22"/>
          <w:szCs w:val="22"/>
          <w:lang w:val="mi-NZ"/>
        </w:rPr>
        <w:footnoteReference w:id="9"/>
      </w:r>
      <w:r w:rsidRPr="000860B3">
        <w:rPr>
          <w:rFonts w:cstheme="minorHAnsi"/>
          <w:sz w:val="22"/>
          <w:szCs w:val="22"/>
          <w:lang w:val="mi-NZ"/>
        </w:rPr>
        <w:t xml:space="preserve"> the Māori language version of the Treaty of Waitangi signed between representatives of Māori and the British Crown in 1840.</w:t>
      </w:r>
      <w:r w:rsidRPr="000860B3">
        <w:rPr>
          <w:rStyle w:val="FootnoteReference"/>
          <w:rFonts w:eastAsiaTheme="majorEastAsia" w:cstheme="minorHAnsi"/>
          <w:sz w:val="22"/>
          <w:szCs w:val="22"/>
          <w:lang w:val="mi-NZ"/>
        </w:rPr>
        <w:footnoteReference w:id="10"/>
      </w:r>
    </w:p>
    <w:p w14:paraId="6ED5B524" w14:textId="11B5559C" w:rsidR="000860B3" w:rsidRPr="000860B3" w:rsidRDefault="000860B3">
      <w:pPr>
        <w:pStyle w:val="ListParagraph"/>
        <w:numPr>
          <w:ilvl w:val="0"/>
          <w:numId w:val="7"/>
        </w:numPr>
        <w:jc w:val="both"/>
        <w:rPr>
          <w:rFonts w:cstheme="minorHAnsi"/>
          <w:sz w:val="22"/>
          <w:szCs w:val="22"/>
          <w:lang w:val="mi-NZ"/>
        </w:rPr>
      </w:pPr>
      <w:r w:rsidRPr="000860B3">
        <w:rPr>
          <w:rFonts w:cstheme="minorHAnsi"/>
          <w:sz w:val="22"/>
          <w:szCs w:val="22"/>
          <w:lang w:val="mi-NZ"/>
        </w:rPr>
        <w:t>Indigenous children to whom all rights as Indigenous peoples under international law, including the UN Declaration on the Rights of Indigenous Peoples (UNDRIP), attach.</w:t>
      </w:r>
    </w:p>
    <w:p w14:paraId="59C62267" w14:textId="77777777" w:rsidR="003B3567" w:rsidRDefault="003B3567" w:rsidP="003B3567">
      <w:pPr>
        <w:pStyle w:val="ListParagraph"/>
        <w:jc w:val="both"/>
        <w:rPr>
          <w:rFonts w:cstheme="minorHAnsi"/>
          <w:sz w:val="22"/>
          <w:szCs w:val="22"/>
        </w:rPr>
      </w:pPr>
    </w:p>
    <w:p w14:paraId="5E97CE5A" w14:textId="535F9991" w:rsidR="003B3567" w:rsidRDefault="000860B3">
      <w:pPr>
        <w:pStyle w:val="ListParagraph"/>
        <w:numPr>
          <w:ilvl w:val="0"/>
          <w:numId w:val="9"/>
        </w:numPr>
        <w:ind w:left="426" w:hanging="426"/>
        <w:jc w:val="both"/>
        <w:rPr>
          <w:rFonts w:cstheme="minorHAnsi"/>
          <w:sz w:val="22"/>
          <w:szCs w:val="22"/>
        </w:rPr>
      </w:pPr>
      <w:r w:rsidRPr="003B3567">
        <w:rPr>
          <w:rFonts w:cstheme="minorHAnsi"/>
          <w:color w:val="000000" w:themeColor="text1"/>
          <w:sz w:val="22"/>
          <w:szCs w:val="22"/>
        </w:rPr>
        <w:t>Go</w:t>
      </w:r>
      <w:r w:rsidRPr="002C640A">
        <w:rPr>
          <w:rFonts w:cstheme="minorHAnsi"/>
          <w:sz w:val="22"/>
          <w:szCs w:val="22"/>
        </w:rPr>
        <w:t xml:space="preserve">vernment has specific duties and obligations to </w:t>
      </w:r>
      <w:proofErr w:type="spellStart"/>
      <w:r w:rsidRPr="002C640A">
        <w:rPr>
          <w:rFonts w:cstheme="minorHAnsi"/>
          <w:sz w:val="22"/>
          <w:szCs w:val="22"/>
        </w:rPr>
        <w:t>tamariki</w:t>
      </w:r>
      <w:proofErr w:type="spellEnd"/>
      <w:r w:rsidRPr="002C640A">
        <w:rPr>
          <w:rFonts w:cstheme="minorHAnsi"/>
          <w:sz w:val="22"/>
          <w:szCs w:val="22"/>
        </w:rPr>
        <w:t xml:space="preserve"> Māori due to these unique rights and protections</w:t>
      </w:r>
      <w:r w:rsidR="00E714C0">
        <w:rPr>
          <w:rFonts w:cstheme="minorHAnsi"/>
          <w:sz w:val="22"/>
          <w:szCs w:val="22"/>
        </w:rPr>
        <w:t>,</w:t>
      </w:r>
      <w:r w:rsidRPr="002C640A">
        <w:rPr>
          <w:rFonts w:cstheme="minorHAnsi"/>
          <w:sz w:val="22"/>
          <w:szCs w:val="22"/>
        </w:rPr>
        <w:t xml:space="preserve"> that are additional to the duties and obligations it owes to all children of Aotearoa.</w:t>
      </w:r>
      <w:r w:rsidRPr="002C640A">
        <w:rPr>
          <w:rStyle w:val="FootnoteReference"/>
          <w:rFonts w:cstheme="minorHAnsi"/>
          <w:sz w:val="22"/>
          <w:szCs w:val="22"/>
          <w:lang w:val="mi-NZ"/>
        </w:rPr>
        <w:footnoteReference w:id="11"/>
      </w:r>
    </w:p>
    <w:p w14:paraId="07456F65" w14:textId="77777777" w:rsidR="00E714C0" w:rsidRDefault="00E714C0" w:rsidP="00E714C0">
      <w:pPr>
        <w:pStyle w:val="ListParagraph"/>
        <w:ind w:left="426"/>
        <w:jc w:val="both"/>
        <w:rPr>
          <w:rFonts w:cstheme="minorHAnsi"/>
          <w:sz w:val="22"/>
          <w:szCs w:val="22"/>
        </w:rPr>
      </w:pPr>
    </w:p>
    <w:p w14:paraId="6D3BD4CE" w14:textId="64B823E2" w:rsidR="003B3567" w:rsidRDefault="000860B3">
      <w:pPr>
        <w:pStyle w:val="ListParagraph"/>
        <w:numPr>
          <w:ilvl w:val="0"/>
          <w:numId w:val="9"/>
        </w:numPr>
        <w:ind w:left="426" w:hanging="426"/>
        <w:jc w:val="both"/>
        <w:rPr>
          <w:rFonts w:cstheme="minorHAnsi"/>
          <w:sz w:val="22"/>
          <w:szCs w:val="22"/>
        </w:rPr>
      </w:pPr>
      <w:r w:rsidRPr="003B3567">
        <w:rPr>
          <w:rFonts w:cstheme="minorHAnsi"/>
          <w:sz w:val="22"/>
          <w:szCs w:val="22"/>
        </w:rPr>
        <w:t xml:space="preserve">We endorse the Rights of Tamariki Māori Thematic Report and call for greater respect for the unique rights of </w:t>
      </w:r>
      <w:proofErr w:type="spellStart"/>
      <w:r w:rsidRPr="003B3567">
        <w:rPr>
          <w:rFonts w:cstheme="minorHAnsi"/>
          <w:sz w:val="22"/>
          <w:szCs w:val="22"/>
        </w:rPr>
        <w:t>tamariki</w:t>
      </w:r>
      <w:proofErr w:type="spellEnd"/>
      <w:r w:rsidRPr="003B3567">
        <w:rPr>
          <w:rFonts w:cstheme="minorHAnsi"/>
          <w:sz w:val="22"/>
          <w:szCs w:val="22"/>
        </w:rPr>
        <w:t xml:space="preserve"> Māori across all cluster headings.</w:t>
      </w:r>
      <w:r w:rsidRPr="000860B3">
        <w:rPr>
          <w:rStyle w:val="FootnoteReference"/>
          <w:rFonts w:cstheme="minorHAnsi"/>
          <w:sz w:val="22"/>
          <w:szCs w:val="22"/>
        </w:rPr>
        <w:footnoteReference w:id="12"/>
      </w:r>
      <w:r w:rsidRPr="003B3567">
        <w:rPr>
          <w:rFonts w:cstheme="minorHAnsi"/>
          <w:sz w:val="22"/>
          <w:szCs w:val="22"/>
        </w:rPr>
        <w:t xml:space="preserve"> </w:t>
      </w:r>
    </w:p>
    <w:p w14:paraId="14A7B5A6" w14:textId="77777777" w:rsidR="003B3567" w:rsidRDefault="003B3567" w:rsidP="003B3567">
      <w:pPr>
        <w:pStyle w:val="ListParagraph"/>
        <w:ind w:left="426"/>
        <w:jc w:val="both"/>
        <w:rPr>
          <w:rFonts w:cstheme="minorHAnsi"/>
          <w:sz w:val="22"/>
          <w:szCs w:val="22"/>
        </w:rPr>
      </w:pPr>
    </w:p>
    <w:p w14:paraId="0F21F447" w14:textId="2B5FC8D1" w:rsidR="000860B3" w:rsidRPr="003B3567" w:rsidRDefault="000860B3">
      <w:pPr>
        <w:pStyle w:val="ListParagraph"/>
        <w:numPr>
          <w:ilvl w:val="0"/>
          <w:numId w:val="9"/>
        </w:numPr>
        <w:ind w:left="426" w:hanging="426"/>
        <w:jc w:val="both"/>
        <w:rPr>
          <w:rFonts w:cstheme="minorHAnsi"/>
          <w:sz w:val="22"/>
          <w:szCs w:val="22"/>
        </w:rPr>
      </w:pPr>
      <w:r w:rsidRPr="003B3567">
        <w:rPr>
          <w:rFonts w:cstheme="minorHAnsi"/>
          <w:sz w:val="22"/>
          <w:szCs w:val="22"/>
        </w:rPr>
        <w:t xml:space="preserve">We have identified the following issues as </w:t>
      </w:r>
      <w:r w:rsidRPr="003B3567">
        <w:rPr>
          <w:rFonts w:cstheme="minorHAnsi"/>
          <w:b/>
          <w:bCs/>
          <w:sz w:val="22"/>
          <w:szCs w:val="22"/>
        </w:rPr>
        <w:t>priorities for CRC implementation in Aotearoa</w:t>
      </w:r>
      <w:r w:rsidRPr="003B3567">
        <w:rPr>
          <w:rFonts w:cstheme="minorHAnsi"/>
          <w:sz w:val="22"/>
          <w:szCs w:val="22"/>
        </w:rPr>
        <w:t>:</w:t>
      </w:r>
      <w:r w:rsidRPr="000860B3">
        <w:rPr>
          <w:rStyle w:val="FootnoteReference"/>
          <w:rFonts w:cstheme="minorHAnsi"/>
          <w:sz w:val="22"/>
          <w:szCs w:val="22"/>
        </w:rPr>
        <w:footnoteReference w:id="13"/>
      </w:r>
      <w:r w:rsidRPr="003B3567">
        <w:rPr>
          <w:rFonts w:cstheme="minorHAnsi"/>
          <w:sz w:val="22"/>
          <w:szCs w:val="22"/>
        </w:rPr>
        <w:t xml:space="preserve"> </w:t>
      </w:r>
    </w:p>
    <w:p w14:paraId="66F526FF" w14:textId="167E52C9" w:rsidR="000860B3" w:rsidRPr="000860B3" w:rsidRDefault="000860B3">
      <w:pPr>
        <w:numPr>
          <w:ilvl w:val="0"/>
          <w:numId w:val="3"/>
        </w:numPr>
        <w:shd w:val="clear" w:color="auto" w:fill="FFFFFF"/>
        <w:spacing w:after="0" w:line="240" w:lineRule="auto"/>
        <w:rPr>
          <w:rFonts w:cstheme="minorHAnsi"/>
          <w:sz w:val="22"/>
          <w:szCs w:val="22"/>
        </w:rPr>
      </w:pPr>
      <w:r w:rsidRPr="000860B3">
        <w:rPr>
          <w:rFonts w:cstheme="minorHAnsi"/>
          <w:color w:val="000000"/>
          <w:sz w:val="22"/>
          <w:szCs w:val="22"/>
        </w:rPr>
        <w:t>Greater efforts to respect and uphold all</w:t>
      </w:r>
      <w:r w:rsidRPr="000860B3">
        <w:rPr>
          <w:rFonts w:cstheme="minorHAnsi"/>
          <w:i/>
          <w:iCs/>
          <w:color w:val="000000"/>
          <w:sz w:val="22"/>
          <w:szCs w:val="22"/>
        </w:rPr>
        <w:t xml:space="preserve"> </w:t>
      </w:r>
      <w:r w:rsidRPr="000860B3">
        <w:rPr>
          <w:rFonts w:cstheme="minorHAnsi"/>
          <w:color w:val="000000"/>
          <w:sz w:val="22"/>
          <w:szCs w:val="22"/>
        </w:rPr>
        <w:t xml:space="preserve">rights of </w:t>
      </w:r>
      <w:proofErr w:type="spellStart"/>
      <w:r w:rsidRPr="000860B3">
        <w:rPr>
          <w:rFonts w:cstheme="minorHAnsi"/>
          <w:color w:val="000000"/>
          <w:sz w:val="22"/>
          <w:szCs w:val="22"/>
        </w:rPr>
        <w:t>tamariki</w:t>
      </w:r>
      <w:proofErr w:type="spellEnd"/>
      <w:r w:rsidRPr="000860B3">
        <w:rPr>
          <w:rFonts w:cstheme="minorHAnsi"/>
          <w:color w:val="000000"/>
          <w:sz w:val="22"/>
          <w:szCs w:val="22"/>
        </w:rPr>
        <w:t xml:space="preserve"> Māori, recognising </w:t>
      </w:r>
      <w:proofErr w:type="spellStart"/>
      <w:r w:rsidRPr="000860B3">
        <w:rPr>
          <w:rFonts w:cstheme="minorHAnsi"/>
          <w:color w:val="000000"/>
          <w:sz w:val="22"/>
          <w:szCs w:val="22"/>
        </w:rPr>
        <w:t>tamariki</w:t>
      </w:r>
      <w:proofErr w:type="spellEnd"/>
      <w:r w:rsidRPr="000860B3">
        <w:rPr>
          <w:rFonts w:cstheme="minorHAnsi"/>
          <w:color w:val="000000"/>
          <w:sz w:val="22"/>
          <w:szCs w:val="22"/>
        </w:rPr>
        <w:t xml:space="preserve"> Māori rights in </w:t>
      </w:r>
      <w:proofErr w:type="spellStart"/>
      <w:r w:rsidRPr="000860B3">
        <w:rPr>
          <w:rFonts w:cstheme="minorHAnsi"/>
          <w:color w:val="000000"/>
          <w:sz w:val="22"/>
          <w:szCs w:val="22"/>
        </w:rPr>
        <w:t>te</w:t>
      </w:r>
      <w:proofErr w:type="spellEnd"/>
      <w:r w:rsidRPr="000860B3">
        <w:rPr>
          <w:rFonts w:cstheme="minorHAnsi"/>
          <w:color w:val="000000"/>
          <w:sz w:val="22"/>
          <w:szCs w:val="22"/>
        </w:rPr>
        <w:t xml:space="preserve"> </w:t>
      </w:r>
      <w:proofErr w:type="spellStart"/>
      <w:r w:rsidRPr="000860B3">
        <w:rPr>
          <w:rFonts w:cstheme="minorHAnsi"/>
          <w:color w:val="000000"/>
          <w:sz w:val="22"/>
          <w:szCs w:val="22"/>
        </w:rPr>
        <w:t>ao</w:t>
      </w:r>
      <w:proofErr w:type="spellEnd"/>
      <w:r w:rsidRPr="000860B3">
        <w:rPr>
          <w:rFonts w:cstheme="minorHAnsi"/>
          <w:color w:val="000000"/>
          <w:sz w:val="22"/>
          <w:szCs w:val="22"/>
        </w:rPr>
        <w:t xml:space="preserve"> Māori, under </w:t>
      </w:r>
      <w:proofErr w:type="spellStart"/>
      <w:r w:rsidR="00E26F7F">
        <w:rPr>
          <w:rFonts w:cstheme="minorHAnsi"/>
          <w:color w:val="000000"/>
          <w:sz w:val="22"/>
          <w:szCs w:val="22"/>
        </w:rPr>
        <w:t>T</w:t>
      </w:r>
      <w:r w:rsidRPr="000860B3">
        <w:rPr>
          <w:rFonts w:cstheme="minorHAnsi"/>
          <w:color w:val="000000"/>
          <w:sz w:val="22"/>
          <w:szCs w:val="22"/>
        </w:rPr>
        <w:t>e</w:t>
      </w:r>
      <w:proofErr w:type="spellEnd"/>
      <w:r w:rsidRPr="000860B3">
        <w:rPr>
          <w:rFonts w:cstheme="minorHAnsi"/>
          <w:color w:val="000000"/>
          <w:sz w:val="22"/>
          <w:szCs w:val="22"/>
        </w:rPr>
        <w:t xml:space="preserve"> </w:t>
      </w:r>
      <w:proofErr w:type="spellStart"/>
      <w:r w:rsidRPr="000860B3">
        <w:rPr>
          <w:rFonts w:cstheme="minorHAnsi"/>
          <w:color w:val="000000"/>
          <w:sz w:val="22"/>
          <w:szCs w:val="22"/>
        </w:rPr>
        <w:t>Tiriti</w:t>
      </w:r>
      <w:proofErr w:type="spellEnd"/>
      <w:r w:rsidRPr="000860B3">
        <w:rPr>
          <w:rFonts w:cstheme="minorHAnsi"/>
          <w:color w:val="000000"/>
          <w:sz w:val="22"/>
          <w:szCs w:val="22"/>
        </w:rPr>
        <w:t xml:space="preserve"> o Waitangi, the </w:t>
      </w:r>
      <w:r w:rsidR="00E714C0">
        <w:rPr>
          <w:rFonts w:cstheme="minorHAnsi"/>
          <w:color w:val="000000"/>
          <w:sz w:val="22"/>
          <w:szCs w:val="22"/>
        </w:rPr>
        <w:t>UNDRIP</w:t>
      </w:r>
      <w:r w:rsidRPr="000860B3">
        <w:rPr>
          <w:rFonts w:cstheme="minorHAnsi"/>
          <w:color w:val="000000"/>
          <w:sz w:val="22"/>
          <w:szCs w:val="22"/>
        </w:rPr>
        <w:t>, and the CRC.</w:t>
      </w:r>
    </w:p>
    <w:p w14:paraId="148762AA" w14:textId="77777777" w:rsidR="000860B3" w:rsidRPr="000860B3" w:rsidRDefault="000860B3" w:rsidP="000860B3">
      <w:pPr>
        <w:shd w:val="clear" w:color="auto" w:fill="FFFFFF"/>
        <w:spacing w:after="0" w:line="240" w:lineRule="auto"/>
        <w:ind w:left="720"/>
        <w:rPr>
          <w:rFonts w:cstheme="minorHAnsi"/>
          <w:sz w:val="22"/>
          <w:szCs w:val="22"/>
        </w:rPr>
      </w:pPr>
    </w:p>
    <w:p w14:paraId="42661406" w14:textId="0C1AFE81" w:rsidR="000860B3" w:rsidRPr="000860B3" w:rsidRDefault="000860B3">
      <w:pPr>
        <w:numPr>
          <w:ilvl w:val="0"/>
          <w:numId w:val="3"/>
        </w:numPr>
        <w:shd w:val="clear" w:color="auto" w:fill="FFFFFF"/>
        <w:spacing w:after="0" w:line="240" w:lineRule="auto"/>
        <w:rPr>
          <w:rFonts w:cstheme="minorHAnsi"/>
          <w:sz w:val="22"/>
          <w:szCs w:val="22"/>
        </w:rPr>
      </w:pPr>
      <w:r w:rsidRPr="000860B3">
        <w:rPr>
          <w:rFonts w:cstheme="minorHAnsi"/>
          <w:sz w:val="22"/>
          <w:szCs w:val="22"/>
        </w:rPr>
        <w:t xml:space="preserve">Greater efforts to protect all children from violence and abuse, in all circumstances, including through initiatives to better understand, prevent and respond to violence. </w:t>
      </w:r>
    </w:p>
    <w:p w14:paraId="02A241AE" w14:textId="77777777" w:rsidR="000860B3" w:rsidRPr="000860B3" w:rsidRDefault="000860B3" w:rsidP="000860B3">
      <w:pPr>
        <w:shd w:val="clear" w:color="auto" w:fill="FFFFFF"/>
        <w:spacing w:after="0" w:line="240" w:lineRule="auto"/>
        <w:ind w:left="720"/>
        <w:rPr>
          <w:rFonts w:cstheme="minorHAnsi"/>
          <w:sz w:val="22"/>
          <w:szCs w:val="22"/>
        </w:rPr>
      </w:pPr>
    </w:p>
    <w:p w14:paraId="611AEF7D" w14:textId="77777777" w:rsidR="000860B3" w:rsidRPr="000860B3" w:rsidRDefault="000860B3">
      <w:pPr>
        <w:numPr>
          <w:ilvl w:val="0"/>
          <w:numId w:val="3"/>
        </w:numPr>
        <w:shd w:val="clear" w:color="auto" w:fill="FFFFFF"/>
        <w:spacing w:after="0" w:line="240" w:lineRule="auto"/>
        <w:rPr>
          <w:rFonts w:cstheme="minorHAnsi"/>
          <w:sz w:val="22"/>
          <w:szCs w:val="22"/>
        </w:rPr>
      </w:pPr>
      <w:r w:rsidRPr="000860B3">
        <w:rPr>
          <w:rFonts w:cstheme="minorHAnsi"/>
          <w:sz w:val="22"/>
          <w:szCs w:val="22"/>
        </w:rPr>
        <w:t xml:space="preserve">A supportive environment for families, so that all children can know and, as far as possible, be cared for by their families and </w:t>
      </w:r>
      <w:proofErr w:type="spellStart"/>
      <w:r w:rsidRPr="000860B3">
        <w:rPr>
          <w:rFonts w:cstheme="minorHAnsi"/>
          <w:sz w:val="22"/>
          <w:szCs w:val="22"/>
        </w:rPr>
        <w:t>whānau</w:t>
      </w:r>
      <w:proofErr w:type="spellEnd"/>
      <w:r w:rsidRPr="000860B3">
        <w:rPr>
          <w:rFonts w:cstheme="minorHAnsi"/>
          <w:sz w:val="22"/>
          <w:szCs w:val="22"/>
        </w:rPr>
        <w:t>. We want to see children’s rights advanced and upheld in:</w:t>
      </w:r>
    </w:p>
    <w:p w14:paraId="616268EC" w14:textId="77777777" w:rsidR="000860B3" w:rsidRPr="000860B3" w:rsidRDefault="000860B3">
      <w:pPr>
        <w:numPr>
          <w:ilvl w:val="1"/>
          <w:numId w:val="3"/>
        </w:numPr>
        <w:shd w:val="clear" w:color="auto" w:fill="FFFFFF"/>
        <w:spacing w:after="0" w:line="240" w:lineRule="auto"/>
        <w:rPr>
          <w:rFonts w:cstheme="minorHAnsi"/>
          <w:sz w:val="22"/>
          <w:szCs w:val="22"/>
        </w:rPr>
      </w:pPr>
      <w:proofErr w:type="spellStart"/>
      <w:r w:rsidRPr="000860B3">
        <w:rPr>
          <w:rFonts w:cstheme="minorHAnsi"/>
          <w:sz w:val="22"/>
          <w:szCs w:val="22"/>
        </w:rPr>
        <w:t>Oranga</w:t>
      </w:r>
      <w:proofErr w:type="spellEnd"/>
      <w:r w:rsidRPr="000860B3">
        <w:rPr>
          <w:rFonts w:cstheme="minorHAnsi"/>
          <w:sz w:val="22"/>
          <w:szCs w:val="22"/>
        </w:rPr>
        <w:t xml:space="preserve"> Tamariki changes.</w:t>
      </w:r>
    </w:p>
    <w:p w14:paraId="17600FC3" w14:textId="77777777" w:rsidR="000860B3" w:rsidRPr="000860B3" w:rsidRDefault="000860B3">
      <w:pPr>
        <w:numPr>
          <w:ilvl w:val="1"/>
          <w:numId w:val="3"/>
        </w:numPr>
        <w:shd w:val="clear" w:color="auto" w:fill="FFFFFF"/>
        <w:spacing w:after="0" w:line="240" w:lineRule="auto"/>
        <w:rPr>
          <w:rFonts w:cstheme="minorHAnsi"/>
          <w:sz w:val="22"/>
          <w:szCs w:val="22"/>
        </w:rPr>
      </w:pPr>
      <w:r w:rsidRPr="000860B3">
        <w:rPr>
          <w:rFonts w:cstheme="minorHAnsi"/>
          <w:sz w:val="22"/>
          <w:szCs w:val="22"/>
        </w:rPr>
        <w:t>Adoption and surrogacy law reform.</w:t>
      </w:r>
    </w:p>
    <w:p w14:paraId="5B496023" w14:textId="77777777" w:rsidR="000860B3" w:rsidRPr="000860B3" w:rsidRDefault="000860B3" w:rsidP="000860B3">
      <w:pPr>
        <w:shd w:val="clear" w:color="auto" w:fill="FFFFFF"/>
        <w:rPr>
          <w:rFonts w:cstheme="minorHAnsi"/>
          <w:sz w:val="22"/>
          <w:szCs w:val="22"/>
        </w:rPr>
      </w:pPr>
    </w:p>
    <w:p w14:paraId="28FA16AD" w14:textId="77777777" w:rsidR="000860B3" w:rsidRPr="000860B3" w:rsidRDefault="000860B3">
      <w:pPr>
        <w:pStyle w:val="ListParagraph"/>
        <w:numPr>
          <w:ilvl w:val="0"/>
          <w:numId w:val="3"/>
        </w:numPr>
        <w:shd w:val="clear" w:color="auto" w:fill="FFFFFF"/>
        <w:rPr>
          <w:rFonts w:cstheme="minorHAnsi"/>
          <w:sz w:val="22"/>
          <w:szCs w:val="22"/>
        </w:rPr>
      </w:pPr>
      <w:r w:rsidRPr="000860B3">
        <w:rPr>
          <w:rFonts w:cstheme="minorHAnsi"/>
          <w:sz w:val="22"/>
          <w:szCs w:val="22"/>
        </w:rPr>
        <w:t>An adequate standard of living and good health for all children, with a priority focus on:</w:t>
      </w:r>
    </w:p>
    <w:p w14:paraId="1D44BD45" w14:textId="77777777" w:rsidR="000860B3" w:rsidRPr="000860B3" w:rsidRDefault="000860B3">
      <w:pPr>
        <w:pStyle w:val="ListParagraph"/>
        <w:numPr>
          <w:ilvl w:val="1"/>
          <w:numId w:val="3"/>
        </w:numPr>
        <w:shd w:val="clear" w:color="auto" w:fill="FFFFFF"/>
        <w:rPr>
          <w:rFonts w:cstheme="minorHAnsi"/>
          <w:sz w:val="22"/>
          <w:szCs w:val="22"/>
        </w:rPr>
      </w:pPr>
      <w:r w:rsidRPr="000860B3">
        <w:rPr>
          <w:rFonts w:cstheme="minorHAnsi"/>
          <w:sz w:val="22"/>
          <w:szCs w:val="22"/>
        </w:rPr>
        <w:t>children’s mental health and wellbeing.</w:t>
      </w:r>
    </w:p>
    <w:p w14:paraId="711DD269" w14:textId="77777777" w:rsidR="000860B3" w:rsidRPr="000860B3" w:rsidRDefault="000860B3">
      <w:pPr>
        <w:pStyle w:val="ListParagraph"/>
        <w:numPr>
          <w:ilvl w:val="1"/>
          <w:numId w:val="3"/>
        </w:numPr>
        <w:shd w:val="clear" w:color="auto" w:fill="FFFFFF"/>
        <w:rPr>
          <w:rFonts w:cstheme="minorHAnsi"/>
          <w:sz w:val="22"/>
          <w:szCs w:val="22"/>
        </w:rPr>
      </w:pPr>
      <w:r w:rsidRPr="000860B3">
        <w:rPr>
          <w:rFonts w:cstheme="minorHAnsi"/>
          <w:sz w:val="22"/>
          <w:szCs w:val="22"/>
        </w:rPr>
        <w:t xml:space="preserve">timely access to quality health services for all children. </w:t>
      </w:r>
    </w:p>
    <w:p w14:paraId="201DF7E3" w14:textId="77777777" w:rsidR="000860B3" w:rsidRPr="000860B3" w:rsidRDefault="000860B3">
      <w:pPr>
        <w:pStyle w:val="ListParagraph"/>
        <w:numPr>
          <w:ilvl w:val="1"/>
          <w:numId w:val="3"/>
        </w:numPr>
        <w:shd w:val="clear" w:color="auto" w:fill="FFFFFF"/>
        <w:rPr>
          <w:rFonts w:cstheme="minorHAnsi"/>
          <w:sz w:val="22"/>
          <w:szCs w:val="22"/>
        </w:rPr>
      </w:pPr>
      <w:r w:rsidRPr="000860B3">
        <w:rPr>
          <w:rFonts w:cstheme="minorHAnsi"/>
          <w:sz w:val="22"/>
          <w:szCs w:val="22"/>
        </w:rPr>
        <w:t>warm, safe, affordable housing.</w:t>
      </w:r>
    </w:p>
    <w:p w14:paraId="38BB8F1D" w14:textId="77777777" w:rsidR="000860B3" w:rsidRPr="000860B3" w:rsidRDefault="000860B3">
      <w:pPr>
        <w:pStyle w:val="ListParagraph"/>
        <w:numPr>
          <w:ilvl w:val="1"/>
          <w:numId w:val="3"/>
        </w:numPr>
        <w:shd w:val="clear" w:color="auto" w:fill="FFFFFF"/>
        <w:rPr>
          <w:rFonts w:cstheme="minorHAnsi"/>
          <w:sz w:val="22"/>
          <w:szCs w:val="22"/>
        </w:rPr>
      </w:pPr>
      <w:r w:rsidRPr="000860B3">
        <w:rPr>
          <w:rFonts w:cstheme="minorHAnsi"/>
          <w:sz w:val="22"/>
          <w:szCs w:val="22"/>
        </w:rPr>
        <w:t>nutritious food.</w:t>
      </w:r>
    </w:p>
    <w:p w14:paraId="0E6E2899" w14:textId="77777777" w:rsidR="000860B3" w:rsidRPr="000860B3" w:rsidRDefault="000860B3" w:rsidP="000860B3">
      <w:pPr>
        <w:pStyle w:val="ListParagraph"/>
        <w:shd w:val="clear" w:color="auto" w:fill="FFFFFF"/>
        <w:ind w:left="1440"/>
        <w:rPr>
          <w:rFonts w:cstheme="minorHAnsi"/>
          <w:sz w:val="22"/>
          <w:szCs w:val="22"/>
        </w:rPr>
      </w:pPr>
    </w:p>
    <w:p w14:paraId="33183FFD" w14:textId="77777777" w:rsidR="000860B3" w:rsidRPr="000860B3" w:rsidRDefault="000860B3">
      <w:pPr>
        <w:pStyle w:val="ListParagraph"/>
        <w:numPr>
          <w:ilvl w:val="0"/>
          <w:numId w:val="3"/>
        </w:numPr>
        <w:spacing w:after="0" w:line="240" w:lineRule="auto"/>
        <w:rPr>
          <w:rFonts w:cstheme="minorHAnsi"/>
          <w:sz w:val="22"/>
          <w:szCs w:val="22"/>
          <w:lang w:val="mi-NZ"/>
        </w:rPr>
      </w:pPr>
      <w:r w:rsidRPr="000860B3">
        <w:rPr>
          <w:rFonts w:cstheme="minorHAnsi"/>
          <w:sz w:val="22"/>
          <w:szCs w:val="22"/>
          <w:lang w:val="mi-NZ"/>
        </w:rPr>
        <w:t>Mechanisms to ensure that children and their rights are central to climate change policy (mitigation and adaptation) and climate justice initiatives; and that children are listened to and respected as active change agents on climate change.</w:t>
      </w:r>
    </w:p>
    <w:p w14:paraId="445B8E8C" w14:textId="77777777" w:rsidR="000860B3" w:rsidRPr="000860B3" w:rsidRDefault="000860B3" w:rsidP="000860B3">
      <w:pPr>
        <w:pStyle w:val="ListParagraph"/>
        <w:shd w:val="clear" w:color="auto" w:fill="FFFFFF"/>
        <w:rPr>
          <w:rFonts w:cstheme="minorHAnsi"/>
          <w:sz w:val="22"/>
          <w:szCs w:val="22"/>
        </w:rPr>
      </w:pPr>
    </w:p>
    <w:p w14:paraId="07786F33" w14:textId="77777777" w:rsidR="000860B3" w:rsidRPr="000860B3" w:rsidRDefault="000860B3">
      <w:pPr>
        <w:pStyle w:val="ListParagraph"/>
        <w:numPr>
          <w:ilvl w:val="0"/>
          <w:numId w:val="3"/>
        </w:numPr>
        <w:shd w:val="clear" w:color="auto" w:fill="FFFFFF"/>
        <w:rPr>
          <w:rFonts w:cstheme="minorHAnsi"/>
          <w:sz w:val="22"/>
          <w:szCs w:val="22"/>
        </w:rPr>
      </w:pPr>
      <w:r w:rsidRPr="000860B3">
        <w:rPr>
          <w:rFonts w:cstheme="minorHAnsi"/>
          <w:sz w:val="22"/>
          <w:szCs w:val="22"/>
        </w:rPr>
        <w:t>Adequate protections for children who work and the removal of Aotearoa’s reservation to Article 32(2).</w:t>
      </w:r>
    </w:p>
    <w:p w14:paraId="324E9EF1" w14:textId="77777777" w:rsidR="000860B3" w:rsidRPr="000860B3" w:rsidRDefault="000860B3" w:rsidP="000860B3">
      <w:pPr>
        <w:pStyle w:val="ListParagraph"/>
        <w:rPr>
          <w:rFonts w:cstheme="minorHAnsi"/>
          <w:sz w:val="22"/>
          <w:szCs w:val="22"/>
        </w:rPr>
      </w:pPr>
    </w:p>
    <w:p w14:paraId="0D344BDC" w14:textId="4BC8683B" w:rsidR="000860B3" w:rsidRPr="000860B3" w:rsidRDefault="000860B3">
      <w:pPr>
        <w:pStyle w:val="ListParagraph"/>
        <w:numPr>
          <w:ilvl w:val="0"/>
          <w:numId w:val="3"/>
        </w:numPr>
        <w:shd w:val="clear" w:color="auto" w:fill="FFFFFF"/>
        <w:rPr>
          <w:rFonts w:cstheme="minorHAnsi"/>
          <w:sz w:val="22"/>
          <w:szCs w:val="22"/>
        </w:rPr>
      </w:pPr>
      <w:r w:rsidRPr="000860B3">
        <w:rPr>
          <w:rFonts w:cstheme="minorHAnsi"/>
          <w:sz w:val="22"/>
          <w:szCs w:val="22"/>
        </w:rPr>
        <w:t xml:space="preserve">An </w:t>
      </w:r>
      <w:r w:rsidR="00E714C0">
        <w:rPr>
          <w:rFonts w:cstheme="minorHAnsi"/>
          <w:sz w:val="22"/>
          <w:szCs w:val="22"/>
        </w:rPr>
        <w:t xml:space="preserve">immediate </w:t>
      </w:r>
      <w:r w:rsidRPr="000860B3">
        <w:rPr>
          <w:rFonts w:cstheme="minorHAnsi"/>
          <w:sz w:val="22"/>
          <w:szCs w:val="22"/>
        </w:rPr>
        <w:t xml:space="preserve">increase </w:t>
      </w:r>
      <w:r w:rsidR="00E714C0">
        <w:rPr>
          <w:rFonts w:cstheme="minorHAnsi"/>
          <w:sz w:val="22"/>
          <w:szCs w:val="22"/>
        </w:rPr>
        <w:t>to</w:t>
      </w:r>
      <w:r w:rsidR="00E714C0" w:rsidRPr="000860B3">
        <w:rPr>
          <w:rFonts w:cstheme="minorHAnsi"/>
          <w:sz w:val="22"/>
          <w:szCs w:val="22"/>
        </w:rPr>
        <w:t xml:space="preserve"> </w:t>
      </w:r>
      <w:r w:rsidRPr="000860B3">
        <w:rPr>
          <w:rFonts w:cstheme="minorHAnsi"/>
          <w:sz w:val="22"/>
          <w:szCs w:val="22"/>
        </w:rPr>
        <w:t>the minimum age of criminal responsibility to 14, and to 16 over time; inclusion of all 17-year-olds in the youth justice system; an end to the detention of young people in Police custody and the use of physical restraints in detention; and the removal of Aotearoa’s reservation to Article 37(c).</w:t>
      </w:r>
    </w:p>
    <w:p w14:paraId="708C202F" w14:textId="77777777" w:rsidR="003B3567" w:rsidRDefault="003B3567" w:rsidP="003B3567">
      <w:pPr>
        <w:pStyle w:val="ListParagraph"/>
        <w:rPr>
          <w:rFonts w:cstheme="minorHAnsi"/>
          <w:sz w:val="22"/>
          <w:szCs w:val="22"/>
          <w:lang w:val="mi-NZ"/>
        </w:rPr>
      </w:pPr>
    </w:p>
    <w:p w14:paraId="16D9B5ED" w14:textId="3BD048FA" w:rsidR="003B3567" w:rsidRDefault="000860B3" w:rsidP="005369FC">
      <w:pPr>
        <w:pStyle w:val="ListParagraph"/>
        <w:numPr>
          <w:ilvl w:val="0"/>
          <w:numId w:val="9"/>
        </w:numPr>
        <w:ind w:hanging="720"/>
        <w:rPr>
          <w:rFonts w:cstheme="minorHAnsi"/>
          <w:sz w:val="22"/>
          <w:szCs w:val="22"/>
          <w:lang w:val="mi-NZ"/>
        </w:rPr>
      </w:pPr>
      <w:r w:rsidRPr="0004293F">
        <w:rPr>
          <w:rFonts w:cstheme="minorHAnsi"/>
          <w:sz w:val="22"/>
          <w:szCs w:val="22"/>
          <w:lang w:val="mi-NZ"/>
        </w:rPr>
        <w:lastRenderedPageBreak/>
        <w:t>There are numerous non-government organisations (NGOs) and individuals committed to making children’s rights real in Aotearoa, many of whom contributed to this Report. See Appendix One</w:t>
      </w:r>
      <w:r w:rsidR="0004293F">
        <w:rPr>
          <w:rFonts w:cstheme="minorHAnsi"/>
          <w:sz w:val="22"/>
          <w:szCs w:val="22"/>
          <w:lang w:val="mi-NZ"/>
        </w:rPr>
        <w:t>, which sets out the process used to develop this report.</w:t>
      </w:r>
    </w:p>
    <w:p w14:paraId="778006C3" w14:textId="77777777" w:rsidR="0004293F" w:rsidRPr="0004293F" w:rsidRDefault="0004293F" w:rsidP="0004293F">
      <w:pPr>
        <w:pStyle w:val="ListParagraph"/>
        <w:rPr>
          <w:rFonts w:cstheme="minorHAnsi"/>
          <w:sz w:val="22"/>
          <w:szCs w:val="22"/>
          <w:lang w:val="mi-NZ"/>
        </w:rPr>
      </w:pPr>
    </w:p>
    <w:p w14:paraId="715FF85C" w14:textId="77777777" w:rsidR="003B3567" w:rsidRDefault="000860B3">
      <w:pPr>
        <w:pStyle w:val="ListParagraph"/>
        <w:numPr>
          <w:ilvl w:val="0"/>
          <w:numId w:val="9"/>
        </w:numPr>
        <w:ind w:hanging="720"/>
        <w:rPr>
          <w:rFonts w:cstheme="minorHAnsi"/>
          <w:sz w:val="22"/>
          <w:szCs w:val="22"/>
          <w:lang w:val="mi-NZ"/>
        </w:rPr>
      </w:pPr>
      <w:r w:rsidRPr="003B3567">
        <w:rPr>
          <w:rFonts w:cstheme="minorHAnsi"/>
          <w:sz w:val="22"/>
          <w:szCs w:val="22"/>
          <w:lang w:val="mi-NZ"/>
        </w:rPr>
        <w:t>We draw the Committee’s attention to the Thematic Reports submitted (see Table of Contents) and have cross-referenced to these in this Report where appropriate.</w:t>
      </w:r>
    </w:p>
    <w:p w14:paraId="09C7D484" w14:textId="77777777" w:rsidR="003B3567" w:rsidRPr="003B3567" w:rsidRDefault="003B3567" w:rsidP="003B3567">
      <w:pPr>
        <w:pStyle w:val="ListParagraph"/>
        <w:rPr>
          <w:rFonts w:cstheme="minorHAnsi"/>
          <w:sz w:val="22"/>
          <w:szCs w:val="22"/>
          <w:lang w:val="mi-NZ"/>
        </w:rPr>
      </w:pPr>
    </w:p>
    <w:p w14:paraId="69940F08" w14:textId="77777777" w:rsidR="003B3567" w:rsidRDefault="000860B3">
      <w:pPr>
        <w:pStyle w:val="ListParagraph"/>
        <w:numPr>
          <w:ilvl w:val="0"/>
          <w:numId w:val="9"/>
        </w:numPr>
        <w:ind w:hanging="720"/>
        <w:rPr>
          <w:rFonts w:cstheme="minorHAnsi"/>
          <w:sz w:val="22"/>
          <w:szCs w:val="22"/>
          <w:lang w:val="mi-NZ"/>
        </w:rPr>
      </w:pPr>
      <w:r w:rsidRPr="003B3567">
        <w:rPr>
          <w:rFonts w:cstheme="minorHAnsi"/>
          <w:sz w:val="22"/>
          <w:szCs w:val="22"/>
          <w:lang w:val="mi-NZ"/>
        </w:rPr>
        <w:t>Over the last 30 years, since ratification, there has been slow, piecemeal, positive change for children in Aotearoa, but a stronger focus on children’s rights is still required. We are hopeful that during the next reporting cycle we will see a more constant and concerted effort to advance and uphold all rights of all children in Aotearoa, in all circumstances.</w:t>
      </w:r>
    </w:p>
    <w:p w14:paraId="701190FA" w14:textId="5E094BED" w:rsidR="003B3567" w:rsidRDefault="003B3567" w:rsidP="003B3567">
      <w:pPr>
        <w:rPr>
          <w:rFonts w:cstheme="minorHAnsi"/>
          <w:color w:val="000000" w:themeColor="text1"/>
          <w:sz w:val="22"/>
          <w:szCs w:val="22"/>
          <w:lang w:val="en-AU"/>
        </w:rPr>
      </w:pPr>
    </w:p>
    <w:p w14:paraId="542F4756" w14:textId="77777777" w:rsidR="003B3567" w:rsidRPr="00E7687D" w:rsidRDefault="003B3567" w:rsidP="003B3567">
      <w:pPr>
        <w:pStyle w:val="Heading2"/>
      </w:pPr>
      <w:bookmarkStart w:id="6" w:name="_Toc111485434"/>
      <w:r w:rsidRPr="00E7687D">
        <w:t xml:space="preserve">The Rights of </w:t>
      </w:r>
      <w:proofErr w:type="spellStart"/>
      <w:r w:rsidRPr="00E7687D">
        <w:t>Pēpē</w:t>
      </w:r>
      <w:proofErr w:type="spellEnd"/>
      <w:r w:rsidRPr="00E7687D">
        <w:t xml:space="preserve">, Tamariki and </w:t>
      </w:r>
      <w:proofErr w:type="spellStart"/>
      <w:r w:rsidRPr="00E7687D">
        <w:t>Rangatahi</w:t>
      </w:r>
      <w:proofErr w:type="spellEnd"/>
      <w:r w:rsidRPr="00E7687D">
        <w:t xml:space="preserve"> Māori</w:t>
      </w:r>
      <w:bookmarkEnd w:id="6"/>
    </w:p>
    <w:p w14:paraId="25B2B750" w14:textId="77777777" w:rsidR="003B3567" w:rsidRPr="003B3567" w:rsidRDefault="003B3567" w:rsidP="003B3567">
      <w:pPr>
        <w:rPr>
          <w:rFonts w:cstheme="minorHAnsi"/>
          <w:color w:val="000000" w:themeColor="text1"/>
          <w:sz w:val="22"/>
          <w:szCs w:val="22"/>
          <w:lang w:val="en-AU"/>
        </w:rPr>
      </w:pPr>
    </w:p>
    <w:p w14:paraId="67DBC10A" w14:textId="7260F9F7" w:rsidR="003B3567" w:rsidRPr="003B3567" w:rsidRDefault="000860B3">
      <w:pPr>
        <w:pStyle w:val="ListParagraph"/>
        <w:numPr>
          <w:ilvl w:val="0"/>
          <w:numId w:val="9"/>
        </w:numPr>
        <w:ind w:hanging="720"/>
        <w:rPr>
          <w:rFonts w:cstheme="minorHAnsi"/>
          <w:sz w:val="22"/>
          <w:szCs w:val="22"/>
          <w:lang w:val="mi-NZ"/>
        </w:rPr>
      </w:pPr>
      <w:proofErr w:type="spellStart"/>
      <w:r w:rsidRPr="003B3567">
        <w:rPr>
          <w:rFonts w:cstheme="minorHAnsi"/>
          <w:color w:val="000000" w:themeColor="text1"/>
          <w:sz w:val="22"/>
          <w:szCs w:val="22"/>
          <w:lang w:val="en-AU"/>
        </w:rPr>
        <w:t>Pēpē</w:t>
      </w:r>
      <w:proofErr w:type="spellEnd"/>
      <w:r w:rsidRPr="003B3567">
        <w:rPr>
          <w:rFonts w:cstheme="minorHAnsi"/>
          <w:color w:val="000000" w:themeColor="text1"/>
          <w:sz w:val="22"/>
          <w:szCs w:val="22"/>
          <w:lang w:val="en-AU"/>
        </w:rPr>
        <w:t xml:space="preserve">, </w:t>
      </w:r>
      <w:proofErr w:type="spellStart"/>
      <w:r w:rsidRPr="003B3567">
        <w:rPr>
          <w:rFonts w:cstheme="minorHAnsi"/>
          <w:color w:val="000000" w:themeColor="text1"/>
          <w:sz w:val="22"/>
          <w:szCs w:val="22"/>
          <w:lang w:val="en-AU"/>
        </w:rPr>
        <w:t>tamariki</w:t>
      </w:r>
      <w:proofErr w:type="spellEnd"/>
      <w:r w:rsidRPr="003B3567">
        <w:rPr>
          <w:rFonts w:cstheme="minorHAnsi"/>
          <w:color w:val="000000" w:themeColor="text1"/>
          <w:sz w:val="22"/>
          <w:szCs w:val="22"/>
          <w:lang w:val="en-AU"/>
        </w:rPr>
        <w:t xml:space="preserve"> and </w:t>
      </w:r>
      <w:proofErr w:type="spellStart"/>
      <w:r w:rsidRPr="003B3567">
        <w:rPr>
          <w:rFonts w:cstheme="minorHAnsi"/>
          <w:color w:val="000000" w:themeColor="text1"/>
          <w:sz w:val="22"/>
          <w:szCs w:val="22"/>
          <w:lang w:val="en-AU"/>
        </w:rPr>
        <w:t>rangatahi</w:t>
      </w:r>
      <w:proofErr w:type="spellEnd"/>
      <w:r w:rsidRPr="003B3567">
        <w:rPr>
          <w:rFonts w:cstheme="minorHAnsi"/>
          <w:color w:val="000000" w:themeColor="text1"/>
          <w:sz w:val="22"/>
          <w:szCs w:val="22"/>
          <w:lang w:val="en-AU"/>
        </w:rPr>
        <w:t xml:space="preserve"> Māori are the aspirations and dreams of their </w:t>
      </w:r>
      <w:proofErr w:type="spellStart"/>
      <w:r w:rsidRPr="003B3567">
        <w:rPr>
          <w:rFonts w:cstheme="minorHAnsi"/>
          <w:color w:val="000000" w:themeColor="text1"/>
          <w:sz w:val="22"/>
          <w:szCs w:val="22"/>
          <w:lang w:val="en-AU"/>
        </w:rPr>
        <w:t>tīpuna</w:t>
      </w:r>
      <w:proofErr w:type="spellEnd"/>
      <w:r w:rsidRPr="003B3567">
        <w:rPr>
          <w:rFonts w:cstheme="minorHAnsi"/>
          <w:color w:val="000000" w:themeColor="text1"/>
          <w:sz w:val="22"/>
          <w:szCs w:val="22"/>
          <w:lang w:val="en-AU"/>
        </w:rPr>
        <w:t>,</w:t>
      </w:r>
      <w:r w:rsidRPr="003B3567">
        <w:rPr>
          <w:rFonts w:cstheme="minorHAnsi"/>
          <w:color w:val="000000"/>
          <w:sz w:val="22"/>
          <w:szCs w:val="22"/>
        </w:rPr>
        <w:t xml:space="preserve"> and hold a wide range of rights and protections afforded to them in </w:t>
      </w:r>
      <w:proofErr w:type="spellStart"/>
      <w:r w:rsidRPr="003B3567">
        <w:rPr>
          <w:rFonts w:cstheme="minorHAnsi"/>
          <w:color w:val="000000"/>
          <w:sz w:val="22"/>
          <w:szCs w:val="22"/>
        </w:rPr>
        <w:t>te</w:t>
      </w:r>
      <w:proofErr w:type="spellEnd"/>
      <w:r w:rsidRPr="003B3567">
        <w:rPr>
          <w:rFonts w:cstheme="minorHAnsi"/>
          <w:color w:val="000000"/>
          <w:sz w:val="22"/>
          <w:szCs w:val="22"/>
        </w:rPr>
        <w:t xml:space="preserve"> </w:t>
      </w:r>
      <w:proofErr w:type="spellStart"/>
      <w:r w:rsidRPr="003B3567">
        <w:rPr>
          <w:rFonts w:cstheme="minorHAnsi"/>
          <w:color w:val="000000"/>
          <w:sz w:val="22"/>
          <w:szCs w:val="22"/>
        </w:rPr>
        <w:t>Ao</w:t>
      </w:r>
      <w:proofErr w:type="spellEnd"/>
      <w:r w:rsidRPr="003B3567">
        <w:rPr>
          <w:rFonts w:cstheme="minorHAnsi"/>
          <w:color w:val="000000"/>
          <w:sz w:val="22"/>
          <w:szCs w:val="22"/>
        </w:rPr>
        <w:t xml:space="preserve"> Māori, under </w:t>
      </w:r>
      <w:proofErr w:type="spellStart"/>
      <w:r w:rsidR="00E26F7F">
        <w:rPr>
          <w:rFonts w:cstheme="minorHAnsi"/>
          <w:color w:val="000000"/>
          <w:sz w:val="22"/>
          <w:szCs w:val="22"/>
        </w:rPr>
        <w:t>T</w:t>
      </w:r>
      <w:r w:rsidRPr="003B3567">
        <w:rPr>
          <w:rFonts w:cstheme="minorHAnsi"/>
          <w:color w:val="000000"/>
          <w:sz w:val="22"/>
          <w:szCs w:val="22"/>
        </w:rPr>
        <w:t>e</w:t>
      </w:r>
      <w:proofErr w:type="spellEnd"/>
      <w:r w:rsidRPr="003B3567">
        <w:rPr>
          <w:rFonts w:cstheme="minorHAnsi"/>
          <w:color w:val="000000"/>
          <w:sz w:val="22"/>
          <w:szCs w:val="22"/>
        </w:rPr>
        <w:t xml:space="preserve"> </w:t>
      </w:r>
      <w:proofErr w:type="spellStart"/>
      <w:r w:rsidRPr="003B3567">
        <w:rPr>
          <w:rFonts w:cstheme="minorHAnsi"/>
          <w:color w:val="000000"/>
          <w:sz w:val="22"/>
          <w:szCs w:val="22"/>
        </w:rPr>
        <w:t>Tiriti</w:t>
      </w:r>
      <w:proofErr w:type="spellEnd"/>
      <w:r w:rsidRPr="003B3567">
        <w:rPr>
          <w:rFonts w:cstheme="minorHAnsi"/>
          <w:color w:val="000000"/>
          <w:sz w:val="22"/>
          <w:szCs w:val="22"/>
        </w:rPr>
        <w:t xml:space="preserve"> and as children and indigenous peoples under international law.</w:t>
      </w:r>
      <w:r w:rsidRPr="000860B3">
        <w:rPr>
          <w:rStyle w:val="FootnoteReference"/>
          <w:rFonts w:cstheme="minorHAnsi"/>
          <w:color w:val="000000"/>
          <w:sz w:val="22"/>
          <w:szCs w:val="22"/>
        </w:rPr>
        <w:footnoteReference w:id="14"/>
      </w:r>
      <w:r w:rsidRPr="003B3567">
        <w:rPr>
          <w:rFonts w:cstheme="minorHAnsi"/>
          <w:color w:val="000000"/>
          <w:sz w:val="22"/>
          <w:szCs w:val="22"/>
        </w:rPr>
        <w:t xml:space="preserve"> </w:t>
      </w:r>
      <w:r w:rsidRPr="000860B3">
        <w:rPr>
          <w:rStyle w:val="FootnoteReference"/>
          <w:rFonts w:cstheme="minorHAnsi"/>
          <w:color w:val="000000" w:themeColor="text1"/>
          <w:sz w:val="22"/>
          <w:szCs w:val="22"/>
          <w:lang w:val="en-AU"/>
        </w:rPr>
        <w:footnoteReference w:id="15"/>
      </w:r>
      <w:r w:rsidRPr="003B3567">
        <w:rPr>
          <w:rFonts w:cstheme="minorHAnsi"/>
          <w:color w:val="000000" w:themeColor="text1"/>
          <w:sz w:val="22"/>
          <w:szCs w:val="22"/>
          <w:lang w:val="en-AU"/>
        </w:rPr>
        <w:t xml:space="preserve"> Yet, due to the ongoing impacts of colonisation and systemic discrimination and racism, many experience significant and pervasive inequities.</w:t>
      </w:r>
      <w:r w:rsidRPr="000860B3">
        <w:rPr>
          <w:rStyle w:val="FootnoteReference"/>
          <w:rFonts w:eastAsiaTheme="majorEastAsia" w:cstheme="minorHAnsi"/>
          <w:color w:val="000000" w:themeColor="text1"/>
          <w:sz w:val="22"/>
          <w:szCs w:val="22"/>
          <w:lang w:val="en-AU"/>
        </w:rPr>
        <w:footnoteReference w:id="16"/>
      </w:r>
      <w:r w:rsidRPr="003B3567">
        <w:rPr>
          <w:rFonts w:cstheme="minorHAnsi"/>
          <w:color w:val="000000" w:themeColor="text1"/>
          <w:sz w:val="22"/>
          <w:szCs w:val="22"/>
          <w:lang w:val="en-AU"/>
        </w:rPr>
        <w:t xml:space="preserve"> These </w:t>
      </w:r>
      <w:r w:rsidRPr="003B3567">
        <w:rPr>
          <w:rFonts w:cstheme="minorHAnsi"/>
          <w:sz w:val="22"/>
          <w:szCs w:val="22"/>
        </w:rPr>
        <w:t>arise from inequitable access to the determinants of wellbeing, and to services and care, as well as the differential quality of services and care received.</w:t>
      </w:r>
      <w:r w:rsidRPr="000860B3">
        <w:rPr>
          <w:rStyle w:val="FootnoteReference"/>
          <w:rFonts w:eastAsiaTheme="majorEastAsia" w:cstheme="minorHAnsi"/>
          <w:sz w:val="22"/>
          <w:szCs w:val="22"/>
        </w:rPr>
        <w:footnoteReference w:id="17"/>
      </w:r>
      <w:r w:rsidRPr="003B3567">
        <w:rPr>
          <w:rFonts w:cstheme="minorHAnsi"/>
          <w:sz w:val="22"/>
          <w:szCs w:val="22"/>
        </w:rPr>
        <w:t xml:space="preserve"> This maldistribution is the expression</w:t>
      </w:r>
      <w:r w:rsidR="003B3567">
        <w:rPr>
          <w:rFonts w:cstheme="minorHAnsi"/>
          <w:sz w:val="22"/>
          <w:szCs w:val="22"/>
        </w:rPr>
        <w:t xml:space="preserve"> </w:t>
      </w:r>
      <w:r w:rsidRPr="003B3567">
        <w:rPr>
          <w:rFonts w:cstheme="minorHAnsi"/>
          <w:sz w:val="22"/>
          <w:szCs w:val="22"/>
        </w:rPr>
        <w:lastRenderedPageBreak/>
        <w:t xml:space="preserve">of </w:t>
      </w:r>
      <w:r w:rsidRPr="003B3567">
        <w:rPr>
          <w:rFonts w:cstheme="minorHAnsi"/>
          <w:color w:val="000000" w:themeColor="text1"/>
          <w:sz w:val="22"/>
          <w:szCs w:val="22"/>
          <w:lang w:val="en-AU"/>
        </w:rPr>
        <w:t>colonisation,</w:t>
      </w:r>
      <w:r w:rsidRPr="000860B3">
        <w:rPr>
          <w:rStyle w:val="FootnoteReference"/>
          <w:rFonts w:eastAsiaTheme="majorEastAsia" w:cstheme="minorHAnsi"/>
          <w:color w:val="000000" w:themeColor="text1"/>
          <w:sz w:val="22"/>
          <w:szCs w:val="22"/>
          <w:lang w:val="en-AU"/>
        </w:rPr>
        <w:footnoteReference w:id="18"/>
      </w:r>
      <w:r w:rsidRPr="003B3567">
        <w:rPr>
          <w:rFonts w:cstheme="minorHAnsi"/>
          <w:color w:val="000000" w:themeColor="text1"/>
          <w:sz w:val="22"/>
          <w:szCs w:val="22"/>
          <w:lang w:val="en-AU"/>
        </w:rPr>
        <w:t xml:space="preserve"> coloniality</w:t>
      </w:r>
      <w:r w:rsidRPr="000860B3">
        <w:rPr>
          <w:rStyle w:val="FootnoteReference"/>
          <w:rFonts w:eastAsiaTheme="majorEastAsia" w:cstheme="minorHAnsi"/>
          <w:color w:val="000000" w:themeColor="text1"/>
          <w:sz w:val="22"/>
          <w:szCs w:val="22"/>
          <w:lang w:val="en-AU"/>
        </w:rPr>
        <w:footnoteReference w:id="19"/>
      </w:r>
      <w:r w:rsidRPr="003B3567">
        <w:rPr>
          <w:rFonts w:cstheme="minorHAnsi"/>
          <w:color w:val="000000" w:themeColor="text1"/>
          <w:sz w:val="22"/>
          <w:szCs w:val="22"/>
          <w:lang w:val="en-AU"/>
        </w:rPr>
        <w:t xml:space="preserve"> and racism</w:t>
      </w:r>
      <w:r w:rsidRPr="000860B3">
        <w:rPr>
          <w:rStyle w:val="FootnoteReference"/>
          <w:rFonts w:eastAsiaTheme="majorEastAsia" w:cstheme="minorHAnsi"/>
          <w:sz w:val="22"/>
          <w:szCs w:val="22"/>
          <w:lang w:val="en-AU"/>
        </w:rPr>
        <w:footnoteReference w:id="20"/>
      </w:r>
      <w:r w:rsidRPr="003B3567">
        <w:rPr>
          <w:rFonts w:cstheme="minorHAnsi"/>
          <w:sz w:val="22"/>
          <w:szCs w:val="22"/>
          <w:lang w:val="en-AU"/>
        </w:rPr>
        <w:t xml:space="preserve"> </w:t>
      </w:r>
      <w:r w:rsidRPr="003B3567">
        <w:rPr>
          <w:rFonts w:cstheme="minorHAnsi"/>
          <w:sz w:val="22"/>
          <w:szCs w:val="22"/>
        </w:rPr>
        <w:t>whereby the determinants of health and wellbeing continue to be differentially distributed in Aotearoa by ethnicity and, specifically, by indigeneity.</w:t>
      </w:r>
      <w:r w:rsidRPr="000860B3">
        <w:rPr>
          <w:rStyle w:val="FootnoteReference"/>
          <w:rFonts w:eastAsiaTheme="majorEastAsia" w:cstheme="minorHAnsi"/>
          <w:sz w:val="22"/>
          <w:szCs w:val="22"/>
        </w:rPr>
        <w:footnoteReference w:id="21"/>
      </w:r>
      <w:r w:rsidRPr="003B3567">
        <w:rPr>
          <w:rFonts w:cstheme="minorHAnsi"/>
          <w:color w:val="000000" w:themeColor="text1"/>
          <w:sz w:val="22"/>
          <w:szCs w:val="22"/>
          <w:lang w:val="en-AU"/>
        </w:rPr>
        <w:t xml:space="preserve"> </w:t>
      </w:r>
    </w:p>
    <w:p w14:paraId="5D8398B9" w14:textId="77777777" w:rsidR="003B3567" w:rsidRPr="003B3567" w:rsidRDefault="003B3567" w:rsidP="003B3567">
      <w:pPr>
        <w:pStyle w:val="ListParagraph"/>
        <w:rPr>
          <w:rFonts w:cstheme="minorHAnsi"/>
          <w:sz w:val="22"/>
          <w:szCs w:val="22"/>
          <w:lang w:val="mi-NZ"/>
        </w:rPr>
      </w:pPr>
    </w:p>
    <w:p w14:paraId="258D664E" w14:textId="1350B6D2" w:rsidR="003B3567" w:rsidRPr="003B3567" w:rsidRDefault="000860B3">
      <w:pPr>
        <w:pStyle w:val="ListParagraph"/>
        <w:numPr>
          <w:ilvl w:val="0"/>
          <w:numId w:val="9"/>
        </w:numPr>
        <w:ind w:hanging="720"/>
        <w:rPr>
          <w:rFonts w:cstheme="minorHAnsi"/>
          <w:sz w:val="22"/>
          <w:szCs w:val="22"/>
          <w:lang w:val="mi-NZ"/>
        </w:rPr>
      </w:pPr>
      <w:r w:rsidRPr="003B3567">
        <w:rPr>
          <w:rFonts w:cstheme="minorHAnsi"/>
          <w:sz w:val="22"/>
          <w:szCs w:val="22"/>
          <w:lang w:val="en-AU"/>
        </w:rPr>
        <w:t xml:space="preserve">The inequities that occur for </w:t>
      </w:r>
      <w:proofErr w:type="spellStart"/>
      <w:r w:rsidRPr="003B3567">
        <w:rPr>
          <w:rFonts w:cstheme="minorHAnsi"/>
          <w:sz w:val="22"/>
          <w:szCs w:val="22"/>
          <w:lang w:val="en-AU"/>
        </w:rPr>
        <w:t>p</w:t>
      </w:r>
      <w:r w:rsidRPr="003B3567">
        <w:rPr>
          <w:rFonts w:cstheme="minorHAnsi"/>
          <w:color w:val="000000" w:themeColor="text1"/>
          <w:sz w:val="22"/>
          <w:szCs w:val="22"/>
          <w:lang w:val="en-AU"/>
        </w:rPr>
        <w:t>ēpē</w:t>
      </w:r>
      <w:proofErr w:type="spellEnd"/>
      <w:r w:rsidRPr="003B3567">
        <w:rPr>
          <w:rFonts w:cstheme="minorHAnsi"/>
          <w:color w:val="000000" w:themeColor="text1"/>
          <w:sz w:val="22"/>
          <w:szCs w:val="22"/>
          <w:lang w:val="en-AU"/>
        </w:rPr>
        <w:t xml:space="preserve">, </w:t>
      </w:r>
      <w:proofErr w:type="spellStart"/>
      <w:r w:rsidRPr="003B3567">
        <w:rPr>
          <w:rFonts w:cstheme="minorHAnsi"/>
          <w:color w:val="000000" w:themeColor="text1"/>
          <w:sz w:val="22"/>
          <w:szCs w:val="22"/>
          <w:lang w:val="en-AU"/>
        </w:rPr>
        <w:t>tamariki</w:t>
      </w:r>
      <w:proofErr w:type="spellEnd"/>
      <w:r w:rsidRPr="003B3567">
        <w:rPr>
          <w:rFonts w:cstheme="minorHAnsi"/>
          <w:color w:val="000000" w:themeColor="text1"/>
          <w:sz w:val="22"/>
          <w:szCs w:val="22"/>
          <w:lang w:val="en-AU"/>
        </w:rPr>
        <w:t xml:space="preserve"> and </w:t>
      </w:r>
      <w:proofErr w:type="spellStart"/>
      <w:r w:rsidRPr="003B3567">
        <w:rPr>
          <w:rFonts w:cstheme="minorHAnsi"/>
          <w:color w:val="000000" w:themeColor="text1"/>
          <w:sz w:val="22"/>
          <w:szCs w:val="22"/>
          <w:lang w:val="en-AU"/>
        </w:rPr>
        <w:t>rangatahi</w:t>
      </w:r>
      <w:proofErr w:type="spellEnd"/>
      <w:r w:rsidRPr="003B3567">
        <w:rPr>
          <w:rFonts w:cstheme="minorHAnsi"/>
          <w:color w:val="000000" w:themeColor="text1"/>
          <w:sz w:val="22"/>
          <w:szCs w:val="22"/>
          <w:lang w:val="en-AU"/>
        </w:rPr>
        <w:t xml:space="preserve"> Māori compared with </w:t>
      </w:r>
      <w:proofErr w:type="spellStart"/>
      <w:r w:rsidRPr="003B3567">
        <w:rPr>
          <w:rFonts w:cstheme="minorHAnsi"/>
          <w:color w:val="000000" w:themeColor="text1"/>
          <w:sz w:val="22"/>
          <w:szCs w:val="22"/>
          <w:lang w:val="en-AU"/>
        </w:rPr>
        <w:t>Pākehā</w:t>
      </w:r>
      <w:proofErr w:type="spellEnd"/>
      <w:r w:rsidRPr="000860B3">
        <w:rPr>
          <w:rStyle w:val="FootnoteReference"/>
          <w:rFonts w:eastAsiaTheme="majorEastAsia" w:cstheme="minorHAnsi"/>
          <w:color w:val="000000" w:themeColor="text1"/>
          <w:sz w:val="22"/>
          <w:szCs w:val="22"/>
          <w:lang w:val="en-AU"/>
        </w:rPr>
        <w:footnoteReference w:id="22"/>
      </w:r>
      <w:r w:rsidRPr="003B3567">
        <w:rPr>
          <w:rFonts w:cstheme="minorHAnsi"/>
          <w:color w:val="000000" w:themeColor="text1"/>
          <w:sz w:val="22"/>
          <w:szCs w:val="22"/>
          <w:lang w:val="en-AU"/>
        </w:rPr>
        <w:t xml:space="preserve"> in experiencing their basic human rights are an end-result of the failure to honour the guarantees made to Māori under </w:t>
      </w:r>
      <w:proofErr w:type="spellStart"/>
      <w:r w:rsidR="00E26F7F">
        <w:rPr>
          <w:rFonts w:cstheme="minorHAnsi"/>
          <w:color w:val="000000" w:themeColor="text1"/>
          <w:sz w:val="22"/>
          <w:szCs w:val="22"/>
          <w:lang w:val="en-AU"/>
        </w:rPr>
        <w:t>T</w:t>
      </w:r>
      <w:r w:rsidRPr="003B3567">
        <w:rPr>
          <w:rFonts w:cstheme="minorHAnsi"/>
          <w:color w:val="000000" w:themeColor="text1"/>
          <w:sz w:val="22"/>
          <w:szCs w:val="22"/>
          <w:lang w:val="en-AU"/>
        </w:rPr>
        <w:t>e</w:t>
      </w:r>
      <w:proofErr w:type="spellEnd"/>
      <w:r w:rsidRPr="003B3567">
        <w:rPr>
          <w:rFonts w:cstheme="minorHAnsi"/>
          <w:color w:val="000000" w:themeColor="text1"/>
          <w:sz w:val="22"/>
          <w:szCs w:val="22"/>
          <w:lang w:val="en-AU"/>
        </w:rPr>
        <w:t xml:space="preserve"> </w:t>
      </w:r>
      <w:proofErr w:type="spellStart"/>
      <w:r w:rsidRPr="003B3567">
        <w:rPr>
          <w:rFonts w:cstheme="minorHAnsi"/>
          <w:color w:val="000000" w:themeColor="text1"/>
          <w:sz w:val="22"/>
          <w:szCs w:val="22"/>
          <w:lang w:val="en-AU"/>
        </w:rPr>
        <w:t>Tiriti</w:t>
      </w:r>
      <w:proofErr w:type="spellEnd"/>
      <w:r w:rsidR="00E714C0">
        <w:rPr>
          <w:rFonts w:cstheme="minorHAnsi"/>
          <w:color w:val="000000" w:themeColor="text1"/>
          <w:sz w:val="22"/>
          <w:szCs w:val="22"/>
          <w:lang w:val="en-AU"/>
        </w:rPr>
        <w:t>,</w:t>
      </w:r>
      <w:r w:rsidRPr="003B3567">
        <w:rPr>
          <w:rFonts w:cstheme="minorHAnsi"/>
          <w:color w:val="000000" w:themeColor="text1"/>
          <w:sz w:val="22"/>
          <w:szCs w:val="22"/>
          <w:lang w:val="en-AU"/>
        </w:rPr>
        <w:t xml:space="preserve"> and the disproportionate impacts of the socio-political and economic environments that drive poor health and wellbeing outcomes in Aotearoa.</w:t>
      </w:r>
      <w:r w:rsidRPr="000860B3">
        <w:rPr>
          <w:rStyle w:val="FootnoteReference"/>
          <w:rFonts w:eastAsiaTheme="majorEastAsia" w:cstheme="minorHAnsi"/>
          <w:color w:val="000000" w:themeColor="text1"/>
          <w:sz w:val="22"/>
          <w:szCs w:val="22"/>
          <w:lang w:val="en-AU"/>
        </w:rPr>
        <w:footnoteReference w:id="23"/>
      </w:r>
      <w:r w:rsidRPr="003B3567">
        <w:rPr>
          <w:rFonts w:cstheme="minorHAnsi"/>
          <w:color w:val="000000" w:themeColor="text1"/>
          <w:sz w:val="22"/>
          <w:szCs w:val="22"/>
          <w:lang w:val="en-AU"/>
        </w:rPr>
        <w:t xml:space="preserve"> </w:t>
      </w:r>
      <w:r w:rsidRPr="003B3567">
        <w:rPr>
          <w:rFonts w:cstheme="minorHAnsi"/>
          <w:color w:val="000000"/>
          <w:sz w:val="22"/>
          <w:szCs w:val="22"/>
        </w:rPr>
        <w:t>The policies which result in these inequities are not just historical. The impacts of colonisation continue to be experienced by Māori through ongoing discriminatory government actions.</w:t>
      </w:r>
      <w:r w:rsidRPr="000860B3">
        <w:rPr>
          <w:rStyle w:val="FootnoteReference"/>
          <w:rFonts w:cstheme="minorHAnsi"/>
          <w:color w:val="000000"/>
          <w:sz w:val="22"/>
          <w:szCs w:val="22"/>
        </w:rPr>
        <w:footnoteReference w:id="24"/>
      </w:r>
      <w:r w:rsidRPr="003B3567">
        <w:rPr>
          <w:rFonts w:cstheme="minorHAnsi"/>
          <w:color w:val="000000"/>
          <w:sz w:val="22"/>
          <w:szCs w:val="22"/>
        </w:rPr>
        <w:t xml:space="preserve"> Experiences of racism and discrimination at all levels is widespread, acted out through explicit and implicit bias.</w:t>
      </w:r>
      <w:r w:rsidRPr="000860B3">
        <w:rPr>
          <w:rStyle w:val="FootnoteReference"/>
          <w:rFonts w:cstheme="minorHAnsi"/>
          <w:color w:val="000000"/>
          <w:sz w:val="22"/>
          <w:szCs w:val="22"/>
        </w:rPr>
        <w:footnoteReference w:id="25"/>
      </w:r>
    </w:p>
    <w:p w14:paraId="3C9A9688" w14:textId="77777777" w:rsidR="003B3567" w:rsidRPr="003B3567" w:rsidRDefault="003B3567" w:rsidP="003B3567">
      <w:pPr>
        <w:pStyle w:val="ListParagraph"/>
        <w:rPr>
          <w:rFonts w:cstheme="minorHAnsi"/>
          <w:sz w:val="22"/>
          <w:szCs w:val="22"/>
        </w:rPr>
      </w:pPr>
    </w:p>
    <w:p w14:paraId="1C2E7ACD" w14:textId="1648B3DD" w:rsidR="003B3567" w:rsidRPr="003B3567" w:rsidRDefault="000860B3">
      <w:pPr>
        <w:pStyle w:val="ListParagraph"/>
        <w:numPr>
          <w:ilvl w:val="0"/>
          <w:numId w:val="9"/>
        </w:numPr>
        <w:ind w:hanging="720"/>
        <w:rPr>
          <w:rFonts w:cstheme="minorHAnsi"/>
          <w:sz w:val="22"/>
          <w:szCs w:val="22"/>
          <w:lang w:val="mi-NZ"/>
        </w:rPr>
      </w:pPr>
      <w:r w:rsidRPr="003B3567">
        <w:rPr>
          <w:rFonts w:cstheme="minorHAnsi"/>
          <w:sz w:val="22"/>
          <w:szCs w:val="22"/>
        </w:rPr>
        <w:t xml:space="preserve">When the CRC, </w:t>
      </w:r>
      <w:proofErr w:type="spellStart"/>
      <w:r w:rsidR="00E26F7F">
        <w:rPr>
          <w:rFonts w:cstheme="minorHAnsi"/>
          <w:sz w:val="22"/>
          <w:szCs w:val="22"/>
        </w:rPr>
        <w:t>T</w:t>
      </w:r>
      <w:r w:rsidRPr="003B3567">
        <w:rPr>
          <w:rFonts w:cstheme="minorHAnsi"/>
          <w:sz w:val="22"/>
          <w:szCs w:val="22"/>
        </w:rPr>
        <w:t>e</w:t>
      </w:r>
      <w:proofErr w:type="spellEnd"/>
      <w:r w:rsidRPr="003B3567">
        <w:rPr>
          <w:rFonts w:cstheme="minorHAnsi"/>
          <w:sz w:val="22"/>
          <w:szCs w:val="22"/>
        </w:rPr>
        <w:t xml:space="preserve"> </w:t>
      </w:r>
      <w:proofErr w:type="spellStart"/>
      <w:r w:rsidRPr="003B3567">
        <w:rPr>
          <w:rFonts w:cstheme="minorHAnsi"/>
          <w:sz w:val="22"/>
          <w:szCs w:val="22"/>
        </w:rPr>
        <w:t>Tiriti</w:t>
      </w:r>
      <w:proofErr w:type="spellEnd"/>
      <w:r w:rsidRPr="003B3567">
        <w:rPr>
          <w:rFonts w:cstheme="minorHAnsi"/>
          <w:sz w:val="22"/>
          <w:szCs w:val="22"/>
        </w:rPr>
        <w:t xml:space="preserve"> and UNDRIP are considered together, it is clear Government holds multiple duty-bearer obligations towards </w:t>
      </w:r>
      <w:proofErr w:type="spellStart"/>
      <w:r w:rsidRPr="003B3567">
        <w:rPr>
          <w:rFonts w:cstheme="minorHAnsi"/>
          <w:sz w:val="22"/>
          <w:szCs w:val="22"/>
        </w:rPr>
        <w:t>tamariki</w:t>
      </w:r>
      <w:proofErr w:type="spellEnd"/>
      <w:r w:rsidRPr="003B3567">
        <w:rPr>
          <w:rFonts w:cstheme="minorHAnsi"/>
          <w:sz w:val="22"/>
          <w:szCs w:val="22"/>
        </w:rPr>
        <w:t xml:space="preserve"> Māori, including taking specific and wide-ranging measures to address system-wide discrimination and inequities impacting them, always ensuring they can maintain strong links with their </w:t>
      </w:r>
      <w:proofErr w:type="spellStart"/>
      <w:r w:rsidRPr="003B3567">
        <w:rPr>
          <w:rFonts w:cstheme="minorHAnsi"/>
          <w:sz w:val="22"/>
          <w:szCs w:val="22"/>
        </w:rPr>
        <w:t>whānau</w:t>
      </w:r>
      <w:proofErr w:type="spellEnd"/>
      <w:r w:rsidRPr="003B3567">
        <w:rPr>
          <w:rFonts w:cstheme="minorHAnsi"/>
          <w:sz w:val="22"/>
          <w:szCs w:val="22"/>
        </w:rPr>
        <w:t xml:space="preserve"> and culture.</w:t>
      </w:r>
      <w:r w:rsidRPr="000860B3">
        <w:rPr>
          <w:vertAlign w:val="superscript"/>
        </w:rPr>
        <w:footnoteReference w:id="26"/>
      </w:r>
      <w:r w:rsidRPr="003B3567">
        <w:rPr>
          <w:rFonts w:cstheme="minorHAnsi"/>
          <w:sz w:val="22"/>
          <w:szCs w:val="22"/>
        </w:rPr>
        <w:t xml:space="preserve"> </w:t>
      </w:r>
    </w:p>
    <w:p w14:paraId="3E29BCE6" w14:textId="77777777" w:rsidR="003B3567" w:rsidRPr="003B3567" w:rsidRDefault="003B3567" w:rsidP="003B3567">
      <w:pPr>
        <w:pStyle w:val="ListParagraph"/>
        <w:rPr>
          <w:sz w:val="22"/>
          <w:szCs w:val="22"/>
          <w:lang w:val="en-NZ"/>
        </w:rPr>
      </w:pPr>
    </w:p>
    <w:p w14:paraId="0BD1BEE1" w14:textId="044C31C3" w:rsidR="003B3567" w:rsidRPr="003B3567" w:rsidRDefault="000860B3">
      <w:pPr>
        <w:pStyle w:val="ListParagraph"/>
        <w:numPr>
          <w:ilvl w:val="0"/>
          <w:numId w:val="9"/>
        </w:numPr>
        <w:ind w:hanging="720"/>
        <w:rPr>
          <w:rFonts w:cstheme="minorHAnsi"/>
          <w:sz w:val="22"/>
          <w:szCs w:val="22"/>
          <w:lang w:val="mi-NZ"/>
        </w:rPr>
      </w:pPr>
      <w:r w:rsidRPr="003B3567">
        <w:rPr>
          <w:sz w:val="22"/>
          <w:szCs w:val="22"/>
          <w:lang w:val="en-NZ"/>
        </w:rPr>
        <w:lastRenderedPageBreak/>
        <w:t xml:space="preserve">The rights of Māori to decide what is best for Māori, including </w:t>
      </w:r>
      <w:proofErr w:type="spellStart"/>
      <w:r w:rsidRPr="003B3567">
        <w:rPr>
          <w:sz w:val="22"/>
          <w:szCs w:val="22"/>
          <w:lang w:val="en-NZ"/>
        </w:rPr>
        <w:t>tamariki</w:t>
      </w:r>
      <w:proofErr w:type="spellEnd"/>
      <w:r w:rsidRPr="003B3567">
        <w:rPr>
          <w:sz w:val="22"/>
          <w:szCs w:val="22"/>
          <w:lang w:val="en-NZ"/>
        </w:rPr>
        <w:t xml:space="preserve"> Māori, are enshrined in </w:t>
      </w:r>
      <w:proofErr w:type="spellStart"/>
      <w:r w:rsidR="00E26F7F">
        <w:rPr>
          <w:sz w:val="22"/>
          <w:szCs w:val="22"/>
          <w:lang w:val="en-NZ"/>
        </w:rPr>
        <w:t>T</w:t>
      </w:r>
      <w:r w:rsidRPr="003B3567">
        <w:rPr>
          <w:sz w:val="22"/>
          <w:szCs w:val="22"/>
          <w:lang w:val="en-NZ"/>
        </w:rPr>
        <w:t>e</w:t>
      </w:r>
      <w:proofErr w:type="spellEnd"/>
      <w:r w:rsidRPr="003B3567">
        <w:rPr>
          <w:sz w:val="22"/>
          <w:szCs w:val="22"/>
          <w:lang w:val="en-NZ"/>
        </w:rPr>
        <w:t xml:space="preserve"> </w:t>
      </w:r>
      <w:proofErr w:type="spellStart"/>
      <w:r w:rsidRPr="003B3567">
        <w:rPr>
          <w:sz w:val="22"/>
          <w:szCs w:val="22"/>
          <w:lang w:val="en-NZ"/>
        </w:rPr>
        <w:t>Tiriti</w:t>
      </w:r>
      <w:proofErr w:type="spellEnd"/>
      <w:r w:rsidRPr="003B3567">
        <w:rPr>
          <w:sz w:val="22"/>
          <w:szCs w:val="22"/>
          <w:lang w:val="en-NZ"/>
        </w:rPr>
        <w:t xml:space="preserve"> and UNDRIP and are recognised by the Committee in General Comment No. 11 on Indigenous children and their rights under the CRC.</w:t>
      </w:r>
      <w:r w:rsidRPr="000860B3">
        <w:rPr>
          <w:rStyle w:val="FootnoteReference"/>
          <w:rFonts w:cstheme="minorHAnsi"/>
          <w:color w:val="201F1E"/>
          <w:sz w:val="22"/>
          <w:szCs w:val="22"/>
          <w:lang w:val="en-NZ"/>
        </w:rPr>
        <w:footnoteReference w:id="27"/>
      </w:r>
      <w:r w:rsidRPr="003B3567">
        <w:rPr>
          <w:sz w:val="22"/>
          <w:szCs w:val="22"/>
          <w:lang w:val="en-NZ"/>
        </w:rPr>
        <w:t xml:space="preserve"> Tamariki Māori have the right to services and solutions designed by Māori, for Māori and with Māori.</w:t>
      </w:r>
      <w:r w:rsidRPr="000860B3">
        <w:rPr>
          <w:rStyle w:val="FootnoteReference"/>
          <w:rFonts w:cstheme="minorHAnsi"/>
          <w:color w:val="201F1E"/>
          <w:sz w:val="22"/>
          <w:szCs w:val="22"/>
          <w:lang w:val="en-NZ"/>
        </w:rPr>
        <w:footnoteReference w:id="28"/>
      </w:r>
    </w:p>
    <w:p w14:paraId="0894811A" w14:textId="77777777" w:rsidR="003B3567" w:rsidRPr="003B3567" w:rsidRDefault="003B3567" w:rsidP="003B3567">
      <w:pPr>
        <w:pStyle w:val="ListParagraph"/>
        <w:rPr>
          <w:sz w:val="22"/>
          <w:szCs w:val="22"/>
        </w:rPr>
      </w:pPr>
    </w:p>
    <w:p w14:paraId="514FD5E4" w14:textId="5E6FCBB9" w:rsidR="000860B3" w:rsidRPr="00777312" w:rsidRDefault="000860B3">
      <w:pPr>
        <w:pStyle w:val="ListParagraph"/>
        <w:numPr>
          <w:ilvl w:val="0"/>
          <w:numId w:val="9"/>
        </w:numPr>
        <w:ind w:hanging="720"/>
        <w:rPr>
          <w:rFonts w:cstheme="minorHAnsi"/>
          <w:sz w:val="22"/>
          <w:szCs w:val="22"/>
          <w:lang w:val="mi-NZ"/>
        </w:rPr>
      </w:pPr>
      <w:r w:rsidRPr="003B3567">
        <w:rPr>
          <w:sz w:val="22"/>
          <w:szCs w:val="22"/>
        </w:rPr>
        <w:t xml:space="preserve">See the Rights of Tamariki Māori Thematic Report for a comprehensive explanation of the rights and protections afforded to </w:t>
      </w:r>
      <w:proofErr w:type="spellStart"/>
      <w:r w:rsidRPr="003B3567">
        <w:rPr>
          <w:sz w:val="22"/>
          <w:szCs w:val="22"/>
        </w:rPr>
        <w:t>tamariki</w:t>
      </w:r>
      <w:proofErr w:type="spellEnd"/>
      <w:r w:rsidRPr="003B3567">
        <w:rPr>
          <w:sz w:val="22"/>
          <w:szCs w:val="22"/>
        </w:rPr>
        <w:t xml:space="preserve"> Māori in </w:t>
      </w:r>
      <w:proofErr w:type="spellStart"/>
      <w:r w:rsidRPr="003B3567">
        <w:rPr>
          <w:sz w:val="22"/>
          <w:szCs w:val="22"/>
        </w:rPr>
        <w:t>te</w:t>
      </w:r>
      <w:proofErr w:type="spellEnd"/>
      <w:r w:rsidRPr="003B3567">
        <w:rPr>
          <w:sz w:val="22"/>
          <w:szCs w:val="22"/>
        </w:rPr>
        <w:t xml:space="preserve"> </w:t>
      </w:r>
      <w:proofErr w:type="spellStart"/>
      <w:r w:rsidRPr="003B3567">
        <w:rPr>
          <w:sz w:val="22"/>
          <w:szCs w:val="22"/>
        </w:rPr>
        <w:t>Ao</w:t>
      </w:r>
      <w:proofErr w:type="spellEnd"/>
      <w:r w:rsidRPr="003B3567">
        <w:rPr>
          <w:sz w:val="22"/>
          <w:szCs w:val="22"/>
        </w:rPr>
        <w:t xml:space="preserve"> Māori, under </w:t>
      </w:r>
      <w:proofErr w:type="spellStart"/>
      <w:r w:rsidR="00E26F7F">
        <w:rPr>
          <w:sz w:val="22"/>
          <w:szCs w:val="22"/>
        </w:rPr>
        <w:t>T</w:t>
      </w:r>
      <w:r w:rsidRPr="003B3567">
        <w:rPr>
          <w:sz w:val="22"/>
          <w:szCs w:val="22"/>
        </w:rPr>
        <w:t>e</w:t>
      </w:r>
      <w:proofErr w:type="spellEnd"/>
      <w:r w:rsidRPr="003B3567">
        <w:rPr>
          <w:sz w:val="22"/>
          <w:szCs w:val="22"/>
        </w:rPr>
        <w:t xml:space="preserve"> </w:t>
      </w:r>
      <w:proofErr w:type="spellStart"/>
      <w:r w:rsidRPr="003B3567">
        <w:rPr>
          <w:sz w:val="22"/>
          <w:szCs w:val="22"/>
        </w:rPr>
        <w:t>Tiriti</w:t>
      </w:r>
      <w:proofErr w:type="spellEnd"/>
      <w:r w:rsidRPr="003B3567">
        <w:rPr>
          <w:sz w:val="22"/>
          <w:szCs w:val="22"/>
        </w:rPr>
        <w:t xml:space="preserve"> and as children and indigenous peoples under international law. </w:t>
      </w:r>
    </w:p>
    <w:p w14:paraId="62DD74C6" w14:textId="77777777" w:rsidR="00777312" w:rsidRPr="00777312" w:rsidRDefault="00777312" w:rsidP="00777312">
      <w:pPr>
        <w:pStyle w:val="ListParagraph"/>
        <w:rPr>
          <w:rFonts w:cstheme="minorHAnsi"/>
          <w:sz w:val="22"/>
          <w:szCs w:val="22"/>
          <w:lang w:val="mi-NZ"/>
        </w:rPr>
      </w:pPr>
    </w:p>
    <w:p w14:paraId="19C76AFE" w14:textId="77777777" w:rsidR="00777312" w:rsidRPr="00777312" w:rsidRDefault="00777312" w:rsidP="00777312">
      <w:pPr>
        <w:pStyle w:val="Heading2"/>
      </w:pPr>
      <w:bookmarkStart w:id="7" w:name="_Toc111485435"/>
      <w:r w:rsidRPr="000860B3">
        <w:t>New Developments</w:t>
      </w:r>
      <w:bookmarkEnd w:id="7"/>
    </w:p>
    <w:p w14:paraId="12605903" w14:textId="77777777" w:rsidR="00777312" w:rsidRPr="00E7687D" w:rsidRDefault="00777312" w:rsidP="00777312">
      <w:pPr>
        <w:rPr>
          <w:rFonts w:cstheme="minorHAnsi"/>
          <w:lang w:val="mi-NZ"/>
        </w:rPr>
      </w:pPr>
    </w:p>
    <w:p w14:paraId="000BE1AE" w14:textId="1F9C1E3B" w:rsidR="00777312" w:rsidRPr="003D56A7" w:rsidRDefault="00777312" w:rsidP="00A3002D">
      <w:pPr>
        <w:pStyle w:val="Heading3"/>
      </w:pPr>
      <w:r w:rsidRPr="0098120F">
        <w:t xml:space="preserve">Opportunities, </w:t>
      </w:r>
      <w:proofErr w:type="gramStart"/>
      <w:r w:rsidRPr="0098120F">
        <w:t>challenges</w:t>
      </w:r>
      <w:proofErr w:type="gramEnd"/>
      <w:r w:rsidRPr="0098120F">
        <w:t xml:space="preserve"> and obstacles</w:t>
      </w:r>
    </w:p>
    <w:p w14:paraId="5D5A184F" w14:textId="77777777" w:rsidR="00777312" w:rsidRPr="00777312" w:rsidRDefault="00777312" w:rsidP="00777312">
      <w:pPr>
        <w:pStyle w:val="ListParagraph"/>
        <w:rPr>
          <w:rFonts w:cstheme="minorHAnsi"/>
          <w:sz w:val="22"/>
          <w:szCs w:val="22"/>
          <w:lang w:val="mi-NZ"/>
        </w:rPr>
      </w:pPr>
    </w:p>
    <w:p w14:paraId="0F725272" w14:textId="59DB4F29" w:rsidR="000860B3" w:rsidRPr="003019F8" w:rsidRDefault="000860B3">
      <w:pPr>
        <w:pStyle w:val="ListParagraph"/>
        <w:numPr>
          <w:ilvl w:val="0"/>
          <w:numId w:val="9"/>
        </w:numPr>
        <w:ind w:hanging="720"/>
        <w:rPr>
          <w:rFonts w:cstheme="minorHAnsi"/>
          <w:sz w:val="22"/>
          <w:szCs w:val="22"/>
          <w:lang w:val="mi-NZ"/>
        </w:rPr>
      </w:pPr>
      <w:r w:rsidRPr="003019F8">
        <w:rPr>
          <w:rFonts w:cstheme="minorHAnsi"/>
          <w:color w:val="000000" w:themeColor="text1"/>
          <w:sz w:val="22"/>
          <w:szCs w:val="22"/>
        </w:rPr>
        <w:t xml:space="preserve">Political leadership and some positive structural change </w:t>
      </w:r>
      <w:proofErr w:type="gramStart"/>
      <w:r w:rsidRPr="003019F8">
        <w:rPr>
          <w:rFonts w:cstheme="minorHAnsi"/>
          <w:color w:val="000000" w:themeColor="text1"/>
          <w:sz w:val="22"/>
          <w:szCs w:val="22"/>
        </w:rPr>
        <w:t>has</w:t>
      </w:r>
      <w:proofErr w:type="gramEnd"/>
      <w:r w:rsidRPr="003019F8">
        <w:rPr>
          <w:rFonts w:cstheme="minorHAnsi"/>
          <w:color w:val="000000" w:themeColor="text1"/>
          <w:sz w:val="22"/>
          <w:szCs w:val="22"/>
        </w:rPr>
        <w:t xml:space="preserve"> occurred within the mechanisms of Government over the reporting period, as illustrated by the establishment of the Child Wellbeing and Poverty Reduction Group within the Department of Prime Minister and Cabinet. However, the absence of robust foundations for implementing the CRC remains a significant challenge. There continues to be a lack of accessible data and information about the situation for children and groups of children (including over time), patchy coordination across government, and low levels of awareness about children’s rights, which can result in an inconsistent and inadequate focus on children and their rights across government policy and practice.</w:t>
      </w:r>
      <w:r w:rsidRPr="003019F8">
        <w:rPr>
          <w:rStyle w:val="FootnoteReference"/>
          <w:rFonts w:cstheme="minorHAnsi"/>
          <w:color w:val="000000" w:themeColor="text1"/>
          <w:sz w:val="22"/>
          <w:szCs w:val="22"/>
        </w:rPr>
        <w:t xml:space="preserve"> </w:t>
      </w:r>
      <w:r w:rsidR="006B2889">
        <w:rPr>
          <w:rFonts w:cstheme="minorHAnsi"/>
          <w:color w:val="000000" w:themeColor="text1"/>
          <w:sz w:val="22"/>
          <w:szCs w:val="22"/>
        </w:rPr>
        <w:t>Examples</w:t>
      </w:r>
      <w:r w:rsidRPr="003019F8">
        <w:rPr>
          <w:rFonts w:cstheme="minorHAnsi"/>
          <w:color w:val="000000" w:themeColor="text1"/>
          <w:sz w:val="22"/>
          <w:szCs w:val="22"/>
        </w:rPr>
        <w:t xml:space="preserve"> include:</w:t>
      </w:r>
    </w:p>
    <w:p w14:paraId="33D20434" w14:textId="1AF812AA" w:rsidR="003019F8" w:rsidRDefault="003019F8" w:rsidP="003019F8">
      <w:pPr>
        <w:pStyle w:val="ListParagraph"/>
        <w:rPr>
          <w:rFonts w:cstheme="minorHAnsi"/>
          <w:color w:val="000000" w:themeColor="text1"/>
          <w:sz w:val="22"/>
          <w:szCs w:val="22"/>
        </w:rPr>
      </w:pPr>
    </w:p>
    <w:p w14:paraId="631F858D" w14:textId="703FE4F3" w:rsidR="003019F8" w:rsidRPr="0098120F" w:rsidRDefault="003019F8">
      <w:pPr>
        <w:pStyle w:val="ListParagraph"/>
        <w:numPr>
          <w:ilvl w:val="0"/>
          <w:numId w:val="4"/>
        </w:numPr>
        <w:spacing w:after="0" w:line="240" w:lineRule="auto"/>
        <w:rPr>
          <w:rFonts w:cstheme="minorHAnsi"/>
          <w:sz w:val="22"/>
          <w:szCs w:val="22"/>
          <w:lang w:val="mi-NZ"/>
        </w:rPr>
      </w:pPr>
      <w:r w:rsidRPr="0098120F">
        <w:rPr>
          <w:rFonts w:cstheme="minorHAnsi"/>
          <w:color w:val="000000" w:themeColor="text1"/>
          <w:sz w:val="22"/>
          <w:szCs w:val="22"/>
        </w:rPr>
        <w:t xml:space="preserve">The slow pace of change (for example, </w:t>
      </w:r>
      <w:r w:rsidR="00B53368">
        <w:rPr>
          <w:rFonts w:cstheme="minorHAnsi"/>
          <w:color w:val="000000" w:themeColor="text1"/>
          <w:sz w:val="22"/>
          <w:szCs w:val="22"/>
        </w:rPr>
        <w:t xml:space="preserve">response </w:t>
      </w:r>
      <w:r w:rsidRPr="0098120F">
        <w:rPr>
          <w:rFonts w:cstheme="minorHAnsi"/>
          <w:color w:val="000000" w:themeColor="text1"/>
          <w:sz w:val="22"/>
          <w:szCs w:val="22"/>
        </w:rPr>
        <w:t>to the recommendations of the Welfare Expert Advisory Group).</w:t>
      </w:r>
      <w:r w:rsidRPr="0098120F">
        <w:rPr>
          <w:rStyle w:val="FootnoteReference"/>
          <w:rFonts w:cstheme="minorHAnsi"/>
          <w:color w:val="000000" w:themeColor="text1"/>
          <w:sz w:val="22"/>
          <w:szCs w:val="22"/>
        </w:rPr>
        <w:footnoteReference w:id="29"/>
      </w:r>
      <w:r w:rsidRPr="0098120F">
        <w:rPr>
          <w:rFonts w:cstheme="minorHAnsi"/>
          <w:color w:val="000000" w:themeColor="text1"/>
          <w:sz w:val="22"/>
          <w:szCs w:val="22"/>
        </w:rPr>
        <w:t xml:space="preserve"> </w:t>
      </w:r>
    </w:p>
    <w:p w14:paraId="39F0BA15" w14:textId="08A2EF85" w:rsidR="003019F8" w:rsidRPr="00B53368" w:rsidRDefault="006B2889" w:rsidP="00B53368">
      <w:pPr>
        <w:pStyle w:val="ListParagraph"/>
        <w:numPr>
          <w:ilvl w:val="0"/>
          <w:numId w:val="4"/>
        </w:numPr>
        <w:spacing w:after="0" w:line="240" w:lineRule="auto"/>
        <w:rPr>
          <w:rFonts w:cstheme="minorHAnsi"/>
          <w:sz w:val="22"/>
          <w:szCs w:val="22"/>
          <w:lang w:val="mi-NZ"/>
        </w:rPr>
      </w:pPr>
      <w:r w:rsidRPr="00B53368">
        <w:rPr>
          <w:rFonts w:cstheme="minorHAnsi"/>
          <w:color w:val="000000" w:themeColor="text1"/>
          <w:sz w:val="22"/>
          <w:szCs w:val="22"/>
        </w:rPr>
        <w:t xml:space="preserve">Not </w:t>
      </w:r>
      <w:r w:rsidR="00B53368">
        <w:rPr>
          <w:rFonts w:cstheme="minorHAnsi"/>
          <w:color w:val="000000" w:themeColor="text1"/>
          <w:sz w:val="22"/>
          <w:szCs w:val="22"/>
        </w:rPr>
        <w:t>taking children’s</w:t>
      </w:r>
      <w:r w:rsidR="00B53368" w:rsidRPr="0098120F">
        <w:rPr>
          <w:rFonts w:cstheme="minorHAnsi"/>
          <w:color w:val="000000" w:themeColor="text1"/>
          <w:sz w:val="22"/>
          <w:szCs w:val="22"/>
        </w:rPr>
        <w:t xml:space="preserve"> rights into account in wider public policy developments, </w:t>
      </w:r>
      <w:r w:rsidR="00B53368">
        <w:rPr>
          <w:rFonts w:cstheme="minorHAnsi"/>
          <w:color w:val="000000" w:themeColor="text1"/>
          <w:sz w:val="22"/>
          <w:szCs w:val="22"/>
        </w:rPr>
        <w:t>(</w:t>
      </w:r>
      <w:r w:rsidR="00B53368" w:rsidRPr="0098120F">
        <w:rPr>
          <w:rFonts w:cstheme="minorHAnsi"/>
          <w:color w:val="000000" w:themeColor="text1"/>
          <w:sz w:val="22"/>
          <w:szCs w:val="22"/>
        </w:rPr>
        <w:t>such as the Joint Venture on Eliminating Family Violence and Sexual Violence, health sector reforms, the Disability Action Plan, and responses to the housing and cost of living crises</w:t>
      </w:r>
      <w:r w:rsidR="00B53368">
        <w:rPr>
          <w:rFonts w:cstheme="minorHAnsi"/>
          <w:color w:val="000000" w:themeColor="text1"/>
          <w:sz w:val="22"/>
          <w:szCs w:val="22"/>
        </w:rPr>
        <w:t>) or ensuring they are</w:t>
      </w:r>
      <w:r w:rsidR="003019F8" w:rsidRPr="00B53368">
        <w:rPr>
          <w:rFonts w:cstheme="minorHAnsi"/>
          <w:color w:val="000000" w:themeColor="text1"/>
          <w:sz w:val="22"/>
          <w:szCs w:val="22"/>
        </w:rPr>
        <w:t xml:space="preserve"> able to contribute and provide feedback on the</w:t>
      </w:r>
      <w:r w:rsidR="00B53368">
        <w:rPr>
          <w:rFonts w:cstheme="minorHAnsi"/>
          <w:color w:val="000000" w:themeColor="text1"/>
          <w:sz w:val="22"/>
          <w:szCs w:val="22"/>
        </w:rPr>
        <w:t>ir experiences.</w:t>
      </w:r>
    </w:p>
    <w:p w14:paraId="1B221770" w14:textId="77777777" w:rsidR="003019F8" w:rsidRPr="003019F8" w:rsidRDefault="003019F8" w:rsidP="003019F8">
      <w:pPr>
        <w:pStyle w:val="ListParagraph"/>
        <w:rPr>
          <w:rFonts w:cstheme="minorHAnsi"/>
          <w:sz w:val="22"/>
          <w:szCs w:val="22"/>
          <w:lang w:val="mi-NZ"/>
        </w:rPr>
      </w:pPr>
    </w:p>
    <w:p w14:paraId="6B3CDF66" w14:textId="2CDBB8C6" w:rsidR="004D3B69" w:rsidRDefault="000860B3">
      <w:pPr>
        <w:pStyle w:val="ListParagraph"/>
        <w:numPr>
          <w:ilvl w:val="0"/>
          <w:numId w:val="9"/>
        </w:numPr>
        <w:ind w:hanging="720"/>
        <w:rPr>
          <w:rFonts w:cstheme="minorHAnsi"/>
          <w:sz w:val="22"/>
          <w:szCs w:val="22"/>
          <w:lang w:val="mi-NZ"/>
        </w:rPr>
      </w:pPr>
      <w:r w:rsidRPr="003019F8">
        <w:rPr>
          <w:rFonts w:cstheme="minorHAnsi"/>
          <w:sz w:val="22"/>
          <w:szCs w:val="22"/>
          <w:lang w:val="mi-NZ"/>
        </w:rPr>
        <w:lastRenderedPageBreak/>
        <w:t xml:space="preserve">In additon to the COVID-19 pandemic, many significant events and developments have impacted on children in Aotearoa over the reporting period: </w:t>
      </w:r>
    </w:p>
    <w:p w14:paraId="044C4C17" w14:textId="7E0FBEC1" w:rsidR="004D3B69" w:rsidRDefault="004D3B69" w:rsidP="004D3B69">
      <w:pPr>
        <w:pStyle w:val="ListParagraph"/>
        <w:rPr>
          <w:rFonts w:cstheme="minorHAnsi"/>
          <w:sz w:val="22"/>
          <w:szCs w:val="22"/>
          <w:lang w:val="mi-NZ"/>
        </w:rPr>
      </w:pPr>
    </w:p>
    <w:p w14:paraId="0FF208AC" w14:textId="77777777" w:rsidR="004D3B69" w:rsidRPr="0098120F" w:rsidRDefault="004D3B69">
      <w:pPr>
        <w:pStyle w:val="ListParagraph"/>
        <w:numPr>
          <w:ilvl w:val="0"/>
          <w:numId w:val="1"/>
        </w:numPr>
        <w:spacing w:after="0" w:line="240" w:lineRule="auto"/>
        <w:rPr>
          <w:rFonts w:cstheme="minorHAnsi"/>
          <w:sz w:val="22"/>
          <w:szCs w:val="22"/>
          <w:lang w:val="mi-NZ"/>
        </w:rPr>
      </w:pPr>
      <w:r w:rsidRPr="0098120F">
        <w:rPr>
          <w:rFonts w:cstheme="minorHAnsi"/>
          <w:sz w:val="22"/>
          <w:szCs w:val="22"/>
          <w:lang w:val="mi-NZ"/>
        </w:rPr>
        <w:t>Natural disasters, including the Kaikoura earthquake,</w:t>
      </w:r>
      <w:r w:rsidRPr="0098120F">
        <w:rPr>
          <w:rStyle w:val="FootnoteReference"/>
          <w:rFonts w:cstheme="minorHAnsi"/>
          <w:sz w:val="22"/>
          <w:szCs w:val="22"/>
          <w:lang w:val="mi-NZ"/>
        </w:rPr>
        <w:footnoteReference w:id="30"/>
      </w:r>
      <w:r w:rsidRPr="0098120F">
        <w:rPr>
          <w:rFonts w:cstheme="minorHAnsi"/>
          <w:sz w:val="22"/>
          <w:szCs w:val="22"/>
          <w:lang w:val="mi-NZ"/>
        </w:rPr>
        <w:t xml:space="preserve"> White Island volcanic eruption</w:t>
      </w:r>
      <w:r w:rsidRPr="0098120F">
        <w:rPr>
          <w:rStyle w:val="FootnoteReference"/>
          <w:rFonts w:cstheme="minorHAnsi"/>
          <w:sz w:val="22"/>
          <w:szCs w:val="22"/>
          <w:lang w:val="mi-NZ"/>
        </w:rPr>
        <w:footnoteReference w:id="31"/>
      </w:r>
      <w:r w:rsidRPr="0098120F">
        <w:rPr>
          <w:rFonts w:cstheme="minorHAnsi"/>
          <w:sz w:val="22"/>
          <w:szCs w:val="22"/>
          <w:lang w:val="mi-NZ"/>
        </w:rPr>
        <w:t xml:space="preserve"> and serious weather events. </w:t>
      </w:r>
    </w:p>
    <w:p w14:paraId="53437451" w14:textId="77777777" w:rsidR="004D3B69" w:rsidRPr="0098120F" w:rsidRDefault="004D3B69">
      <w:pPr>
        <w:pStyle w:val="ListParagraph"/>
        <w:numPr>
          <w:ilvl w:val="0"/>
          <w:numId w:val="1"/>
        </w:numPr>
        <w:spacing w:after="0" w:line="240" w:lineRule="auto"/>
        <w:rPr>
          <w:rFonts w:cstheme="minorHAnsi"/>
          <w:sz w:val="22"/>
          <w:szCs w:val="22"/>
          <w:lang w:val="mi-NZ"/>
        </w:rPr>
      </w:pPr>
      <w:r w:rsidRPr="0098120F">
        <w:rPr>
          <w:rFonts w:cstheme="minorHAnsi"/>
          <w:sz w:val="22"/>
          <w:szCs w:val="22"/>
          <w:lang w:val="mi-NZ"/>
        </w:rPr>
        <w:t>Christchurch Terror Attack, March 15, 2019.</w:t>
      </w:r>
      <w:r w:rsidRPr="0098120F">
        <w:rPr>
          <w:rStyle w:val="FootnoteReference"/>
          <w:rFonts w:cstheme="minorHAnsi"/>
          <w:sz w:val="22"/>
          <w:szCs w:val="22"/>
          <w:lang w:val="mi-NZ"/>
        </w:rPr>
        <w:footnoteReference w:id="32"/>
      </w:r>
      <w:r w:rsidRPr="0098120F">
        <w:rPr>
          <w:rFonts w:cstheme="minorHAnsi"/>
          <w:sz w:val="22"/>
          <w:szCs w:val="22"/>
          <w:lang w:val="mi-NZ"/>
        </w:rPr>
        <w:t xml:space="preserve"> </w:t>
      </w:r>
    </w:p>
    <w:p w14:paraId="5DD22C5A" w14:textId="77777777" w:rsidR="004D3B69" w:rsidRPr="0098120F" w:rsidRDefault="004D3B69">
      <w:pPr>
        <w:pStyle w:val="ListParagraph"/>
        <w:numPr>
          <w:ilvl w:val="0"/>
          <w:numId w:val="1"/>
        </w:numPr>
        <w:spacing w:after="0" w:line="240" w:lineRule="auto"/>
        <w:rPr>
          <w:rFonts w:cstheme="minorHAnsi"/>
          <w:sz w:val="22"/>
          <w:szCs w:val="22"/>
          <w:lang w:val="mi-NZ"/>
        </w:rPr>
      </w:pPr>
      <w:r w:rsidRPr="0098120F">
        <w:rPr>
          <w:rFonts w:cstheme="minorHAnsi"/>
          <w:sz w:val="22"/>
          <w:szCs w:val="22"/>
          <w:lang w:val="mi-NZ"/>
        </w:rPr>
        <w:t>Black Lives Matter movement and increasing recognition of historical and ongoing racism in Aotearoa.</w:t>
      </w:r>
      <w:r w:rsidRPr="0098120F">
        <w:rPr>
          <w:rStyle w:val="FootnoteReference"/>
          <w:rFonts w:cstheme="minorHAnsi"/>
          <w:sz w:val="22"/>
          <w:szCs w:val="22"/>
          <w:lang w:val="mi-NZ"/>
        </w:rPr>
        <w:footnoteReference w:id="33"/>
      </w:r>
      <w:r w:rsidRPr="0098120F">
        <w:rPr>
          <w:rFonts w:cstheme="minorHAnsi"/>
          <w:sz w:val="22"/>
          <w:szCs w:val="22"/>
          <w:lang w:val="mi-NZ"/>
        </w:rPr>
        <w:t xml:space="preserve"> </w:t>
      </w:r>
      <w:r w:rsidRPr="0098120F">
        <w:rPr>
          <w:rStyle w:val="FootnoteReference"/>
          <w:rFonts w:cstheme="minorHAnsi"/>
          <w:sz w:val="22"/>
          <w:szCs w:val="22"/>
          <w:lang w:val="mi-NZ"/>
        </w:rPr>
        <w:footnoteReference w:id="34"/>
      </w:r>
    </w:p>
    <w:p w14:paraId="62FC6C3C" w14:textId="2417AD39" w:rsidR="004D3B69" w:rsidRPr="0098120F" w:rsidRDefault="004D3B69">
      <w:pPr>
        <w:pStyle w:val="ListParagraph"/>
        <w:numPr>
          <w:ilvl w:val="0"/>
          <w:numId w:val="1"/>
        </w:numPr>
        <w:spacing w:after="0" w:line="240" w:lineRule="auto"/>
        <w:rPr>
          <w:rFonts w:cstheme="minorHAnsi"/>
          <w:sz w:val="22"/>
          <w:szCs w:val="22"/>
          <w:lang w:val="mi-NZ"/>
        </w:rPr>
      </w:pPr>
      <w:r w:rsidRPr="0098120F">
        <w:rPr>
          <w:rFonts w:cstheme="minorHAnsi"/>
          <w:sz w:val="22"/>
          <w:szCs w:val="22"/>
        </w:rPr>
        <w:t>Royal Commission of Inquiry into Historical Abuse in State Care and in the Care of Faith-based Institutions</w:t>
      </w:r>
      <w:r w:rsidR="00E714C0">
        <w:rPr>
          <w:rFonts w:cstheme="minorHAnsi"/>
          <w:sz w:val="22"/>
          <w:szCs w:val="22"/>
        </w:rPr>
        <w:t xml:space="preserve"> (RCOI)</w:t>
      </w:r>
      <w:r w:rsidRPr="0098120F">
        <w:rPr>
          <w:rFonts w:cstheme="minorHAnsi"/>
          <w:sz w:val="22"/>
          <w:szCs w:val="22"/>
          <w:lang w:val="mi-NZ"/>
        </w:rPr>
        <w:t>, which is revealing the extent, and pervasive effects, of trauma associated with childhood abuse in care.</w:t>
      </w:r>
      <w:r w:rsidRPr="0098120F">
        <w:rPr>
          <w:rStyle w:val="FootnoteReference"/>
          <w:rFonts w:cstheme="minorHAnsi"/>
          <w:sz w:val="22"/>
          <w:szCs w:val="22"/>
          <w:lang w:val="mi-NZ"/>
        </w:rPr>
        <w:footnoteReference w:id="35"/>
      </w:r>
      <w:r w:rsidRPr="0098120F">
        <w:rPr>
          <w:rFonts w:cstheme="minorHAnsi"/>
          <w:sz w:val="22"/>
          <w:szCs w:val="22"/>
          <w:lang w:val="mi-NZ"/>
        </w:rPr>
        <w:t xml:space="preserve"> </w:t>
      </w:r>
    </w:p>
    <w:p w14:paraId="08D11716" w14:textId="77777777" w:rsidR="004D3B69" w:rsidRPr="0098120F" w:rsidRDefault="004D3B69">
      <w:pPr>
        <w:pStyle w:val="ListParagraph"/>
        <w:numPr>
          <w:ilvl w:val="0"/>
          <w:numId w:val="1"/>
        </w:numPr>
        <w:spacing w:after="0" w:line="240" w:lineRule="auto"/>
        <w:rPr>
          <w:rFonts w:cstheme="minorHAnsi"/>
          <w:sz w:val="22"/>
          <w:szCs w:val="22"/>
          <w:lang w:val="mi-NZ"/>
        </w:rPr>
      </w:pPr>
      <w:r w:rsidRPr="0098120F">
        <w:rPr>
          <w:rFonts w:cstheme="minorHAnsi"/>
          <w:sz w:val="22"/>
          <w:szCs w:val="22"/>
          <w:lang w:val="mi-NZ"/>
        </w:rPr>
        <w:t xml:space="preserve">Increased rates of removal of predominantly </w:t>
      </w:r>
      <w:r w:rsidRPr="0098120F">
        <w:rPr>
          <w:rFonts w:cstheme="minorHAnsi"/>
          <w:sz w:val="22"/>
          <w:szCs w:val="22"/>
        </w:rPr>
        <w:t>Māori</w:t>
      </w:r>
      <w:r w:rsidRPr="0098120F">
        <w:rPr>
          <w:rFonts w:cstheme="minorHAnsi"/>
          <w:sz w:val="22"/>
          <w:szCs w:val="22"/>
          <w:lang w:val="mi-NZ"/>
        </w:rPr>
        <w:t xml:space="preserve"> infants into State care which, due to strong public outcry, led to five inquiries and ongoing developments within the Oranga Tamariki (OT) care, protection and youth justice systems (</w:t>
      </w:r>
      <w:r w:rsidRPr="00413845">
        <w:rPr>
          <w:rFonts w:cstheme="minorHAnsi"/>
          <w:sz w:val="22"/>
          <w:szCs w:val="22"/>
          <w:lang w:val="mi-NZ"/>
        </w:rPr>
        <w:t>see Appendix Two</w:t>
      </w:r>
      <w:r w:rsidRPr="0098120F">
        <w:rPr>
          <w:rFonts w:cstheme="minorHAnsi"/>
          <w:sz w:val="22"/>
          <w:szCs w:val="22"/>
          <w:lang w:val="mi-NZ"/>
        </w:rPr>
        <w:t>).</w:t>
      </w:r>
      <w:r w:rsidRPr="0098120F">
        <w:rPr>
          <w:rStyle w:val="FootnoteReference"/>
          <w:rFonts w:cstheme="minorHAnsi"/>
          <w:sz w:val="22"/>
          <w:szCs w:val="22"/>
          <w:lang w:val="mi-NZ"/>
        </w:rPr>
        <w:footnoteReference w:id="36"/>
      </w:r>
    </w:p>
    <w:p w14:paraId="586F5FF0" w14:textId="03CB7BB9" w:rsidR="004D3B69" w:rsidRDefault="004D3B69">
      <w:pPr>
        <w:pStyle w:val="ListParagraph"/>
        <w:numPr>
          <w:ilvl w:val="0"/>
          <w:numId w:val="1"/>
        </w:numPr>
        <w:spacing w:after="0" w:line="240" w:lineRule="auto"/>
        <w:rPr>
          <w:rFonts w:cstheme="minorHAnsi"/>
          <w:sz w:val="22"/>
          <w:szCs w:val="22"/>
          <w:lang w:val="mi-NZ"/>
        </w:rPr>
      </w:pPr>
      <w:r w:rsidRPr="0098120F">
        <w:rPr>
          <w:rFonts w:cstheme="minorHAnsi"/>
          <w:sz w:val="22"/>
          <w:szCs w:val="22"/>
          <w:lang w:val="mi-NZ"/>
        </w:rPr>
        <w:t>Transphobic public and political debates surrounding the ban on conversion practices and birth certificate law reform, and a rise in extremist anti-transgender and anti-rainbow rhetoric linked with international conservative movements.</w:t>
      </w:r>
      <w:r w:rsidRPr="0098120F">
        <w:rPr>
          <w:rStyle w:val="FootnoteReference"/>
          <w:rFonts w:cstheme="minorHAnsi"/>
          <w:sz w:val="22"/>
          <w:szCs w:val="22"/>
          <w:lang w:val="mi-NZ"/>
        </w:rPr>
        <w:t xml:space="preserve"> </w:t>
      </w:r>
      <w:r w:rsidRPr="0098120F">
        <w:rPr>
          <w:rStyle w:val="FootnoteReference"/>
          <w:rFonts w:cstheme="minorHAnsi"/>
          <w:sz w:val="22"/>
          <w:szCs w:val="22"/>
          <w:lang w:val="mi-NZ"/>
        </w:rPr>
        <w:footnoteReference w:id="37"/>
      </w:r>
    </w:p>
    <w:p w14:paraId="30560821" w14:textId="3634D03C" w:rsidR="004D3B69" w:rsidRDefault="004D3B69" w:rsidP="004D3B69">
      <w:pPr>
        <w:spacing w:after="0" w:line="240" w:lineRule="auto"/>
        <w:rPr>
          <w:rFonts w:cstheme="minorHAnsi"/>
          <w:sz w:val="22"/>
          <w:szCs w:val="22"/>
          <w:lang w:val="mi-NZ"/>
        </w:rPr>
      </w:pPr>
    </w:p>
    <w:p w14:paraId="2325701B" w14:textId="6E4A7B45" w:rsidR="004D3B69" w:rsidRPr="004D3B69" w:rsidRDefault="004D3B69" w:rsidP="00A3002D">
      <w:pPr>
        <w:pStyle w:val="Heading3"/>
      </w:pPr>
      <w:r w:rsidRPr="004D3B69">
        <w:t>Cost of living</w:t>
      </w:r>
    </w:p>
    <w:p w14:paraId="3D15FF5B" w14:textId="77777777" w:rsidR="004D3B69" w:rsidRDefault="004D3B69" w:rsidP="004D3B69">
      <w:pPr>
        <w:pStyle w:val="ListParagraph"/>
        <w:rPr>
          <w:rFonts w:cstheme="minorHAnsi"/>
          <w:sz w:val="22"/>
          <w:szCs w:val="22"/>
          <w:lang w:val="mi-NZ"/>
        </w:rPr>
      </w:pPr>
    </w:p>
    <w:p w14:paraId="3CBB15C9" w14:textId="69EC881E" w:rsidR="000860B3" w:rsidRPr="004D3B69" w:rsidRDefault="000860B3">
      <w:pPr>
        <w:pStyle w:val="ListParagraph"/>
        <w:numPr>
          <w:ilvl w:val="0"/>
          <w:numId w:val="9"/>
        </w:numPr>
        <w:ind w:hanging="720"/>
        <w:rPr>
          <w:rFonts w:cstheme="minorHAnsi"/>
          <w:sz w:val="22"/>
          <w:szCs w:val="22"/>
          <w:lang w:val="mi-NZ"/>
        </w:rPr>
      </w:pPr>
      <w:r w:rsidRPr="004D3B69">
        <w:rPr>
          <w:rFonts w:cstheme="minorHAnsi"/>
          <w:color w:val="000000" w:themeColor="text1"/>
          <w:sz w:val="22"/>
          <w:szCs w:val="22"/>
          <w:lang w:val="mi-NZ"/>
        </w:rPr>
        <w:t>The cost of living is increasing rapidly in Aotearoa due to such factors as the war in Ukraine, the ongoing impact of the pandemic on supply chains, and the largest increase in inflation since 1990 (7.3% for the June 2022 quarter).</w:t>
      </w:r>
      <w:r w:rsidRPr="0098120F">
        <w:rPr>
          <w:rStyle w:val="FootnoteReference"/>
          <w:rFonts w:cstheme="minorHAnsi"/>
          <w:color w:val="000000" w:themeColor="text1"/>
          <w:sz w:val="22"/>
          <w:szCs w:val="22"/>
          <w:lang w:val="mi-NZ"/>
        </w:rPr>
        <w:footnoteReference w:id="38"/>
      </w:r>
      <w:r w:rsidRPr="004D3B69">
        <w:rPr>
          <w:rFonts w:cstheme="minorHAnsi"/>
          <w:color w:val="000000" w:themeColor="text1"/>
          <w:sz w:val="22"/>
          <w:szCs w:val="22"/>
          <w:lang w:val="mi-NZ"/>
        </w:rPr>
        <w:t xml:space="preserve"> The cost of housing, transport and food all rose over the June 2022 quarter, compared with the June 2021 quarter.</w:t>
      </w:r>
      <w:r w:rsidRPr="0098120F">
        <w:rPr>
          <w:rStyle w:val="FootnoteReference"/>
          <w:rFonts w:cstheme="minorHAnsi"/>
          <w:color w:val="000000" w:themeColor="text1"/>
          <w:sz w:val="22"/>
          <w:szCs w:val="22"/>
          <w:lang w:val="mi-NZ"/>
        </w:rPr>
        <w:footnoteReference w:id="39"/>
      </w:r>
    </w:p>
    <w:p w14:paraId="322EDEC9" w14:textId="1F9A7E47" w:rsidR="004D3B69" w:rsidRDefault="004D3B69" w:rsidP="004D3B69">
      <w:pPr>
        <w:rPr>
          <w:rFonts w:cstheme="minorHAnsi"/>
          <w:sz w:val="22"/>
          <w:szCs w:val="22"/>
          <w:lang w:val="mi-NZ"/>
        </w:rPr>
      </w:pPr>
    </w:p>
    <w:p w14:paraId="4FF33682" w14:textId="77777777" w:rsidR="004D3B69" w:rsidRPr="00E7687D" w:rsidRDefault="004D3B69" w:rsidP="004D3B69">
      <w:pPr>
        <w:pStyle w:val="Heading2"/>
        <w:rPr>
          <w:i/>
          <w:iCs/>
          <w:lang w:val="mi-NZ"/>
        </w:rPr>
      </w:pPr>
      <w:bookmarkStart w:id="8" w:name="_Toc111485436"/>
      <w:r w:rsidRPr="00E7687D">
        <w:rPr>
          <w:lang w:val="mi-NZ"/>
        </w:rPr>
        <w:lastRenderedPageBreak/>
        <w:t>New or revised laws, policies and programmes significant for implementation of the CRC</w:t>
      </w:r>
      <w:bookmarkEnd w:id="8"/>
    </w:p>
    <w:p w14:paraId="04EB3F97" w14:textId="1D9F6522" w:rsidR="004D3B69" w:rsidRPr="004D3B69" w:rsidRDefault="004D3B69" w:rsidP="003D56A7">
      <w:pPr>
        <w:tabs>
          <w:tab w:val="left" w:pos="6703"/>
        </w:tabs>
        <w:rPr>
          <w:rFonts w:cstheme="minorHAnsi"/>
          <w:sz w:val="22"/>
          <w:szCs w:val="22"/>
          <w:lang w:val="mi-NZ"/>
        </w:rPr>
      </w:pPr>
    </w:p>
    <w:p w14:paraId="407E2EFD" w14:textId="620F0062" w:rsidR="000860B3" w:rsidRDefault="000860B3">
      <w:pPr>
        <w:pStyle w:val="ListParagraph"/>
        <w:numPr>
          <w:ilvl w:val="0"/>
          <w:numId w:val="9"/>
        </w:numPr>
        <w:ind w:hanging="720"/>
        <w:rPr>
          <w:rFonts w:cstheme="minorHAnsi"/>
          <w:sz w:val="22"/>
          <w:szCs w:val="22"/>
          <w:lang w:val="mi-NZ"/>
        </w:rPr>
      </w:pPr>
      <w:r w:rsidRPr="004D3B69">
        <w:rPr>
          <w:rFonts w:cstheme="minorHAnsi"/>
          <w:sz w:val="22"/>
          <w:szCs w:val="22"/>
          <w:lang w:val="mi-NZ"/>
        </w:rPr>
        <w:t>Developments significant for implementation of the CRC over the reporting period include:</w:t>
      </w:r>
    </w:p>
    <w:p w14:paraId="748EADA1" w14:textId="77777777" w:rsidR="007B682B" w:rsidRDefault="007B682B" w:rsidP="007B682B">
      <w:pPr>
        <w:pStyle w:val="ListParagraph"/>
        <w:rPr>
          <w:rFonts w:cstheme="minorHAnsi"/>
          <w:sz w:val="22"/>
          <w:szCs w:val="22"/>
          <w:lang w:val="mi-NZ"/>
        </w:rPr>
      </w:pPr>
    </w:p>
    <w:p w14:paraId="24A04E83" w14:textId="77777777" w:rsidR="007B682B" w:rsidRPr="0098120F" w:rsidRDefault="007B682B">
      <w:pPr>
        <w:pStyle w:val="ListParagraph"/>
        <w:numPr>
          <w:ilvl w:val="0"/>
          <w:numId w:val="1"/>
        </w:numPr>
        <w:spacing w:after="0" w:line="240" w:lineRule="auto"/>
        <w:rPr>
          <w:rFonts w:cstheme="minorHAnsi"/>
          <w:sz w:val="22"/>
          <w:szCs w:val="22"/>
          <w:lang w:val="mi-NZ"/>
        </w:rPr>
      </w:pPr>
      <w:r w:rsidRPr="0098120F">
        <w:rPr>
          <w:rFonts w:cstheme="minorHAnsi"/>
          <w:sz w:val="22"/>
          <w:szCs w:val="22"/>
          <w:lang w:val="mi-NZ"/>
        </w:rPr>
        <w:t>The Oranga Tamariki Act 1989 now requires that decision-makers under the Act respect and uphold children’s rights, including those under the CRC.</w:t>
      </w:r>
      <w:r w:rsidRPr="0098120F">
        <w:rPr>
          <w:rStyle w:val="FootnoteReference"/>
          <w:rFonts w:cstheme="minorHAnsi"/>
          <w:sz w:val="22"/>
          <w:szCs w:val="22"/>
          <w:lang w:val="mi-NZ"/>
        </w:rPr>
        <w:footnoteReference w:id="40"/>
      </w:r>
    </w:p>
    <w:p w14:paraId="34F0B7BB" w14:textId="77777777" w:rsidR="007B682B" w:rsidRPr="0098120F" w:rsidRDefault="007B682B">
      <w:pPr>
        <w:pStyle w:val="ListParagraph"/>
        <w:numPr>
          <w:ilvl w:val="0"/>
          <w:numId w:val="1"/>
        </w:numPr>
        <w:spacing w:after="0" w:line="240" w:lineRule="auto"/>
        <w:rPr>
          <w:rFonts w:cstheme="minorHAnsi"/>
          <w:sz w:val="22"/>
          <w:szCs w:val="22"/>
          <w:lang w:val="mi-NZ"/>
        </w:rPr>
      </w:pPr>
      <w:r w:rsidRPr="0098120F">
        <w:rPr>
          <w:rFonts w:cstheme="minorHAnsi"/>
          <w:sz w:val="22"/>
          <w:szCs w:val="22"/>
          <w:lang w:val="mi-NZ"/>
        </w:rPr>
        <w:t xml:space="preserve">Legislation has been passed to reduce rates of child poverty and improve children’s wellbeing. Child Poverty and Wellbeing Units have been established within the Department of Prime Minister and Cabinet. </w:t>
      </w:r>
    </w:p>
    <w:p w14:paraId="11C546FF" w14:textId="77777777" w:rsidR="007B682B" w:rsidRPr="0098120F" w:rsidRDefault="007B682B">
      <w:pPr>
        <w:pStyle w:val="ListParagraph"/>
        <w:numPr>
          <w:ilvl w:val="0"/>
          <w:numId w:val="1"/>
        </w:numPr>
        <w:spacing w:after="0" w:line="240" w:lineRule="auto"/>
        <w:rPr>
          <w:rFonts w:cstheme="minorHAnsi"/>
          <w:sz w:val="22"/>
          <w:szCs w:val="22"/>
          <w:lang w:val="mi-NZ"/>
        </w:rPr>
      </w:pPr>
      <w:r w:rsidRPr="0098120F">
        <w:rPr>
          <w:rFonts w:cstheme="minorHAnsi"/>
          <w:sz w:val="22"/>
          <w:szCs w:val="22"/>
          <w:lang w:val="mi-NZ"/>
        </w:rPr>
        <w:t xml:space="preserve">In 2019, Aotearoa legislatively mandated a Child and Youth Wellbeing Strategy (CYWS), which has as one of its underpinning principles “Children and young people’s rights need to be respected and upheld.” This Strategy is intended to help Aotearoa meet its international obligations with regard to children, including those under the CRC. </w:t>
      </w:r>
    </w:p>
    <w:p w14:paraId="584151BE" w14:textId="77777777" w:rsidR="007B682B" w:rsidRPr="0098120F" w:rsidRDefault="007B682B">
      <w:pPr>
        <w:pStyle w:val="ListParagraph"/>
        <w:numPr>
          <w:ilvl w:val="0"/>
          <w:numId w:val="1"/>
        </w:numPr>
        <w:spacing w:after="0" w:line="240" w:lineRule="auto"/>
        <w:rPr>
          <w:rFonts w:cstheme="minorHAnsi"/>
          <w:sz w:val="22"/>
          <w:szCs w:val="22"/>
          <w:lang w:val="mi-NZ"/>
        </w:rPr>
      </w:pPr>
      <w:r w:rsidRPr="0098120F">
        <w:rPr>
          <w:rFonts w:cstheme="minorHAnsi"/>
          <w:sz w:val="22"/>
          <w:szCs w:val="22"/>
          <w:lang w:val="mi-NZ"/>
        </w:rPr>
        <w:t>To mark the 30th anniversary of the CRC in 2019, the Government pledged to implement the CYWS to highlight its commitment to the promotion, protection and realisation of the rights of the child.</w:t>
      </w:r>
      <w:r w:rsidRPr="0098120F">
        <w:rPr>
          <w:rStyle w:val="FootnoteReference"/>
          <w:rFonts w:cstheme="minorHAnsi"/>
          <w:sz w:val="22"/>
          <w:szCs w:val="22"/>
          <w:lang w:val="mi-NZ"/>
        </w:rPr>
        <w:footnoteReference w:id="41"/>
      </w:r>
    </w:p>
    <w:p w14:paraId="5CE9CD33" w14:textId="77777777" w:rsidR="007B682B" w:rsidRPr="0098120F" w:rsidRDefault="007B682B">
      <w:pPr>
        <w:pStyle w:val="ListParagraph"/>
        <w:numPr>
          <w:ilvl w:val="0"/>
          <w:numId w:val="1"/>
        </w:numPr>
        <w:spacing w:after="0" w:line="240" w:lineRule="auto"/>
        <w:rPr>
          <w:rFonts w:cstheme="minorHAnsi"/>
          <w:sz w:val="22"/>
          <w:szCs w:val="22"/>
          <w:lang w:val="mi-NZ"/>
        </w:rPr>
      </w:pPr>
      <w:r w:rsidRPr="0098120F">
        <w:rPr>
          <w:rFonts w:cstheme="minorHAnsi"/>
          <w:sz w:val="22"/>
          <w:szCs w:val="22"/>
          <w:lang w:val="mi-NZ"/>
        </w:rPr>
        <w:t>The Pae Ora Healthy Futures Act 2022, the legislation underpinning health-system reform, established the Maori Health Authority and Health New Zealand entities to share stewardship and support a focus on reducing poor health outcomes for Māori.</w:t>
      </w:r>
      <w:r w:rsidRPr="0098120F">
        <w:rPr>
          <w:rStyle w:val="FootnoteReference"/>
          <w:rFonts w:cstheme="minorHAnsi"/>
          <w:sz w:val="22"/>
          <w:szCs w:val="22"/>
          <w:lang w:val="mi-NZ"/>
        </w:rPr>
        <w:footnoteReference w:id="42"/>
      </w:r>
      <w:r w:rsidRPr="0098120F">
        <w:rPr>
          <w:rFonts w:cstheme="minorHAnsi"/>
          <w:sz w:val="22"/>
          <w:szCs w:val="22"/>
          <w:lang w:val="mi-NZ"/>
        </w:rPr>
        <w:t xml:space="preserve"> </w:t>
      </w:r>
    </w:p>
    <w:p w14:paraId="0D08AF2F" w14:textId="77777777" w:rsidR="007B682B" w:rsidRPr="007B682B" w:rsidRDefault="007B682B" w:rsidP="007B682B">
      <w:pPr>
        <w:ind w:left="720"/>
        <w:rPr>
          <w:rFonts w:cstheme="minorHAnsi"/>
          <w:sz w:val="22"/>
          <w:szCs w:val="22"/>
          <w:lang w:val="mi-NZ"/>
        </w:rPr>
      </w:pPr>
    </w:p>
    <w:p w14:paraId="5FB7E5D9" w14:textId="5BA6FD1A" w:rsidR="000860B3" w:rsidRDefault="000860B3">
      <w:pPr>
        <w:pStyle w:val="ListParagraph"/>
        <w:numPr>
          <w:ilvl w:val="0"/>
          <w:numId w:val="9"/>
        </w:numPr>
        <w:ind w:hanging="720"/>
        <w:rPr>
          <w:rFonts w:cstheme="minorHAnsi"/>
          <w:sz w:val="22"/>
          <w:szCs w:val="22"/>
          <w:lang w:val="mi-NZ"/>
        </w:rPr>
      </w:pPr>
      <w:r w:rsidRPr="007B682B">
        <w:rPr>
          <w:rFonts w:cstheme="minorHAnsi"/>
          <w:sz w:val="22"/>
          <w:szCs w:val="22"/>
        </w:rPr>
        <w:t xml:space="preserve">Many system-level reviews and changes </w:t>
      </w:r>
      <w:r w:rsidRPr="007B682B">
        <w:rPr>
          <w:rFonts w:cstheme="minorHAnsi"/>
          <w:sz w:val="22"/>
          <w:szCs w:val="22"/>
          <w:lang w:val="mi-NZ"/>
        </w:rPr>
        <w:t>pertinent to implementation of the CRC are underway, providing both opportunities and challenges for advancing and protecting children’s rights. These include:</w:t>
      </w:r>
    </w:p>
    <w:p w14:paraId="415D6C7A" w14:textId="77777777" w:rsidR="007B682B" w:rsidRDefault="007B682B" w:rsidP="007B682B">
      <w:pPr>
        <w:pStyle w:val="ListParagraph"/>
        <w:rPr>
          <w:rFonts w:cstheme="minorHAnsi"/>
          <w:sz w:val="22"/>
          <w:szCs w:val="22"/>
          <w:lang w:val="mi-NZ"/>
        </w:rPr>
      </w:pPr>
    </w:p>
    <w:p w14:paraId="435D00E6" w14:textId="77777777" w:rsidR="007B682B" w:rsidRPr="0098120F" w:rsidRDefault="007B682B">
      <w:pPr>
        <w:pStyle w:val="ListParagraph"/>
        <w:numPr>
          <w:ilvl w:val="0"/>
          <w:numId w:val="1"/>
        </w:numPr>
        <w:spacing w:after="0" w:line="240" w:lineRule="auto"/>
        <w:rPr>
          <w:rFonts w:cstheme="minorHAnsi"/>
          <w:sz w:val="22"/>
          <w:szCs w:val="22"/>
          <w:lang w:val="mi-NZ"/>
        </w:rPr>
      </w:pPr>
      <w:r w:rsidRPr="0098120F">
        <w:rPr>
          <w:rFonts w:cstheme="minorHAnsi"/>
          <w:sz w:val="22"/>
          <w:szCs w:val="22"/>
          <w:lang w:val="mi-NZ"/>
        </w:rPr>
        <w:t>Government has agreed to ratify the Optional Protocol on a Communications Procedure (OP3).</w:t>
      </w:r>
    </w:p>
    <w:p w14:paraId="61F856F0" w14:textId="77777777" w:rsidR="007B682B" w:rsidRPr="0098120F" w:rsidRDefault="007B682B">
      <w:pPr>
        <w:pStyle w:val="ListParagraph"/>
        <w:numPr>
          <w:ilvl w:val="0"/>
          <w:numId w:val="2"/>
        </w:numPr>
        <w:spacing w:after="0" w:line="240" w:lineRule="auto"/>
        <w:rPr>
          <w:rFonts w:cstheme="minorHAnsi"/>
          <w:sz w:val="22"/>
          <w:szCs w:val="22"/>
          <w:lang w:val="mi-NZ"/>
        </w:rPr>
      </w:pPr>
      <w:r w:rsidRPr="0098120F">
        <w:rPr>
          <w:rFonts w:cstheme="minorHAnsi"/>
          <w:sz w:val="22"/>
          <w:szCs w:val="22"/>
          <w:lang w:val="mi-NZ"/>
        </w:rPr>
        <w:t>Changes to the Children’s Commissioner (see Appendix Two).</w:t>
      </w:r>
      <w:r w:rsidRPr="0098120F">
        <w:rPr>
          <w:rStyle w:val="FootnoteReference"/>
          <w:rFonts w:cstheme="minorHAnsi"/>
          <w:sz w:val="22"/>
          <w:szCs w:val="22"/>
          <w:lang w:val="mi-NZ"/>
        </w:rPr>
        <w:footnoteReference w:id="43"/>
      </w:r>
      <w:r w:rsidRPr="0098120F">
        <w:rPr>
          <w:rFonts w:cstheme="minorHAnsi"/>
          <w:sz w:val="22"/>
          <w:szCs w:val="22"/>
          <w:lang w:val="mi-NZ"/>
        </w:rPr>
        <w:t xml:space="preserve"> </w:t>
      </w:r>
    </w:p>
    <w:p w14:paraId="0F2C17CC" w14:textId="77777777" w:rsidR="007B682B" w:rsidRPr="0098120F" w:rsidRDefault="007B682B">
      <w:pPr>
        <w:pStyle w:val="ListParagraph"/>
        <w:numPr>
          <w:ilvl w:val="0"/>
          <w:numId w:val="2"/>
        </w:numPr>
        <w:spacing w:after="0" w:line="240" w:lineRule="auto"/>
        <w:rPr>
          <w:rFonts w:cstheme="minorHAnsi"/>
          <w:sz w:val="22"/>
          <w:szCs w:val="22"/>
          <w:lang w:val="mi-NZ"/>
        </w:rPr>
      </w:pPr>
      <w:r w:rsidRPr="0098120F">
        <w:rPr>
          <w:rFonts w:cstheme="minorHAnsi"/>
          <w:sz w:val="22"/>
          <w:szCs w:val="22"/>
          <w:lang w:val="mi-NZ"/>
        </w:rPr>
        <w:t>Changes to the care and protection system and oversight arrangements for OT (see Appendix Two).</w:t>
      </w:r>
      <w:r w:rsidRPr="0098120F">
        <w:rPr>
          <w:rStyle w:val="FootnoteReference"/>
          <w:rFonts w:cstheme="minorHAnsi"/>
          <w:sz w:val="22"/>
          <w:szCs w:val="22"/>
          <w:lang w:val="mi-NZ"/>
        </w:rPr>
        <w:footnoteReference w:id="44"/>
      </w:r>
    </w:p>
    <w:p w14:paraId="2999A216" w14:textId="09611F9F" w:rsidR="007B682B" w:rsidRPr="0098120F" w:rsidRDefault="007B682B">
      <w:pPr>
        <w:pStyle w:val="ListParagraph"/>
        <w:numPr>
          <w:ilvl w:val="0"/>
          <w:numId w:val="2"/>
        </w:numPr>
        <w:spacing w:after="0" w:line="240" w:lineRule="auto"/>
        <w:rPr>
          <w:rFonts w:cstheme="minorHAnsi"/>
          <w:sz w:val="22"/>
          <w:szCs w:val="22"/>
          <w:lang w:val="mi-NZ"/>
        </w:rPr>
      </w:pPr>
      <w:r w:rsidRPr="0098120F">
        <w:rPr>
          <w:rFonts w:cstheme="minorHAnsi"/>
          <w:sz w:val="22"/>
          <w:szCs w:val="22"/>
          <w:lang w:val="mi-NZ"/>
        </w:rPr>
        <w:t xml:space="preserve">Royal Commission of Inquiry </w:t>
      </w:r>
      <w:r w:rsidRPr="0098120F">
        <w:rPr>
          <w:rFonts w:cstheme="minorHAnsi"/>
          <w:sz w:val="22"/>
          <w:szCs w:val="22"/>
        </w:rPr>
        <w:t>into Historical Abuse in State Care and in the Care of Faith-based Institutions.</w:t>
      </w:r>
      <w:r w:rsidRPr="0098120F">
        <w:rPr>
          <w:rStyle w:val="FootnoteReference"/>
          <w:rFonts w:cstheme="minorHAnsi"/>
          <w:sz w:val="22"/>
          <w:szCs w:val="22"/>
          <w:lang w:val="mi-NZ"/>
        </w:rPr>
        <w:footnoteReference w:id="45"/>
      </w:r>
    </w:p>
    <w:p w14:paraId="05EBE995" w14:textId="77777777" w:rsidR="007B682B" w:rsidRPr="0098120F" w:rsidRDefault="007B682B">
      <w:pPr>
        <w:pStyle w:val="ListParagraph"/>
        <w:numPr>
          <w:ilvl w:val="0"/>
          <w:numId w:val="2"/>
        </w:numPr>
        <w:spacing w:after="0" w:line="240" w:lineRule="auto"/>
        <w:rPr>
          <w:rFonts w:cstheme="minorHAnsi"/>
          <w:sz w:val="22"/>
          <w:szCs w:val="22"/>
          <w:lang w:val="mi-NZ"/>
        </w:rPr>
      </w:pPr>
      <w:r w:rsidRPr="0098120F">
        <w:rPr>
          <w:rFonts w:cstheme="minorHAnsi"/>
          <w:sz w:val="22"/>
          <w:szCs w:val="22"/>
          <w:lang w:val="mi-NZ"/>
        </w:rPr>
        <w:lastRenderedPageBreak/>
        <w:t>Adoption and surrogacy law reform.</w:t>
      </w:r>
      <w:r w:rsidRPr="0098120F">
        <w:rPr>
          <w:rStyle w:val="FootnoteReference"/>
          <w:rFonts w:cstheme="minorHAnsi"/>
          <w:sz w:val="22"/>
          <w:szCs w:val="22"/>
          <w:lang w:val="mi-NZ"/>
        </w:rPr>
        <w:footnoteReference w:id="46"/>
      </w:r>
    </w:p>
    <w:p w14:paraId="466CA676" w14:textId="77777777" w:rsidR="007B682B" w:rsidRPr="0098120F" w:rsidRDefault="007B682B">
      <w:pPr>
        <w:pStyle w:val="ListParagraph"/>
        <w:numPr>
          <w:ilvl w:val="0"/>
          <w:numId w:val="2"/>
        </w:numPr>
        <w:spacing w:after="0" w:line="240" w:lineRule="auto"/>
        <w:rPr>
          <w:rFonts w:cstheme="minorHAnsi"/>
          <w:sz w:val="22"/>
          <w:szCs w:val="22"/>
          <w:lang w:val="mi-NZ"/>
        </w:rPr>
      </w:pPr>
      <w:r w:rsidRPr="0098120F">
        <w:rPr>
          <w:rFonts w:cstheme="minorHAnsi"/>
          <w:sz w:val="22"/>
          <w:szCs w:val="22"/>
          <w:lang w:val="mi-NZ"/>
        </w:rPr>
        <w:t>Relationship property division and succession law reform.</w:t>
      </w:r>
      <w:r w:rsidRPr="0098120F">
        <w:rPr>
          <w:rStyle w:val="FootnoteReference"/>
          <w:rFonts w:cstheme="minorHAnsi"/>
          <w:sz w:val="22"/>
          <w:szCs w:val="22"/>
          <w:lang w:val="mi-NZ"/>
        </w:rPr>
        <w:footnoteReference w:id="47"/>
      </w:r>
    </w:p>
    <w:p w14:paraId="513AD296" w14:textId="77777777" w:rsidR="007B682B" w:rsidRPr="0098120F" w:rsidRDefault="007B682B">
      <w:pPr>
        <w:pStyle w:val="ListParagraph"/>
        <w:numPr>
          <w:ilvl w:val="0"/>
          <w:numId w:val="2"/>
        </w:numPr>
        <w:spacing w:after="0" w:line="240" w:lineRule="auto"/>
        <w:rPr>
          <w:rFonts w:cstheme="minorHAnsi"/>
          <w:sz w:val="22"/>
          <w:szCs w:val="22"/>
          <w:lang w:val="mi-NZ"/>
        </w:rPr>
      </w:pPr>
      <w:r w:rsidRPr="0098120F">
        <w:rPr>
          <w:rFonts w:cstheme="minorHAnsi"/>
          <w:sz w:val="22"/>
          <w:szCs w:val="22"/>
          <w:lang w:val="mi-NZ"/>
        </w:rPr>
        <w:t>Government response to the Report of the Welfare Expert Advisory Group.</w:t>
      </w:r>
      <w:r w:rsidRPr="0098120F">
        <w:rPr>
          <w:rStyle w:val="FootnoteReference"/>
          <w:rFonts w:cstheme="minorHAnsi"/>
          <w:sz w:val="22"/>
          <w:szCs w:val="22"/>
          <w:lang w:val="mi-NZ"/>
        </w:rPr>
        <w:footnoteReference w:id="48"/>
      </w:r>
    </w:p>
    <w:p w14:paraId="58AD968A" w14:textId="77777777" w:rsidR="007B682B" w:rsidRPr="0098120F" w:rsidRDefault="007B682B">
      <w:pPr>
        <w:pStyle w:val="ListParagraph"/>
        <w:numPr>
          <w:ilvl w:val="0"/>
          <w:numId w:val="2"/>
        </w:numPr>
        <w:spacing w:after="0" w:line="240" w:lineRule="auto"/>
        <w:rPr>
          <w:rFonts w:cstheme="minorHAnsi"/>
          <w:sz w:val="22"/>
          <w:szCs w:val="22"/>
          <w:lang w:val="mi-NZ"/>
        </w:rPr>
      </w:pPr>
      <w:r w:rsidRPr="0098120F">
        <w:rPr>
          <w:rFonts w:cstheme="minorHAnsi"/>
          <w:sz w:val="22"/>
          <w:szCs w:val="22"/>
          <w:lang w:val="mi-NZ"/>
        </w:rPr>
        <w:t>Housing crisis impact on children and the consideration given to children in response.</w:t>
      </w:r>
      <w:r w:rsidRPr="0098120F">
        <w:rPr>
          <w:rStyle w:val="FootnoteReference"/>
          <w:rFonts w:cstheme="minorHAnsi"/>
          <w:sz w:val="22"/>
          <w:szCs w:val="22"/>
          <w:lang w:val="mi-NZ"/>
        </w:rPr>
        <w:footnoteReference w:id="49"/>
      </w:r>
    </w:p>
    <w:p w14:paraId="16750201" w14:textId="77777777" w:rsidR="007B682B" w:rsidRPr="0098120F" w:rsidRDefault="007B682B">
      <w:pPr>
        <w:pStyle w:val="ListParagraph"/>
        <w:numPr>
          <w:ilvl w:val="0"/>
          <w:numId w:val="2"/>
        </w:numPr>
        <w:spacing w:after="0" w:line="240" w:lineRule="auto"/>
        <w:rPr>
          <w:rFonts w:cstheme="minorHAnsi"/>
          <w:sz w:val="22"/>
          <w:szCs w:val="22"/>
          <w:lang w:val="mi-NZ"/>
        </w:rPr>
      </w:pPr>
      <w:r w:rsidRPr="0098120F">
        <w:rPr>
          <w:rFonts w:cstheme="minorHAnsi"/>
          <w:sz w:val="22"/>
          <w:szCs w:val="22"/>
          <w:lang w:val="mi-NZ"/>
        </w:rPr>
        <w:t>Pressures within, and changes to, the health system, including a deepening child mental health crisis.</w:t>
      </w:r>
      <w:r w:rsidRPr="0098120F">
        <w:rPr>
          <w:rStyle w:val="FootnoteReference"/>
          <w:rFonts w:cstheme="minorHAnsi"/>
          <w:sz w:val="22"/>
          <w:szCs w:val="22"/>
          <w:lang w:val="mi-NZ"/>
        </w:rPr>
        <w:footnoteReference w:id="50"/>
      </w:r>
    </w:p>
    <w:p w14:paraId="21DA99FC" w14:textId="77777777" w:rsidR="007B682B" w:rsidRPr="0098120F" w:rsidRDefault="007B682B">
      <w:pPr>
        <w:pStyle w:val="ListParagraph"/>
        <w:numPr>
          <w:ilvl w:val="0"/>
          <w:numId w:val="2"/>
        </w:numPr>
        <w:spacing w:after="0" w:line="240" w:lineRule="auto"/>
        <w:rPr>
          <w:rFonts w:cstheme="minorHAnsi"/>
          <w:sz w:val="22"/>
          <w:szCs w:val="22"/>
          <w:lang w:val="mi-NZ"/>
        </w:rPr>
      </w:pPr>
      <w:r w:rsidRPr="0098120F">
        <w:rPr>
          <w:rFonts w:cstheme="minorHAnsi"/>
          <w:sz w:val="22"/>
          <w:szCs w:val="22"/>
          <w:lang w:val="mi-NZ"/>
        </w:rPr>
        <w:t>Changes in the disability system.</w:t>
      </w:r>
      <w:r w:rsidRPr="0098120F">
        <w:rPr>
          <w:rStyle w:val="FootnoteReference"/>
          <w:rFonts w:cstheme="minorHAnsi"/>
          <w:sz w:val="22"/>
          <w:szCs w:val="22"/>
          <w:lang w:val="mi-NZ"/>
        </w:rPr>
        <w:footnoteReference w:id="51"/>
      </w:r>
    </w:p>
    <w:p w14:paraId="5A52262C" w14:textId="77777777" w:rsidR="007B682B" w:rsidRPr="0098120F" w:rsidRDefault="007B682B">
      <w:pPr>
        <w:pStyle w:val="ListParagraph"/>
        <w:numPr>
          <w:ilvl w:val="0"/>
          <w:numId w:val="2"/>
        </w:numPr>
        <w:spacing w:after="0" w:line="240" w:lineRule="auto"/>
        <w:rPr>
          <w:rFonts w:cstheme="minorHAnsi"/>
          <w:sz w:val="22"/>
          <w:szCs w:val="22"/>
          <w:lang w:val="mi-NZ"/>
        </w:rPr>
      </w:pPr>
      <w:r w:rsidRPr="0098120F">
        <w:rPr>
          <w:rFonts w:cstheme="minorHAnsi"/>
          <w:sz w:val="22"/>
          <w:szCs w:val="22"/>
          <w:lang w:val="mi-NZ"/>
        </w:rPr>
        <w:t>A statutory framework to guide reduction of carbon emissions and establish a Climate Commission.</w:t>
      </w:r>
      <w:r w:rsidRPr="0098120F">
        <w:rPr>
          <w:rStyle w:val="FootnoteReference"/>
          <w:rFonts w:cstheme="minorHAnsi"/>
          <w:sz w:val="22"/>
          <w:szCs w:val="22"/>
          <w:lang w:val="mi-NZ"/>
        </w:rPr>
        <w:footnoteReference w:id="52"/>
      </w:r>
    </w:p>
    <w:p w14:paraId="1C8F46B8" w14:textId="77777777" w:rsidR="007B682B" w:rsidRPr="0098120F" w:rsidRDefault="007B682B">
      <w:pPr>
        <w:pStyle w:val="ListParagraph"/>
        <w:numPr>
          <w:ilvl w:val="0"/>
          <w:numId w:val="2"/>
        </w:numPr>
        <w:spacing w:after="0" w:line="240" w:lineRule="auto"/>
        <w:rPr>
          <w:rFonts w:cstheme="minorHAnsi"/>
          <w:sz w:val="22"/>
          <w:szCs w:val="22"/>
          <w:lang w:val="mi-NZ"/>
        </w:rPr>
      </w:pPr>
      <w:r w:rsidRPr="0098120F">
        <w:rPr>
          <w:rFonts w:cstheme="minorHAnsi"/>
          <w:sz w:val="22"/>
          <w:szCs w:val="22"/>
          <w:lang w:val="mi-NZ"/>
        </w:rPr>
        <w:t>Changes to public media.</w:t>
      </w:r>
      <w:r w:rsidRPr="0098120F">
        <w:rPr>
          <w:rStyle w:val="FootnoteReference"/>
          <w:rFonts w:cstheme="minorHAnsi"/>
          <w:sz w:val="22"/>
          <w:szCs w:val="22"/>
          <w:lang w:val="mi-NZ"/>
        </w:rPr>
        <w:footnoteReference w:id="53"/>
      </w:r>
    </w:p>
    <w:p w14:paraId="3F98C76D" w14:textId="77777777" w:rsidR="007B682B" w:rsidRPr="0098120F" w:rsidRDefault="007B682B">
      <w:pPr>
        <w:pStyle w:val="ListParagraph"/>
        <w:numPr>
          <w:ilvl w:val="0"/>
          <w:numId w:val="2"/>
        </w:numPr>
        <w:spacing w:after="0" w:line="240" w:lineRule="auto"/>
        <w:rPr>
          <w:rFonts w:cstheme="minorHAnsi"/>
          <w:sz w:val="22"/>
          <w:szCs w:val="22"/>
          <w:lang w:val="mi-NZ"/>
        </w:rPr>
      </w:pPr>
      <w:r w:rsidRPr="0098120F">
        <w:rPr>
          <w:rFonts w:cstheme="minorHAnsi"/>
          <w:sz w:val="22"/>
          <w:szCs w:val="22"/>
          <w:lang w:val="mi-NZ"/>
        </w:rPr>
        <w:t>Changes in Education.</w:t>
      </w:r>
      <w:r w:rsidRPr="0098120F">
        <w:rPr>
          <w:rStyle w:val="FootnoteReference"/>
          <w:rFonts w:cstheme="minorHAnsi"/>
          <w:sz w:val="22"/>
          <w:szCs w:val="22"/>
          <w:lang w:val="mi-NZ"/>
        </w:rPr>
        <w:footnoteReference w:id="54"/>
      </w:r>
    </w:p>
    <w:p w14:paraId="63277E7B" w14:textId="77777777" w:rsidR="007B682B" w:rsidRPr="0098120F" w:rsidRDefault="007B682B">
      <w:pPr>
        <w:pStyle w:val="ListParagraph"/>
        <w:numPr>
          <w:ilvl w:val="0"/>
          <w:numId w:val="2"/>
        </w:numPr>
        <w:spacing w:after="0" w:line="240" w:lineRule="auto"/>
        <w:rPr>
          <w:rFonts w:cstheme="minorHAnsi"/>
          <w:sz w:val="22"/>
          <w:szCs w:val="22"/>
          <w:lang w:val="mi-NZ"/>
        </w:rPr>
      </w:pPr>
      <w:r w:rsidRPr="0098120F">
        <w:rPr>
          <w:rFonts w:cstheme="minorHAnsi"/>
          <w:sz w:val="22"/>
          <w:szCs w:val="22"/>
          <w:lang w:val="mi-NZ"/>
        </w:rPr>
        <w:t>Family Court review.</w:t>
      </w:r>
      <w:r w:rsidRPr="0098120F">
        <w:rPr>
          <w:rStyle w:val="FootnoteReference"/>
          <w:rFonts w:cstheme="minorHAnsi"/>
          <w:sz w:val="22"/>
          <w:szCs w:val="22"/>
          <w:lang w:val="mi-NZ"/>
        </w:rPr>
        <w:footnoteReference w:id="55"/>
      </w:r>
    </w:p>
    <w:p w14:paraId="7D2C255F" w14:textId="77777777" w:rsidR="007B682B" w:rsidRPr="0098120F" w:rsidRDefault="007B682B">
      <w:pPr>
        <w:pStyle w:val="ListParagraph"/>
        <w:numPr>
          <w:ilvl w:val="0"/>
          <w:numId w:val="2"/>
        </w:numPr>
        <w:spacing w:after="0" w:line="240" w:lineRule="auto"/>
        <w:rPr>
          <w:rFonts w:cstheme="minorHAnsi"/>
          <w:sz w:val="22"/>
          <w:szCs w:val="22"/>
          <w:lang w:val="mi-NZ"/>
        </w:rPr>
      </w:pPr>
      <w:r w:rsidRPr="0098120F">
        <w:rPr>
          <w:rFonts w:cstheme="minorHAnsi"/>
          <w:sz w:val="22"/>
          <w:szCs w:val="22"/>
          <w:lang w:val="mi-NZ"/>
        </w:rPr>
        <w:t>Review of electoral law, including proposals to lower the voting age.</w:t>
      </w:r>
      <w:r w:rsidRPr="0098120F">
        <w:rPr>
          <w:rStyle w:val="FootnoteReference"/>
          <w:rFonts w:cstheme="minorHAnsi"/>
          <w:sz w:val="22"/>
          <w:szCs w:val="22"/>
          <w:lang w:val="mi-NZ"/>
        </w:rPr>
        <w:footnoteReference w:id="56"/>
      </w:r>
    </w:p>
    <w:p w14:paraId="21A2B4E9" w14:textId="77777777" w:rsidR="007B682B" w:rsidRPr="0098120F" w:rsidRDefault="007B682B">
      <w:pPr>
        <w:pStyle w:val="ListParagraph"/>
        <w:numPr>
          <w:ilvl w:val="0"/>
          <w:numId w:val="2"/>
        </w:numPr>
        <w:spacing w:after="0" w:line="240" w:lineRule="auto"/>
        <w:rPr>
          <w:rFonts w:cstheme="minorHAnsi"/>
          <w:sz w:val="22"/>
          <w:szCs w:val="22"/>
          <w:lang w:val="mi-NZ"/>
        </w:rPr>
      </w:pPr>
      <w:r w:rsidRPr="0098120F">
        <w:rPr>
          <w:rFonts w:cstheme="minorHAnsi"/>
          <w:sz w:val="22"/>
          <w:szCs w:val="22"/>
          <w:lang w:val="mi-NZ"/>
        </w:rPr>
        <w:t>New civil and criminal pathways to ban conversion practices.</w:t>
      </w:r>
      <w:r w:rsidRPr="0098120F">
        <w:rPr>
          <w:rStyle w:val="FootnoteReference"/>
          <w:rFonts w:cstheme="minorHAnsi"/>
          <w:sz w:val="22"/>
          <w:szCs w:val="22"/>
          <w:lang w:val="mi-NZ"/>
        </w:rPr>
        <w:footnoteReference w:id="57"/>
      </w:r>
      <w:r w:rsidRPr="0098120F">
        <w:rPr>
          <w:rFonts w:cstheme="minorHAnsi"/>
          <w:sz w:val="22"/>
          <w:szCs w:val="22"/>
          <w:lang w:val="mi-NZ"/>
        </w:rPr>
        <w:t xml:space="preserve"> </w:t>
      </w:r>
    </w:p>
    <w:p w14:paraId="246A7A4E" w14:textId="563E02E1" w:rsidR="00C64578" w:rsidRDefault="00C64578" w:rsidP="00C64578">
      <w:pPr>
        <w:rPr>
          <w:rFonts w:cstheme="minorHAnsi"/>
          <w:sz w:val="22"/>
          <w:szCs w:val="22"/>
          <w:lang w:val="mi-NZ"/>
        </w:rPr>
      </w:pPr>
    </w:p>
    <w:p w14:paraId="240152EC" w14:textId="624E5046" w:rsidR="00C64578" w:rsidRPr="00B316A8" w:rsidRDefault="00C64578" w:rsidP="00B316A8">
      <w:pPr>
        <w:pStyle w:val="Heading2"/>
        <w:rPr>
          <w:lang w:val="mi-NZ"/>
        </w:rPr>
      </w:pPr>
      <w:bookmarkStart w:id="9" w:name="_Toc111485437"/>
      <w:r w:rsidRPr="00E7687D">
        <w:rPr>
          <w:lang w:val="mi-NZ"/>
        </w:rPr>
        <w:t>Impact of COVID-19</w:t>
      </w:r>
      <w:bookmarkEnd w:id="9"/>
    </w:p>
    <w:p w14:paraId="6DECCB92" w14:textId="589E9C17" w:rsidR="007B682B" w:rsidRDefault="007B682B" w:rsidP="007B682B">
      <w:pPr>
        <w:pStyle w:val="ListParagraph"/>
        <w:rPr>
          <w:rFonts w:cstheme="minorHAnsi"/>
          <w:sz w:val="22"/>
          <w:szCs w:val="22"/>
          <w:lang w:val="mi-NZ"/>
        </w:rPr>
      </w:pPr>
    </w:p>
    <w:p w14:paraId="6F9749D4" w14:textId="77777777" w:rsidR="00DA7899" w:rsidRPr="00E714C0" w:rsidRDefault="00DA7899" w:rsidP="00E714C0">
      <w:pPr>
        <w:ind w:left="720"/>
        <w:rPr>
          <w:rFonts w:cstheme="minorHAnsi"/>
          <w:i/>
          <w:iCs/>
          <w:sz w:val="22"/>
          <w:szCs w:val="22"/>
          <w:lang w:val="mi-NZ"/>
        </w:rPr>
      </w:pPr>
      <w:r w:rsidRPr="00E714C0">
        <w:rPr>
          <w:rFonts w:cstheme="minorHAnsi"/>
          <w:i/>
          <w:iCs/>
          <w:sz w:val="22"/>
          <w:szCs w:val="22"/>
          <w:lang w:val="mi-NZ"/>
        </w:rPr>
        <w:t>I will remember how bored I got in the lockdown, not playing with friends is the thing I will remember the most.</w:t>
      </w:r>
      <w:r w:rsidRPr="00E714C0">
        <w:rPr>
          <w:rStyle w:val="FootnoteReference"/>
          <w:rFonts w:cstheme="minorHAnsi"/>
          <w:color w:val="251F23"/>
          <w:sz w:val="22"/>
          <w:szCs w:val="22"/>
        </w:rPr>
        <w:footnoteReference w:id="58"/>
      </w:r>
    </w:p>
    <w:p w14:paraId="57D70994" w14:textId="77777777" w:rsidR="00DA7899" w:rsidRDefault="00DA7899" w:rsidP="007B682B">
      <w:pPr>
        <w:pStyle w:val="ListParagraph"/>
        <w:rPr>
          <w:rFonts w:cstheme="minorHAnsi"/>
          <w:sz w:val="22"/>
          <w:szCs w:val="22"/>
          <w:lang w:val="mi-NZ"/>
        </w:rPr>
      </w:pPr>
    </w:p>
    <w:p w14:paraId="3961D624" w14:textId="690E332B" w:rsidR="00C64578" w:rsidRPr="00B316A8" w:rsidRDefault="000860B3" w:rsidP="00C64578">
      <w:pPr>
        <w:pStyle w:val="ListParagraph"/>
        <w:numPr>
          <w:ilvl w:val="0"/>
          <w:numId w:val="9"/>
        </w:numPr>
        <w:ind w:hanging="720"/>
        <w:rPr>
          <w:rFonts w:cstheme="minorHAnsi"/>
          <w:sz w:val="22"/>
          <w:szCs w:val="22"/>
          <w:lang w:val="mi-NZ"/>
        </w:rPr>
      </w:pPr>
      <w:r w:rsidRPr="00C64578">
        <w:rPr>
          <w:rFonts w:cstheme="minorHAnsi"/>
          <w:sz w:val="22"/>
          <w:szCs w:val="22"/>
          <w:lang w:val="mi-NZ"/>
        </w:rPr>
        <w:t xml:space="preserve">We refer the Committee to the Alliance’s supplementary information on COVID-19 (available </w:t>
      </w:r>
      <w:r>
        <w:fldChar w:fldCharType="begin"/>
      </w:r>
      <w:r>
        <w:instrText xml:space="preserve"> HYPERLINK "https://www.childrensrightsalliance.org.nz/" </w:instrText>
      </w:r>
      <w:r>
        <w:fldChar w:fldCharType="separate"/>
      </w:r>
      <w:r w:rsidRPr="00C64578">
        <w:rPr>
          <w:rStyle w:val="Hyperlink"/>
          <w:rFonts w:eastAsiaTheme="majorEastAsia" w:cstheme="minorHAnsi"/>
          <w:sz w:val="22"/>
          <w:szCs w:val="22"/>
          <w:lang w:val="mi-NZ"/>
        </w:rPr>
        <w:t>here</w:t>
      </w:r>
      <w:r>
        <w:rPr>
          <w:rStyle w:val="Hyperlink"/>
          <w:rFonts w:eastAsiaTheme="majorEastAsia" w:cstheme="minorHAnsi"/>
          <w:sz w:val="22"/>
          <w:szCs w:val="22"/>
          <w:lang w:val="mi-NZ"/>
        </w:rPr>
        <w:fldChar w:fldCharType="end"/>
      </w:r>
      <w:r w:rsidRPr="00C64578">
        <w:rPr>
          <w:rStyle w:val="Hyperlink"/>
          <w:rFonts w:eastAsiaTheme="majorEastAsia" w:cstheme="minorHAnsi"/>
          <w:sz w:val="22"/>
          <w:szCs w:val="22"/>
          <w:lang w:val="mi-NZ"/>
        </w:rPr>
        <w:t>)</w:t>
      </w:r>
      <w:r w:rsidRPr="00C64578">
        <w:rPr>
          <w:rFonts w:cstheme="minorHAnsi"/>
          <w:sz w:val="22"/>
          <w:szCs w:val="22"/>
          <w:lang w:val="mi-NZ"/>
        </w:rPr>
        <w:t xml:space="preserve"> and the CMG report “</w:t>
      </w:r>
      <w:r>
        <w:fldChar w:fldCharType="begin"/>
      </w:r>
      <w:r>
        <w:instrText xml:space="preserve"> HYPERLINK "https://www.occ.org.nz/publications/reports/childrens-rights-in-covid19/" </w:instrText>
      </w:r>
      <w:r>
        <w:fldChar w:fldCharType="separate"/>
      </w:r>
      <w:r w:rsidRPr="00C64578">
        <w:rPr>
          <w:rStyle w:val="Hyperlink"/>
          <w:rFonts w:eastAsiaTheme="majorEastAsia" w:cstheme="minorHAnsi"/>
          <w:sz w:val="22"/>
          <w:szCs w:val="22"/>
          <w:lang w:val="mi-NZ"/>
        </w:rPr>
        <w:t>Children’s Rights in the Covid-19 response.”</w:t>
      </w:r>
      <w:r>
        <w:rPr>
          <w:rStyle w:val="Hyperlink"/>
          <w:rFonts w:eastAsiaTheme="majorEastAsia" w:cstheme="minorHAnsi"/>
          <w:sz w:val="22"/>
          <w:szCs w:val="22"/>
          <w:lang w:val="mi-NZ"/>
        </w:rPr>
        <w:fldChar w:fldCharType="end"/>
      </w:r>
      <w:r w:rsidRPr="00C64578">
        <w:rPr>
          <w:rFonts w:cstheme="minorHAnsi"/>
          <w:sz w:val="22"/>
          <w:szCs w:val="22"/>
          <w:lang w:val="mi-NZ"/>
        </w:rPr>
        <w:t xml:space="preserve"> </w:t>
      </w:r>
    </w:p>
    <w:p w14:paraId="4537FE40" w14:textId="77777777" w:rsidR="00C64578" w:rsidRPr="00C64578" w:rsidRDefault="000860B3">
      <w:pPr>
        <w:pStyle w:val="ListParagraph"/>
        <w:numPr>
          <w:ilvl w:val="0"/>
          <w:numId w:val="9"/>
        </w:numPr>
        <w:ind w:hanging="720"/>
        <w:rPr>
          <w:rFonts w:cstheme="minorHAnsi"/>
          <w:sz w:val="22"/>
          <w:szCs w:val="22"/>
          <w:lang w:val="mi-NZ"/>
        </w:rPr>
      </w:pPr>
      <w:r w:rsidRPr="00C64578">
        <w:rPr>
          <w:rFonts w:cstheme="minorHAnsi"/>
          <w:sz w:val="22"/>
          <w:szCs w:val="22"/>
          <w:lang w:val="mi-NZ"/>
        </w:rPr>
        <w:lastRenderedPageBreak/>
        <w:t xml:space="preserve">The impact of COVID-19 on children has varied, reflecting the diversity of childhood experiences in Aotearoa. The pandemic has highlighted and exacerbated some pre-existing inequities. </w:t>
      </w:r>
      <w:r w:rsidRPr="00C64578">
        <w:rPr>
          <w:rFonts w:cstheme="minorHAnsi"/>
          <w:color w:val="251F23"/>
          <w:sz w:val="22"/>
          <w:szCs w:val="22"/>
        </w:rPr>
        <w:t xml:space="preserve">For example, children in care reported feeling especially isolated, with face-to-face visits with family and social workers replaced by phone contact. As Shakira, a care-experienced young person shared about lockdown in 2020: </w:t>
      </w:r>
      <w:r w:rsidRPr="00C64578">
        <w:rPr>
          <w:rFonts w:cstheme="minorHAnsi"/>
          <w:i/>
          <w:iCs/>
          <w:color w:val="251F23"/>
          <w:sz w:val="22"/>
          <w:szCs w:val="22"/>
        </w:rPr>
        <w:t>“Well, isolation for me felt like being on home detention</w:t>
      </w:r>
      <w:r w:rsidRPr="00C64578">
        <w:rPr>
          <w:rFonts w:cstheme="minorHAnsi"/>
          <w:color w:val="251F23"/>
          <w:sz w:val="22"/>
          <w:szCs w:val="22"/>
        </w:rPr>
        <w:t>.”</w:t>
      </w:r>
      <w:r w:rsidRPr="0098120F">
        <w:rPr>
          <w:rStyle w:val="FootnoteReference"/>
          <w:rFonts w:cstheme="minorHAnsi"/>
          <w:color w:val="251F23"/>
          <w:sz w:val="22"/>
          <w:szCs w:val="22"/>
        </w:rPr>
        <w:footnoteReference w:id="59"/>
      </w:r>
      <w:r w:rsidRPr="00C64578">
        <w:rPr>
          <w:rFonts w:cstheme="minorHAnsi"/>
          <w:color w:val="251F23"/>
          <w:sz w:val="22"/>
          <w:szCs w:val="22"/>
        </w:rPr>
        <w:t xml:space="preserve"> Lockdowns limited family and </w:t>
      </w:r>
      <w:proofErr w:type="spellStart"/>
      <w:r w:rsidRPr="00C64578">
        <w:rPr>
          <w:rFonts w:cstheme="minorHAnsi"/>
          <w:color w:val="251F23"/>
          <w:sz w:val="22"/>
          <w:szCs w:val="22"/>
        </w:rPr>
        <w:t>whānau</w:t>
      </w:r>
      <w:proofErr w:type="spellEnd"/>
      <w:r w:rsidRPr="00C64578">
        <w:rPr>
          <w:rFonts w:cstheme="minorHAnsi"/>
          <w:color w:val="251F23"/>
          <w:sz w:val="22"/>
          <w:szCs w:val="22"/>
        </w:rPr>
        <w:t xml:space="preserve"> contact with social service and child protection supports, including for children in family harm situations.</w:t>
      </w:r>
      <w:r w:rsidRPr="0098120F">
        <w:rPr>
          <w:rStyle w:val="FootnoteReference"/>
          <w:rFonts w:cstheme="minorHAnsi"/>
          <w:color w:val="251F23"/>
          <w:sz w:val="22"/>
          <w:szCs w:val="22"/>
        </w:rPr>
        <w:footnoteReference w:id="60"/>
      </w:r>
      <w:r w:rsidRPr="00C64578">
        <w:rPr>
          <w:rFonts w:cstheme="minorHAnsi"/>
          <w:color w:val="251F23"/>
          <w:sz w:val="22"/>
          <w:szCs w:val="22"/>
        </w:rPr>
        <w:t xml:space="preserve"> Economic shocks due to employment loss during the nationwide lockdowns impacted most significantly on low-income households.</w:t>
      </w:r>
      <w:r w:rsidRPr="0098120F">
        <w:rPr>
          <w:rStyle w:val="FootnoteReference"/>
          <w:rFonts w:cstheme="minorHAnsi"/>
          <w:color w:val="251F23"/>
          <w:sz w:val="22"/>
          <w:szCs w:val="22"/>
        </w:rPr>
        <w:footnoteReference w:id="61"/>
      </w:r>
      <w:r w:rsidRPr="00C64578">
        <w:rPr>
          <w:rFonts w:cstheme="minorHAnsi"/>
          <w:color w:val="251F23"/>
          <w:sz w:val="22"/>
          <w:szCs w:val="22"/>
        </w:rPr>
        <w:t xml:space="preserve"> The pandemic also highlighted digital inequities impacting on children.</w:t>
      </w:r>
      <w:r w:rsidRPr="0098120F">
        <w:rPr>
          <w:rStyle w:val="FootnoteReference"/>
          <w:rFonts w:cstheme="minorHAnsi"/>
          <w:color w:val="251F23"/>
          <w:sz w:val="22"/>
          <w:szCs w:val="22"/>
        </w:rPr>
        <w:footnoteReference w:id="62"/>
      </w:r>
    </w:p>
    <w:p w14:paraId="1021C721" w14:textId="77777777" w:rsidR="00C64578" w:rsidRPr="00C64578" w:rsidRDefault="00C64578" w:rsidP="00C64578">
      <w:pPr>
        <w:pStyle w:val="ListParagraph"/>
        <w:rPr>
          <w:rFonts w:cstheme="minorHAnsi"/>
          <w:color w:val="251F23"/>
          <w:sz w:val="22"/>
          <w:szCs w:val="22"/>
        </w:rPr>
      </w:pPr>
    </w:p>
    <w:p w14:paraId="6AAA67BB" w14:textId="66069FDA" w:rsidR="00C64578" w:rsidRPr="00C64578" w:rsidRDefault="000860B3">
      <w:pPr>
        <w:pStyle w:val="ListParagraph"/>
        <w:numPr>
          <w:ilvl w:val="0"/>
          <w:numId w:val="9"/>
        </w:numPr>
        <w:ind w:hanging="720"/>
        <w:rPr>
          <w:rFonts w:cstheme="minorHAnsi"/>
          <w:sz w:val="22"/>
          <w:szCs w:val="22"/>
          <w:lang w:val="mi-NZ"/>
        </w:rPr>
      </w:pPr>
      <w:r w:rsidRPr="00C64578">
        <w:rPr>
          <w:rFonts w:cstheme="minorHAnsi"/>
          <w:color w:val="251F23"/>
          <w:sz w:val="22"/>
          <w:szCs w:val="22"/>
        </w:rPr>
        <w:t xml:space="preserve">More broadly, </w:t>
      </w:r>
      <w:r w:rsidRPr="00C64578">
        <w:rPr>
          <w:rFonts w:cstheme="minorHAnsi"/>
          <w:sz w:val="22"/>
          <w:szCs w:val="22"/>
          <w:lang w:val="mi-NZ"/>
        </w:rPr>
        <w:t>for some children, the pandemic and multiple stresses of lockdowns created new impacts on their rights, such as disconnection from education</w:t>
      </w:r>
      <w:r w:rsidRPr="0098120F">
        <w:rPr>
          <w:rStyle w:val="FootnoteReference"/>
          <w:rFonts w:cstheme="minorHAnsi"/>
          <w:sz w:val="22"/>
          <w:szCs w:val="22"/>
          <w:lang w:val="mi-NZ"/>
        </w:rPr>
        <w:footnoteReference w:id="63"/>
      </w:r>
      <w:r w:rsidRPr="00C64578">
        <w:rPr>
          <w:rFonts w:cstheme="minorHAnsi"/>
          <w:sz w:val="22"/>
          <w:szCs w:val="22"/>
          <w:lang w:val="mi-NZ"/>
        </w:rPr>
        <w:t xml:space="preserve"> and poor mental health (including anxiety, self-harm and eating disorders).</w:t>
      </w:r>
      <w:r w:rsidRPr="0098120F">
        <w:rPr>
          <w:rStyle w:val="FootnoteReference"/>
          <w:rFonts w:cstheme="minorHAnsi"/>
          <w:sz w:val="22"/>
          <w:szCs w:val="22"/>
          <w:lang w:val="mi-NZ"/>
        </w:rPr>
        <w:footnoteReference w:id="64"/>
      </w:r>
      <w:r w:rsidRPr="00C64578">
        <w:rPr>
          <w:rFonts w:cstheme="minorHAnsi"/>
          <w:sz w:val="22"/>
          <w:szCs w:val="22"/>
          <w:lang w:val="mi-NZ"/>
        </w:rPr>
        <w:t xml:space="preserve"> </w:t>
      </w:r>
      <w:r w:rsidRPr="00C64578">
        <w:rPr>
          <w:rFonts w:cstheme="minorHAnsi"/>
          <w:color w:val="000000" w:themeColor="text1"/>
          <w:sz w:val="22"/>
          <w:szCs w:val="22"/>
        </w:rPr>
        <w:t xml:space="preserve">What’s Up, a </w:t>
      </w:r>
      <w:r w:rsidRPr="00C64578">
        <w:rPr>
          <w:rFonts w:cstheme="minorHAnsi"/>
          <w:color w:val="000000" w:themeColor="text1"/>
          <w:sz w:val="22"/>
          <w:szCs w:val="22"/>
          <w:lang w:val="mi-NZ"/>
        </w:rPr>
        <w:t>n</w:t>
      </w:r>
      <w:r w:rsidRPr="00C64578">
        <w:rPr>
          <w:rFonts w:cstheme="minorHAnsi"/>
          <w:sz w:val="22"/>
          <w:szCs w:val="22"/>
          <w:lang w:val="mi-NZ"/>
        </w:rPr>
        <w:t>ational children’s helpline, reported many children facing barriers to reach</w:t>
      </w:r>
      <w:r w:rsidR="008F4638">
        <w:rPr>
          <w:rFonts w:cstheme="minorHAnsi"/>
          <w:sz w:val="22"/>
          <w:szCs w:val="22"/>
          <w:lang w:val="mi-NZ"/>
        </w:rPr>
        <w:t>ing</w:t>
      </w:r>
      <w:r w:rsidRPr="00C64578">
        <w:rPr>
          <w:rFonts w:cstheme="minorHAnsi"/>
          <w:sz w:val="22"/>
          <w:szCs w:val="22"/>
          <w:lang w:val="mi-NZ"/>
        </w:rPr>
        <w:t xml:space="preserve"> out for help during lockdown, including children saying they were experiencing a loss of privacy from being at home with family all day.</w:t>
      </w:r>
      <w:r w:rsidRPr="0098120F">
        <w:rPr>
          <w:rStyle w:val="FootnoteReference"/>
          <w:rFonts w:cstheme="minorHAnsi"/>
          <w:sz w:val="22"/>
          <w:szCs w:val="22"/>
          <w:lang w:val="mi-NZ"/>
        </w:rPr>
        <w:footnoteReference w:id="65"/>
      </w:r>
      <w:r w:rsidRPr="00C64578">
        <w:rPr>
          <w:rFonts w:cstheme="minorHAnsi"/>
          <w:sz w:val="22"/>
          <w:szCs w:val="22"/>
          <w:lang w:val="mi-NZ"/>
        </w:rPr>
        <w:t xml:space="preserve"> We</w:t>
      </w:r>
      <w:proofErr w:type="spellStart"/>
      <w:r w:rsidRPr="00C64578">
        <w:rPr>
          <w:rFonts w:cstheme="minorHAnsi"/>
          <w:color w:val="000000"/>
          <w:sz w:val="22"/>
          <w:szCs w:val="22"/>
        </w:rPr>
        <w:t>bchats</w:t>
      </w:r>
      <w:proofErr w:type="spellEnd"/>
      <w:r w:rsidRPr="00C64578">
        <w:rPr>
          <w:rFonts w:cstheme="minorHAnsi"/>
          <w:color w:val="000000"/>
          <w:sz w:val="22"/>
          <w:szCs w:val="22"/>
        </w:rPr>
        <w:t xml:space="preserve"> to the helpline regarding family relationships </w:t>
      </w:r>
      <w:r w:rsidRPr="00C64578">
        <w:rPr>
          <w:rFonts w:cstheme="minorHAnsi"/>
          <w:color w:val="000000"/>
          <w:sz w:val="22"/>
          <w:szCs w:val="22"/>
        </w:rPr>
        <w:lastRenderedPageBreak/>
        <w:t>increased 65% from February to March 2020</w:t>
      </w:r>
      <w:r w:rsidRPr="0098120F">
        <w:rPr>
          <w:rStyle w:val="FootnoteReference"/>
          <w:rFonts w:cstheme="minorHAnsi"/>
          <w:color w:val="000000"/>
          <w:sz w:val="22"/>
          <w:szCs w:val="22"/>
        </w:rPr>
        <w:footnoteReference w:id="66"/>
      </w:r>
      <w:r w:rsidRPr="00C64578">
        <w:rPr>
          <w:rFonts w:cstheme="minorHAnsi"/>
          <w:color w:val="000000"/>
          <w:sz w:val="22"/>
          <w:szCs w:val="22"/>
        </w:rPr>
        <w:t xml:space="preserve"> (the initial nationwide lockdown period), indicating that family stresses were a significant part of the lockdown experience for many children.</w:t>
      </w:r>
    </w:p>
    <w:p w14:paraId="265A71BD" w14:textId="77777777" w:rsidR="00C64578" w:rsidRPr="00C64578" w:rsidRDefault="00C64578" w:rsidP="00C64578">
      <w:pPr>
        <w:pStyle w:val="ListParagraph"/>
        <w:rPr>
          <w:rFonts w:cstheme="minorHAnsi"/>
          <w:sz w:val="22"/>
          <w:szCs w:val="22"/>
          <w:lang w:val="mi-NZ"/>
        </w:rPr>
      </w:pPr>
    </w:p>
    <w:p w14:paraId="4CC48907" w14:textId="037D3782" w:rsidR="00C64578" w:rsidRDefault="000860B3">
      <w:pPr>
        <w:pStyle w:val="ListParagraph"/>
        <w:numPr>
          <w:ilvl w:val="0"/>
          <w:numId w:val="9"/>
        </w:numPr>
        <w:ind w:hanging="720"/>
        <w:rPr>
          <w:rFonts w:cstheme="minorHAnsi"/>
          <w:sz w:val="22"/>
          <w:szCs w:val="22"/>
          <w:lang w:val="mi-NZ"/>
        </w:rPr>
      </w:pPr>
      <w:r w:rsidRPr="00C64578">
        <w:rPr>
          <w:rFonts w:cstheme="minorHAnsi"/>
          <w:sz w:val="22"/>
          <w:szCs w:val="22"/>
          <w:lang w:val="mi-NZ"/>
        </w:rPr>
        <w:t xml:space="preserve">Although the full impacts are ongoing and not yet fully understood, it is clear children were, and remain, in certain respects, active participants in Aotearoa’s pandemic response. This included children’s contributions to nationally stamping out the virus in 2020: </w:t>
      </w:r>
    </w:p>
    <w:p w14:paraId="7674DA97" w14:textId="77777777" w:rsidR="00C64578" w:rsidRPr="00C64578" w:rsidRDefault="00C64578" w:rsidP="00C64578">
      <w:pPr>
        <w:pStyle w:val="ListParagraph"/>
        <w:rPr>
          <w:rFonts w:cstheme="minorHAnsi"/>
          <w:sz w:val="22"/>
          <w:szCs w:val="22"/>
          <w:lang w:val="mi-NZ"/>
        </w:rPr>
      </w:pPr>
    </w:p>
    <w:p w14:paraId="75C73623" w14:textId="190DFCF1" w:rsidR="00C64578" w:rsidRPr="00C64578" w:rsidRDefault="00C64578" w:rsidP="00E714C0">
      <w:pPr>
        <w:ind w:left="720"/>
        <w:rPr>
          <w:rFonts w:cstheme="minorHAnsi"/>
          <w:sz w:val="22"/>
          <w:szCs w:val="22"/>
        </w:rPr>
      </w:pPr>
      <w:r w:rsidRPr="0098120F">
        <w:rPr>
          <w:rFonts w:cstheme="minorHAnsi"/>
          <w:i/>
          <w:iCs/>
          <w:sz w:val="22"/>
          <w:szCs w:val="22"/>
          <w:lang w:val="mi-NZ"/>
        </w:rPr>
        <w:t xml:space="preserve">In short, the children we spoke with reavealed to us their natural ability to survive and thrive. They reinforced our view that children can and do learn capably and with agency in their childhood worlds. Alone and with the support of family and </w:t>
      </w:r>
      <w:proofErr w:type="spellStart"/>
      <w:r w:rsidRPr="0098120F">
        <w:rPr>
          <w:rFonts w:cstheme="minorHAnsi"/>
          <w:i/>
          <w:iCs/>
          <w:sz w:val="22"/>
          <w:szCs w:val="22"/>
        </w:rPr>
        <w:t>whānau</w:t>
      </w:r>
      <w:proofErr w:type="spellEnd"/>
      <w:r w:rsidRPr="0098120F">
        <w:rPr>
          <w:rFonts w:cstheme="minorHAnsi"/>
          <w:i/>
          <w:iCs/>
          <w:sz w:val="22"/>
          <w:szCs w:val="22"/>
        </w:rPr>
        <w:t>, children can and do create the necessary conditions for learning in challenging times</w:t>
      </w:r>
      <w:r w:rsidRPr="0098120F">
        <w:rPr>
          <w:rFonts w:cstheme="minorHAnsi"/>
          <w:sz w:val="22"/>
          <w:szCs w:val="22"/>
        </w:rPr>
        <w:t>.</w:t>
      </w:r>
      <w:r w:rsidRPr="0098120F">
        <w:rPr>
          <w:rStyle w:val="FootnoteReference"/>
          <w:rFonts w:cstheme="minorHAnsi"/>
          <w:sz w:val="22"/>
          <w:szCs w:val="22"/>
        </w:rPr>
        <w:footnoteReference w:id="67"/>
      </w:r>
      <w:r w:rsidRPr="0098120F">
        <w:rPr>
          <w:rFonts w:cstheme="minorHAnsi"/>
          <w:sz w:val="22"/>
          <w:szCs w:val="22"/>
        </w:rPr>
        <w:t xml:space="preserve"> </w:t>
      </w:r>
    </w:p>
    <w:p w14:paraId="2AC9B473" w14:textId="77777777" w:rsidR="00C64578" w:rsidRPr="00C64578" w:rsidRDefault="00C64578" w:rsidP="00C64578">
      <w:pPr>
        <w:pStyle w:val="ListParagraph"/>
        <w:rPr>
          <w:rFonts w:cstheme="minorHAnsi"/>
          <w:sz w:val="22"/>
          <w:szCs w:val="22"/>
          <w:lang w:val="mi-NZ"/>
        </w:rPr>
      </w:pPr>
    </w:p>
    <w:p w14:paraId="140C465C" w14:textId="375DFF9E" w:rsidR="000860B3" w:rsidRPr="003263A6" w:rsidRDefault="000860B3">
      <w:pPr>
        <w:pStyle w:val="ListParagraph"/>
        <w:numPr>
          <w:ilvl w:val="0"/>
          <w:numId w:val="9"/>
        </w:numPr>
        <w:ind w:hanging="720"/>
        <w:rPr>
          <w:rFonts w:cstheme="minorHAnsi"/>
          <w:sz w:val="22"/>
          <w:szCs w:val="22"/>
          <w:lang w:val="mi-NZ"/>
        </w:rPr>
      </w:pPr>
      <w:r w:rsidRPr="00C64578">
        <w:rPr>
          <w:rFonts w:cstheme="minorHAnsi"/>
          <w:sz w:val="22"/>
          <w:szCs w:val="22"/>
          <w:lang w:val="mi-NZ"/>
        </w:rPr>
        <w:t xml:space="preserve">The Children’s Commissioner </w:t>
      </w:r>
      <w:r w:rsidRPr="00C64578">
        <w:rPr>
          <w:rFonts w:cstheme="minorHAnsi"/>
          <w:sz w:val="22"/>
          <w:szCs w:val="22"/>
        </w:rPr>
        <w:t xml:space="preserve">asked children how they had experienced lockdowns and noted both </w:t>
      </w:r>
      <w:r w:rsidRPr="00C64578">
        <w:rPr>
          <w:rFonts w:cstheme="minorHAnsi"/>
          <w:color w:val="251F23"/>
          <w:sz w:val="22"/>
          <w:szCs w:val="22"/>
        </w:rPr>
        <w:t>positive and negative impacts:</w:t>
      </w:r>
      <w:r w:rsidRPr="0098120F">
        <w:rPr>
          <w:rStyle w:val="FootnoteReference"/>
          <w:rFonts w:cstheme="minorHAnsi"/>
          <w:sz w:val="22"/>
          <w:szCs w:val="22"/>
        </w:rPr>
        <w:footnoteReference w:id="68"/>
      </w:r>
    </w:p>
    <w:p w14:paraId="2C240FA4" w14:textId="7E78C5BD" w:rsidR="003263A6" w:rsidRDefault="003263A6" w:rsidP="003263A6">
      <w:pPr>
        <w:pStyle w:val="ListParagraph"/>
        <w:rPr>
          <w:rFonts w:cstheme="minorHAnsi"/>
          <w:color w:val="251F23"/>
          <w:sz w:val="22"/>
          <w:szCs w:val="22"/>
        </w:rPr>
      </w:pPr>
    </w:p>
    <w:p w14:paraId="0D557EF6" w14:textId="77777777" w:rsidR="003263A6" w:rsidRPr="0098120F" w:rsidRDefault="003263A6" w:rsidP="003263A6">
      <w:pPr>
        <w:pStyle w:val="ListParagraph"/>
        <w:numPr>
          <w:ilvl w:val="0"/>
          <w:numId w:val="8"/>
        </w:numPr>
        <w:autoSpaceDE w:val="0"/>
        <w:autoSpaceDN w:val="0"/>
        <w:adjustRightInd w:val="0"/>
        <w:spacing w:after="0" w:line="240" w:lineRule="auto"/>
        <w:rPr>
          <w:rFonts w:cstheme="minorHAnsi"/>
          <w:color w:val="251F23"/>
          <w:sz w:val="22"/>
          <w:szCs w:val="22"/>
        </w:rPr>
      </w:pPr>
      <w:r w:rsidRPr="0098120F">
        <w:rPr>
          <w:rFonts w:cstheme="minorHAnsi"/>
          <w:color w:val="251F23"/>
          <w:sz w:val="22"/>
          <w:szCs w:val="22"/>
        </w:rPr>
        <w:t>Relationships are critical: the impact of lockdown on relationships with friends and family, both positive and negative, were significant.</w:t>
      </w:r>
    </w:p>
    <w:p w14:paraId="23F46D53" w14:textId="77777777" w:rsidR="003263A6" w:rsidRPr="0098120F" w:rsidRDefault="003263A6" w:rsidP="003263A6">
      <w:pPr>
        <w:pStyle w:val="ListParagraph"/>
        <w:numPr>
          <w:ilvl w:val="0"/>
          <w:numId w:val="8"/>
        </w:numPr>
        <w:autoSpaceDE w:val="0"/>
        <w:autoSpaceDN w:val="0"/>
        <w:adjustRightInd w:val="0"/>
        <w:spacing w:after="0" w:line="240" w:lineRule="auto"/>
        <w:rPr>
          <w:rFonts w:cstheme="minorHAnsi"/>
          <w:color w:val="251F23"/>
          <w:sz w:val="22"/>
          <w:szCs w:val="22"/>
        </w:rPr>
      </w:pPr>
      <w:r w:rsidRPr="0098120F">
        <w:rPr>
          <w:rFonts w:cstheme="minorHAnsi"/>
          <w:color w:val="251F23"/>
          <w:sz w:val="22"/>
          <w:szCs w:val="22"/>
        </w:rPr>
        <w:t>Children enjoyed having control over their time, having more free time, and having opportunities for new activities.</w:t>
      </w:r>
    </w:p>
    <w:p w14:paraId="7312C757" w14:textId="77777777" w:rsidR="003263A6" w:rsidRPr="0098120F" w:rsidRDefault="003263A6" w:rsidP="003263A6">
      <w:pPr>
        <w:pStyle w:val="ListParagraph"/>
        <w:numPr>
          <w:ilvl w:val="0"/>
          <w:numId w:val="8"/>
        </w:numPr>
        <w:autoSpaceDE w:val="0"/>
        <w:autoSpaceDN w:val="0"/>
        <w:adjustRightInd w:val="0"/>
        <w:spacing w:after="0" w:line="240" w:lineRule="auto"/>
        <w:rPr>
          <w:rFonts w:cstheme="minorHAnsi"/>
          <w:color w:val="251F23"/>
          <w:sz w:val="22"/>
          <w:szCs w:val="22"/>
        </w:rPr>
      </w:pPr>
      <w:r w:rsidRPr="0098120F">
        <w:rPr>
          <w:rFonts w:cstheme="minorHAnsi"/>
          <w:color w:val="251F23"/>
          <w:sz w:val="22"/>
          <w:szCs w:val="22"/>
        </w:rPr>
        <w:t>The changing nature of education during lockdown was unsettling for some and regarded as an opportunity for independence by others.</w:t>
      </w:r>
    </w:p>
    <w:p w14:paraId="7A46E894" w14:textId="77FFB971" w:rsidR="003263A6" w:rsidRPr="003263A6" w:rsidRDefault="003263A6" w:rsidP="003263A6">
      <w:pPr>
        <w:pStyle w:val="ListParagraph"/>
        <w:numPr>
          <w:ilvl w:val="0"/>
          <w:numId w:val="8"/>
        </w:numPr>
        <w:autoSpaceDE w:val="0"/>
        <w:autoSpaceDN w:val="0"/>
        <w:adjustRightInd w:val="0"/>
        <w:spacing w:after="0" w:line="240" w:lineRule="auto"/>
        <w:rPr>
          <w:rFonts w:cstheme="minorHAnsi"/>
          <w:color w:val="251F23"/>
          <w:sz w:val="22"/>
          <w:szCs w:val="22"/>
        </w:rPr>
      </w:pPr>
      <w:r w:rsidRPr="0098120F">
        <w:rPr>
          <w:rFonts w:cstheme="minorHAnsi"/>
          <w:color w:val="251F23"/>
          <w:sz w:val="22"/>
          <w:szCs w:val="22"/>
        </w:rPr>
        <w:t>Improvements in wellbeing varied across the children the Commissioner heard from.</w:t>
      </w:r>
    </w:p>
    <w:p w14:paraId="7D4E4A67" w14:textId="77777777" w:rsidR="009F3397" w:rsidRPr="009F3397" w:rsidRDefault="009F3397" w:rsidP="009F3397">
      <w:pPr>
        <w:pStyle w:val="ListParagraph"/>
        <w:rPr>
          <w:rFonts w:cstheme="minorHAnsi"/>
          <w:sz w:val="22"/>
          <w:szCs w:val="22"/>
          <w:lang w:val="mi-NZ"/>
        </w:rPr>
      </w:pPr>
    </w:p>
    <w:p w14:paraId="06F8A9FF" w14:textId="21E5E0CA" w:rsidR="009F3397" w:rsidRDefault="009F3397">
      <w:pPr>
        <w:pStyle w:val="ListParagraph"/>
        <w:numPr>
          <w:ilvl w:val="0"/>
          <w:numId w:val="9"/>
        </w:numPr>
        <w:ind w:hanging="720"/>
        <w:rPr>
          <w:rFonts w:cstheme="minorHAnsi"/>
          <w:sz w:val="22"/>
          <w:szCs w:val="22"/>
          <w:lang w:val="mi-NZ"/>
        </w:rPr>
      </w:pPr>
      <w:r w:rsidRPr="009F3397">
        <w:rPr>
          <w:rFonts w:cstheme="minorHAnsi"/>
          <w:sz w:val="22"/>
          <w:szCs w:val="22"/>
          <w:lang w:val="mi-NZ"/>
        </w:rPr>
        <w:t>Children in Auckland experienced more lockdown time than children in other parts Aotearoa. For them, this meant:</w:t>
      </w:r>
    </w:p>
    <w:p w14:paraId="0AED6D64" w14:textId="518A5E28" w:rsidR="003263A6" w:rsidRDefault="003263A6" w:rsidP="003263A6">
      <w:pPr>
        <w:pStyle w:val="ListParagraph"/>
        <w:rPr>
          <w:rFonts w:cstheme="minorHAnsi"/>
          <w:sz w:val="22"/>
          <w:szCs w:val="22"/>
          <w:lang w:val="mi-NZ"/>
        </w:rPr>
      </w:pPr>
    </w:p>
    <w:p w14:paraId="0F3DAF75" w14:textId="48BD471C" w:rsidR="003263A6" w:rsidRDefault="003263A6" w:rsidP="003263A6">
      <w:pPr>
        <w:pStyle w:val="ListParagraph"/>
        <w:numPr>
          <w:ilvl w:val="0"/>
          <w:numId w:val="5"/>
        </w:numPr>
        <w:spacing w:after="0" w:line="240" w:lineRule="auto"/>
        <w:rPr>
          <w:rFonts w:cstheme="minorHAnsi"/>
          <w:sz w:val="22"/>
          <w:szCs w:val="22"/>
          <w:lang w:val="mi-NZ"/>
        </w:rPr>
      </w:pPr>
      <w:r w:rsidRPr="003263A6">
        <w:rPr>
          <w:rFonts w:cstheme="minorHAnsi"/>
          <w:sz w:val="22"/>
          <w:szCs w:val="22"/>
          <w:lang w:val="mi-NZ"/>
        </w:rPr>
        <w:t>Lack of access to daycare: for some children, more than 100 days of no access, strain on parents and lack of access to play with other children and ECE development.</w:t>
      </w:r>
      <w:r w:rsidR="00DA7899" w:rsidRPr="00E7687D">
        <w:rPr>
          <w:rStyle w:val="FootnoteReference"/>
          <w:rFonts w:cstheme="minorHAnsi"/>
          <w:color w:val="000000"/>
        </w:rPr>
        <w:footnoteReference w:id="69"/>
      </w:r>
    </w:p>
    <w:p w14:paraId="4C80E169" w14:textId="77777777" w:rsidR="003263A6" w:rsidRPr="0098120F" w:rsidRDefault="003263A6" w:rsidP="003263A6">
      <w:pPr>
        <w:pStyle w:val="ListParagraph"/>
        <w:numPr>
          <w:ilvl w:val="0"/>
          <w:numId w:val="5"/>
        </w:numPr>
        <w:spacing w:after="0" w:line="240" w:lineRule="auto"/>
        <w:rPr>
          <w:rFonts w:cstheme="minorHAnsi"/>
          <w:sz w:val="22"/>
          <w:szCs w:val="22"/>
          <w:lang w:val="mi-NZ"/>
        </w:rPr>
      </w:pPr>
      <w:r w:rsidRPr="0098120F">
        <w:rPr>
          <w:rFonts w:cstheme="minorHAnsi"/>
          <w:sz w:val="22"/>
          <w:szCs w:val="22"/>
          <w:lang w:val="mi-NZ"/>
        </w:rPr>
        <w:lastRenderedPageBreak/>
        <w:t>More time learning from home with risks of disconnection from education,</w:t>
      </w:r>
      <w:r w:rsidRPr="0098120F">
        <w:rPr>
          <w:rStyle w:val="FootnoteReference"/>
          <w:rFonts w:cstheme="minorHAnsi"/>
          <w:color w:val="000000"/>
          <w:sz w:val="22"/>
          <w:szCs w:val="22"/>
        </w:rPr>
        <w:footnoteReference w:id="70"/>
      </w:r>
      <w:r w:rsidRPr="0098120F">
        <w:rPr>
          <w:rFonts w:cstheme="minorHAnsi"/>
          <w:sz w:val="22"/>
          <w:szCs w:val="22"/>
          <w:lang w:val="mi-NZ"/>
        </w:rPr>
        <w:t xml:space="preserve"> friends,</w:t>
      </w:r>
      <w:r w:rsidRPr="0098120F">
        <w:rPr>
          <w:rFonts w:cstheme="minorHAnsi"/>
          <w:color w:val="000000"/>
          <w:sz w:val="22"/>
          <w:szCs w:val="22"/>
        </w:rPr>
        <w:t xml:space="preserve"> </w:t>
      </w:r>
      <w:r w:rsidRPr="0098120F">
        <w:rPr>
          <w:rFonts w:cstheme="minorHAnsi"/>
          <w:sz w:val="22"/>
          <w:szCs w:val="22"/>
          <w:lang w:val="mi-NZ"/>
        </w:rPr>
        <w:t>sports and cultural activities.</w:t>
      </w:r>
    </w:p>
    <w:p w14:paraId="0754650C" w14:textId="77777777" w:rsidR="003263A6" w:rsidRPr="0098120F" w:rsidRDefault="003263A6" w:rsidP="003263A6">
      <w:pPr>
        <w:pStyle w:val="ListParagraph"/>
        <w:numPr>
          <w:ilvl w:val="0"/>
          <w:numId w:val="5"/>
        </w:numPr>
        <w:spacing w:after="0" w:line="240" w:lineRule="auto"/>
        <w:rPr>
          <w:rFonts w:cstheme="minorHAnsi"/>
          <w:sz w:val="22"/>
          <w:szCs w:val="22"/>
          <w:lang w:val="mi-NZ"/>
        </w:rPr>
      </w:pPr>
      <w:r w:rsidRPr="0098120F">
        <w:rPr>
          <w:rFonts w:cstheme="minorHAnsi"/>
          <w:sz w:val="22"/>
          <w:szCs w:val="22"/>
          <w:lang w:val="mi-NZ"/>
        </w:rPr>
        <w:t>Young people leaving school to work to help support their families, or disappearing from the education system long-term, for unexplained reasons.</w:t>
      </w:r>
      <w:r w:rsidRPr="0098120F">
        <w:rPr>
          <w:rStyle w:val="FootnoteReference"/>
          <w:rFonts w:cstheme="minorHAnsi"/>
          <w:sz w:val="22"/>
          <w:szCs w:val="22"/>
          <w:lang w:val="mi-NZ"/>
        </w:rPr>
        <w:footnoteReference w:id="71"/>
      </w:r>
    </w:p>
    <w:p w14:paraId="4BB5200D" w14:textId="77777777" w:rsidR="003263A6" w:rsidRPr="0098120F" w:rsidRDefault="003263A6" w:rsidP="003263A6">
      <w:pPr>
        <w:pStyle w:val="ListParagraph"/>
        <w:numPr>
          <w:ilvl w:val="0"/>
          <w:numId w:val="5"/>
        </w:numPr>
        <w:spacing w:after="0" w:line="240" w:lineRule="auto"/>
        <w:rPr>
          <w:rFonts w:cstheme="minorHAnsi"/>
          <w:sz w:val="22"/>
          <w:szCs w:val="22"/>
          <w:lang w:val="mi-NZ"/>
        </w:rPr>
      </w:pPr>
      <w:r w:rsidRPr="0098120F">
        <w:rPr>
          <w:rFonts w:cstheme="minorHAnsi"/>
          <w:sz w:val="22"/>
          <w:szCs w:val="22"/>
          <w:lang w:val="mi-NZ"/>
        </w:rPr>
        <w:t>Higher levels of material hardship, resulting in increased use of foodbanks and other supports.</w:t>
      </w:r>
      <w:r w:rsidRPr="0098120F">
        <w:rPr>
          <w:rStyle w:val="FootnoteReference"/>
          <w:rFonts w:cstheme="minorHAnsi"/>
          <w:sz w:val="22"/>
          <w:szCs w:val="22"/>
          <w:lang w:val="mi-NZ"/>
        </w:rPr>
        <w:footnoteReference w:id="72"/>
      </w:r>
    </w:p>
    <w:p w14:paraId="5BAA7286" w14:textId="77777777" w:rsidR="003263A6" w:rsidRPr="00937774" w:rsidRDefault="003263A6" w:rsidP="00937774">
      <w:pPr>
        <w:rPr>
          <w:rFonts w:cstheme="minorHAnsi"/>
          <w:sz w:val="22"/>
          <w:szCs w:val="22"/>
          <w:lang w:val="mi-NZ"/>
        </w:rPr>
      </w:pPr>
    </w:p>
    <w:p w14:paraId="622D50EB" w14:textId="1C4A539A" w:rsidR="003263A6" w:rsidRDefault="003263A6" w:rsidP="003263A6">
      <w:pPr>
        <w:pStyle w:val="ListParagraph"/>
        <w:numPr>
          <w:ilvl w:val="0"/>
          <w:numId w:val="9"/>
        </w:numPr>
        <w:ind w:hanging="720"/>
        <w:rPr>
          <w:rFonts w:cstheme="minorHAnsi"/>
          <w:sz w:val="22"/>
          <w:szCs w:val="22"/>
          <w:lang w:val="mi-NZ"/>
        </w:rPr>
      </w:pPr>
      <w:r>
        <w:rPr>
          <w:rFonts w:cstheme="minorHAnsi"/>
          <w:sz w:val="22"/>
          <w:szCs w:val="22"/>
          <w:lang w:val="mi-NZ"/>
        </w:rPr>
        <w:t xml:space="preserve">The full impact of </w:t>
      </w:r>
      <w:r w:rsidRPr="003263A6">
        <w:rPr>
          <w:rFonts w:cstheme="minorHAnsi"/>
          <w:sz w:val="22"/>
          <w:szCs w:val="22"/>
          <w:lang w:val="mi-NZ"/>
        </w:rPr>
        <w:t>the pandemic on Aotearoa’s children is still being realised, and is ongoing, which raises several issues</w:t>
      </w:r>
      <w:r w:rsidR="00803A18">
        <w:rPr>
          <w:rFonts w:cstheme="minorHAnsi"/>
          <w:sz w:val="22"/>
          <w:szCs w:val="22"/>
          <w:lang w:val="mi-NZ"/>
        </w:rPr>
        <w:t>:</w:t>
      </w:r>
    </w:p>
    <w:p w14:paraId="6C05084E" w14:textId="181C8F2D" w:rsidR="00803A18" w:rsidRDefault="00803A18" w:rsidP="00803A18">
      <w:pPr>
        <w:pStyle w:val="ListParagraph"/>
        <w:rPr>
          <w:rFonts w:cstheme="minorHAnsi"/>
          <w:sz w:val="22"/>
          <w:szCs w:val="22"/>
          <w:lang w:val="mi-NZ"/>
        </w:rPr>
      </w:pPr>
    </w:p>
    <w:p w14:paraId="1468806F" w14:textId="77777777" w:rsidR="00803A18" w:rsidRPr="0098120F" w:rsidRDefault="00803A18" w:rsidP="00803A18">
      <w:pPr>
        <w:pStyle w:val="ListParagraph"/>
        <w:numPr>
          <w:ilvl w:val="0"/>
          <w:numId w:val="6"/>
        </w:numPr>
        <w:spacing w:after="0" w:line="240" w:lineRule="auto"/>
        <w:rPr>
          <w:rFonts w:cstheme="minorHAnsi"/>
          <w:sz w:val="22"/>
          <w:szCs w:val="22"/>
          <w:lang w:val="mi-NZ"/>
        </w:rPr>
      </w:pPr>
      <w:r w:rsidRPr="0098120F">
        <w:rPr>
          <w:rFonts w:cstheme="minorHAnsi"/>
          <w:sz w:val="22"/>
          <w:szCs w:val="22"/>
          <w:lang w:val="mi-NZ"/>
        </w:rPr>
        <w:t>The importance of communities (with supports and food supplies being delivered locally) to children’s rights and wellbeing.</w:t>
      </w:r>
      <w:r w:rsidRPr="0098120F">
        <w:rPr>
          <w:rStyle w:val="FootnoteReference"/>
          <w:rFonts w:cstheme="minorHAnsi"/>
          <w:sz w:val="22"/>
          <w:szCs w:val="22"/>
          <w:lang w:val="mi-NZ"/>
        </w:rPr>
        <w:footnoteReference w:id="73"/>
      </w:r>
      <w:r w:rsidRPr="0098120F">
        <w:rPr>
          <w:rFonts w:cstheme="minorHAnsi"/>
          <w:sz w:val="22"/>
          <w:szCs w:val="22"/>
          <w:lang w:val="mi-NZ"/>
        </w:rPr>
        <w:t xml:space="preserve"> </w:t>
      </w:r>
      <w:r w:rsidRPr="0098120F">
        <w:rPr>
          <w:rFonts w:cstheme="minorHAnsi"/>
          <w:color w:val="000000"/>
          <w:sz w:val="22"/>
          <w:szCs w:val="22"/>
        </w:rPr>
        <w:t xml:space="preserve">Children connected to wider </w:t>
      </w:r>
      <w:proofErr w:type="spellStart"/>
      <w:r w:rsidRPr="0098120F">
        <w:rPr>
          <w:rFonts w:cstheme="minorHAnsi"/>
          <w:color w:val="000000"/>
          <w:sz w:val="22"/>
          <w:szCs w:val="22"/>
        </w:rPr>
        <w:t>whānau</w:t>
      </w:r>
      <w:proofErr w:type="spellEnd"/>
      <w:r w:rsidRPr="0098120F">
        <w:rPr>
          <w:rFonts w:cstheme="minorHAnsi"/>
          <w:color w:val="000000"/>
          <w:sz w:val="22"/>
          <w:szCs w:val="22"/>
        </w:rPr>
        <w:t xml:space="preserve"> during lockdowns fared better than those limited to single family bubbles.</w:t>
      </w:r>
    </w:p>
    <w:p w14:paraId="0813CD09" w14:textId="77777777" w:rsidR="00803A18" w:rsidRPr="0098120F" w:rsidRDefault="00803A18" w:rsidP="00803A18">
      <w:pPr>
        <w:pStyle w:val="ListParagraph"/>
        <w:numPr>
          <w:ilvl w:val="0"/>
          <w:numId w:val="6"/>
        </w:numPr>
        <w:spacing w:after="0" w:line="240" w:lineRule="auto"/>
        <w:rPr>
          <w:rFonts w:cstheme="minorHAnsi"/>
          <w:sz w:val="22"/>
          <w:szCs w:val="22"/>
          <w:lang w:val="mi-NZ"/>
        </w:rPr>
      </w:pPr>
      <w:r w:rsidRPr="0098120F">
        <w:rPr>
          <w:rFonts w:cstheme="minorHAnsi"/>
          <w:sz w:val="22"/>
          <w:szCs w:val="22"/>
          <w:lang w:val="mi-NZ"/>
        </w:rPr>
        <w:t>Reports of increased levels of violence.</w:t>
      </w:r>
      <w:r w:rsidRPr="0098120F">
        <w:rPr>
          <w:rStyle w:val="FootnoteReference"/>
          <w:rFonts w:cstheme="minorHAnsi"/>
          <w:sz w:val="22"/>
          <w:szCs w:val="22"/>
          <w:lang w:val="mi-NZ"/>
        </w:rPr>
        <w:footnoteReference w:id="74"/>
      </w:r>
      <w:r w:rsidRPr="0098120F">
        <w:rPr>
          <w:rFonts w:cstheme="minorHAnsi"/>
          <w:sz w:val="22"/>
          <w:szCs w:val="22"/>
          <w:lang w:val="mi-NZ"/>
        </w:rPr>
        <w:t xml:space="preserve"> </w:t>
      </w:r>
    </w:p>
    <w:p w14:paraId="7AAD9A46" w14:textId="77777777" w:rsidR="00803A18" w:rsidRPr="0098120F" w:rsidRDefault="00803A18" w:rsidP="00803A18">
      <w:pPr>
        <w:pStyle w:val="ListParagraph"/>
        <w:numPr>
          <w:ilvl w:val="0"/>
          <w:numId w:val="6"/>
        </w:numPr>
        <w:spacing w:after="0" w:line="240" w:lineRule="auto"/>
        <w:rPr>
          <w:rFonts w:cstheme="minorHAnsi"/>
          <w:sz w:val="22"/>
          <w:szCs w:val="22"/>
          <w:lang w:val="mi-NZ"/>
        </w:rPr>
      </w:pPr>
      <w:r w:rsidRPr="0098120F">
        <w:rPr>
          <w:rFonts w:cstheme="minorHAnsi"/>
          <w:sz w:val="22"/>
          <w:szCs w:val="22"/>
          <w:lang w:val="mi-NZ"/>
        </w:rPr>
        <w:t>Increases in the numbers of students not attending or missing from school.</w:t>
      </w:r>
      <w:r w:rsidRPr="0098120F">
        <w:rPr>
          <w:rStyle w:val="FootnoteReference"/>
          <w:rFonts w:cstheme="minorHAnsi"/>
          <w:sz w:val="22"/>
          <w:szCs w:val="22"/>
          <w:lang w:val="mi-NZ"/>
        </w:rPr>
        <w:footnoteReference w:id="75"/>
      </w:r>
      <w:r w:rsidRPr="0098120F">
        <w:rPr>
          <w:rFonts w:cstheme="minorHAnsi"/>
          <w:sz w:val="22"/>
          <w:szCs w:val="22"/>
          <w:lang w:val="mi-NZ"/>
        </w:rPr>
        <w:t xml:space="preserve">  </w:t>
      </w:r>
    </w:p>
    <w:p w14:paraId="71045E9F" w14:textId="77777777" w:rsidR="00803A18" w:rsidRPr="0098120F" w:rsidRDefault="00803A18" w:rsidP="00803A18">
      <w:pPr>
        <w:pStyle w:val="ListParagraph"/>
        <w:numPr>
          <w:ilvl w:val="0"/>
          <w:numId w:val="6"/>
        </w:numPr>
        <w:spacing w:after="0" w:line="240" w:lineRule="auto"/>
        <w:rPr>
          <w:rFonts w:cstheme="minorHAnsi"/>
          <w:sz w:val="22"/>
          <w:szCs w:val="22"/>
          <w:lang w:val="mi-NZ"/>
        </w:rPr>
      </w:pPr>
      <w:r w:rsidRPr="0098120F">
        <w:rPr>
          <w:rFonts w:cstheme="minorHAnsi"/>
          <w:sz w:val="22"/>
          <w:szCs w:val="22"/>
          <w:lang w:val="mi-NZ"/>
        </w:rPr>
        <w:t>The ongoing long-tail mental health impacts on children.</w:t>
      </w:r>
      <w:r w:rsidRPr="0098120F">
        <w:rPr>
          <w:rStyle w:val="FootnoteReference"/>
          <w:rFonts w:cstheme="minorHAnsi"/>
          <w:sz w:val="22"/>
          <w:szCs w:val="22"/>
          <w:lang w:val="mi-NZ"/>
        </w:rPr>
        <w:footnoteReference w:id="76"/>
      </w:r>
    </w:p>
    <w:p w14:paraId="4FAEE8E1" w14:textId="77777777" w:rsidR="00803A18" w:rsidRPr="0098120F" w:rsidRDefault="00803A18" w:rsidP="00803A18">
      <w:pPr>
        <w:pStyle w:val="ListParagraph"/>
        <w:numPr>
          <w:ilvl w:val="0"/>
          <w:numId w:val="6"/>
        </w:numPr>
        <w:spacing w:after="0" w:line="240" w:lineRule="auto"/>
        <w:rPr>
          <w:rFonts w:cstheme="minorHAnsi"/>
          <w:sz w:val="22"/>
          <w:szCs w:val="22"/>
          <w:lang w:val="mi-NZ"/>
        </w:rPr>
      </w:pPr>
      <w:r w:rsidRPr="0098120F">
        <w:rPr>
          <w:rFonts w:cstheme="minorHAnsi"/>
          <w:sz w:val="22"/>
          <w:szCs w:val="22"/>
          <w:lang w:val="mi-NZ"/>
        </w:rPr>
        <w:t>Potential long-COVID impacts on children.</w:t>
      </w:r>
      <w:r w:rsidRPr="0098120F">
        <w:rPr>
          <w:rStyle w:val="FootnoteReference"/>
          <w:rFonts w:cstheme="minorHAnsi"/>
          <w:sz w:val="22"/>
          <w:szCs w:val="22"/>
          <w:lang w:val="mi-NZ"/>
        </w:rPr>
        <w:footnoteReference w:id="77"/>
      </w:r>
      <w:r w:rsidRPr="0098120F">
        <w:rPr>
          <w:rFonts w:cstheme="minorHAnsi"/>
          <w:sz w:val="22"/>
          <w:szCs w:val="22"/>
          <w:lang w:val="mi-NZ"/>
        </w:rPr>
        <w:t xml:space="preserve"> </w:t>
      </w:r>
    </w:p>
    <w:p w14:paraId="1AAD681F" w14:textId="77777777" w:rsidR="00803A18" w:rsidRPr="003263A6" w:rsidRDefault="00803A18" w:rsidP="00803A18">
      <w:pPr>
        <w:pStyle w:val="ListParagraph"/>
        <w:rPr>
          <w:rFonts w:cstheme="minorHAnsi"/>
          <w:sz w:val="22"/>
          <w:szCs w:val="22"/>
          <w:lang w:val="mi-NZ"/>
        </w:rPr>
      </w:pPr>
    </w:p>
    <w:p w14:paraId="38010A7D" w14:textId="380B2B79" w:rsidR="00803A18" w:rsidRPr="00803A18" w:rsidRDefault="00803A18" w:rsidP="00803A18">
      <w:pPr>
        <w:pStyle w:val="ListParagraph"/>
        <w:numPr>
          <w:ilvl w:val="0"/>
          <w:numId w:val="9"/>
        </w:numPr>
        <w:ind w:hanging="720"/>
        <w:rPr>
          <w:rFonts w:cstheme="minorHAnsi"/>
          <w:sz w:val="22"/>
          <w:szCs w:val="22"/>
          <w:lang w:val="mi-NZ"/>
        </w:rPr>
      </w:pPr>
      <w:r>
        <w:rPr>
          <w:rFonts w:cstheme="minorHAnsi"/>
          <w:sz w:val="22"/>
          <w:szCs w:val="22"/>
          <w:lang w:val="mi-NZ"/>
        </w:rPr>
        <w:t>We</w:t>
      </w:r>
      <w:r w:rsidRPr="00803A18">
        <w:rPr>
          <w:rFonts w:cstheme="minorHAnsi"/>
          <w:color w:val="000000" w:themeColor="text1"/>
          <w:sz w:val="22"/>
          <w:szCs w:val="22"/>
        </w:rPr>
        <w:t xml:space="preserve"> hope this overview of the situation for children in Aotearoa is helpful to the Committee</w:t>
      </w:r>
      <w:r w:rsidR="00937774">
        <w:rPr>
          <w:rFonts w:cstheme="minorHAnsi"/>
          <w:color w:val="000000" w:themeColor="text1"/>
          <w:sz w:val="22"/>
          <w:szCs w:val="22"/>
        </w:rPr>
        <w:t>,</w:t>
      </w:r>
      <w:r w:rsidRPr="00803A18">
        <w:rPr>
          <w:rFonts w:cstheme="minorHAnsi"/>
          <w:color w:val="000000" w:themeColor="text1"/>
          <w:sz w:val="22"/>
          <w:szCs w:val="22"/>
        </w:rPr>
        <w:t xml:space="preserve"> and now turn to the thematic cluster headings.</w:t>
      </w:r>
    </w:p>
    <w:p w14:paraId="5DC750F4" w14:textId="77777777" w:rsidR="00803A18" w:rsidRPr="00803A18" w:rsidRDefault="00803A18" w:rsidP="00803A18">
      <w:pPr>
        <w:pStyle w:val="ListParagraph"/>
        <w:rPr>
          <w:rFonts w:cstheme="minorHAnsi"/>
          <w:sz w:val="22"/>
          <w:szCs w:val="22"/>
          <w:lang w:val="mi-NZ"/>
        </w:rPr>
      </w:pPr>
    </w:p>
    <w:p w14:paraId="57821753" w14:textId="77777777" w:rsidR="00B316A8" w:rsidRDefault="00B316A8">
      <w:pPr>
        <w:rPr>
          <w:rFonts w:asciiTheme="majorHAnsi" w:eastAsiaTheme="majorEastAsia" w:hAnsiTheme="majorHAnsi" w:cstheme="majorBidi"/>
          <w:b/>
          <w:bCs/>
          <w:color w:val="25409A" w:themeColor="text2"/>
          <w:sz w:val="28"/>
          <w:szCs w:val="28"/>
          <w:lang w:val="mi-NZ"/>
        </w:rPr>
      </w:pPr>
      <w:r>
        <w:rPr>
          <w:lang w:val="mi-NZ"/>
        </w:rPr>
        <w:br w:type="page"/>
      </w:r>
    </w:p>
    <w:p w14:paraId="70CA279A" w14:textId="60CDF021" w:rsidR="003263A6" w:rsidRDefault="00803A18" w:rsidP="00A3002D">
      <w:pPr>
        <w:pStyle w:val="Heading1"/>
        <w:rPr>
          <w:lang w:val="mi-NZ"/>
        </w:rPr>
      </w:pPr>
      <w:bookmarkStart w:id="10" w:name="_Toc111485438"/>
      <w:r>
        <w:rPr>
          <w:lang w:val="mi-NZ"/>
        </w:rPr>
        <w:lastRenderedPageBreak/>
        <w:t xml:space="preserve">General Measures of </w:t>
      </w:r>
      <w:r w:rsidRPr="00A3002D">
        <w:t>Implementation</w:t>
      </w:r>
      <w:bookmarkEnd w:id="10"/>
    </w:p>
    <w:p w14:paraId="4579530E" w14:textId="77777777" w:rsidR="00B43CFC" w:rsidRPr="00B43CFC" w:rsidRDefault="00B43CFC" w:rsidP="00B43CFC">
      <w:pPr>
        <w:rPr>
          <w:lang w:val="mi-NZ"/>
        </w:rPr>
      </w:pPr>
    </w:p>
    <w:p w14:paraId="059F29D8" w14:textId="705CE88D" w:rsidR="003263A6" w:rsidRPr="00B43CFC" w:rsidRDefault="00B43CFC">
      <w:pPr>
        <w:pStyle w:val="ListParagraph"/>
        <w:numPr>
          <w:ilvl w:val="0"/>
          <w:numId w:val="9"/>
        </w:numPr>
        <w:ind w:hanging="720"/>
        <w:rPr>
          <w:rFonts w:cstheme="minorHAnsi"/>
          <w:sz w:val="22"/>
          <w:szCs w:val="22"/>
          <w:lang w:val="mi-NZ"/>
        </w:rPr>
      </w:pPr>
      <w:r w:rsidRPr="00B43CFC">
        <w:rPr>
          <w:rFonts w:cstheme="minorHAnsi"/>
          <w:sz w:val="22"/>
          <w:szCs w:val="22"/>
          <w:lang w:val="en-NZ"/>
        </w:rPr>
        <w:t>Aotearoa needs a much stronger foundation for implementing the CRC. Important steps have been taken, and changes underway are promising, but there remains a long way to go before, as a matter of course, all children are respected and all their rights upheld, in all circumstances.</w:t>
      </w:r>
    </w:p>
    <w:p w14:paraId="283400CC" w14:textId="77777777" w:rsidR="00562C90" w:rsidRDefault="00562C90" w:rsidP="00A3002D">
      <w:pPr>
        <w:pStyle w:val="Heading2"/>
      </w:pPr>
    </w:p>
    <w:p w14:paraId="47A4BCB3" w14:textId="394E4B44" w:rsidR="00B43CFC" w:rsidRPr="009179D6" w:rsidRDefault="00B43CFC" w:rsidP="00A3002D">
      <w:pPr>
        <w:pStyle w:val="Heading2"/>
        <w:rPr>
          <w:rFonts w:asciiTheme="minorHAnsi" w:hAnsiTheme="minorHAnsi" w:cstheme="minorHAnsi"/>
          <w:b w:val="0"/>
          <w:bCs w:val="0"/>
          <w:color w:val="00AE6D" w:themeColor="accent1"/>
          <w:sz w:val="28"/>
          <w:szCs w:val="28"/>
          <w:lang w:val="mi-NZ"/>
        </w:rPr>
      </w:pPr>
      <w:bookmarkStart w:id="11" w:name="_Toc111485439"/>
      <w:r w:rsidRPr="009179D6">
        <w:t xml:space="preserve">Reservations, Legislation, </w:t>
      </w:r>
      <w:proofErr w:type="gramStart"/>
      <w:r w:rsidRPr="009179D6">
        <w:t>Policy</w:t>
      </w:r>
      <w:proofErr w:type="gramEnd"/>
      <w:r w:rsidRPr="009179D6">
        <w:t xml:space="preserve"> and Strategy</w:t>
      </w:r>
      <w:r w:rsidR="00E3646D" w:rsidRPr="009179D6">
        <w:t xml:space="preserve"> - </w:t>
      </w:r>
      <w:r w:rsidR="00E3646D" w:rsidRPr="009179D6">
        <w:rPr>
          <w:rFonts w:asciiTheme="minorHAnsi" w:hAnsiTheme="minorHAnsi" w:cstheme="minorHAnsi"/>
          <w:lang w:val="mi-NZ"/>
        </w:rPr>
        <w:t>LOIPR Question 4</w:t>
      </w:r>
      <w:bookmarkEnd w:id="11"/>
      <w:r w:rsidRPr="009179D6">
        <w:rPr>
          <w:rFonts w:asciiTheme="minorHAnsi" w:hAnsiTheme="minorHAnsi" w:cstheme="minorHAnsi"/>
          <w:color w:val="00AE6D" w:themeColor="accent1"/>
          <w:sz w:val="28"/>
          <w:szCs w:val="28"/>
          <w:lang w:val="mi-NZ"/>
        </w:rPr>
        <w:t xml:space="preserve"> </w:t>
      </w:r>
    </w:p>
    <w:p w14:paraId="15E7F679" w14:textId="77777777" w:rsidR="00B43CFC" w:rsidRPr="009179D6" w:rsidRDefault="00B43CFC" w:rsidP="00B43CFC">
      <w:pPr>
        <w:rPr>
          <w:rFonts w:cstheme="minorHAnsi"/>
          <w:lang w:val="mi-NZ"/>
        </w:rPr>
      </w:pPr>
    </w:p>
    <w:p w14:paraId="7EE73275" w14:textId="224B709A" w:rsidR="00B43CFC" w:rsidRPr="00B43CFC" w:rsidRDefault="00B43CFC" w:rsidP="00A3002D">
      <w:pPr>
        <w:pStyle w:val="Heading3"/>
        <w:rPr>
          <w:lang w:val="mi-NZ"/>
        </w:rPr>
      </w:pPr>
      <w:r w:rsidRPr="009179D6">
        <w:t>Reservations</w:t>
      </w:r>
      <w:r w:rsidR="00E3646D" w:rsidRPr="009179D6">
        <w:t xml:space="preserve"> - </w:t>
      </w:r>
      <w:r w:rsidR="00E3646D" w:rsidRPr="009179D6">
        <w:rPr>
          <w:rFonts w:asciiTheme="minorHAnsi" w:hAnsiTheme="minorHAnsi" w:cstheme="minorHAnsi"/>
          <w:lang w:val="mi-NZ"/>
        </w:rPr>
        <w:t>LOIPR question 4(a)</w:t>
      </w:r>
      <w:r w:rsidRPr="00E3646D">
        <w:rPr>
          <w:lang w:val="mi-NZ"/>
        </w:rPr>
        <w:t xml:space="preserve">  </w:t>
      </w:r>
    </w:p>
    <w:p w14:paraId="37526455" w14:textId="77777777" w:rsidR="00B43CFC" w:rsidRPr="00B43CFC" w:rsidRDefault="00B43CFC" w:rsidP="00B43CFC">
      <w:pPr>
        <w:rPr>
          <w:rFonts w:cstheme="minorHAnsi"/>
          <w:sz w:val="22"/>
          <w:szCs w:val="22"/>
          <w:lang w:val="mi-NZ"/>
        </w:rPr>
      </w:pPr>
    </w:p>
    <w:p w14:paraId="52921F67" w14:textId="7B5556A0" w:rsidR="00B43CFC" w:rsidRDefault="00B43CFC" w:rsidP="00C168DA">
      <w:pPr>
        <w:pStyle w:val="ListParagraph"/>
        <w:numPr>
          <w:ilvl w:val="0"/>
          <w:numId w:val="9"/>
        </w:numPr>
        <w:ind w:hanging="720"/>
        <w:rPr>
          <w:rFonts w:cstheme="minorHAnsi"/>
          <w:sz w:val="22"/>
          <w:szCs w:val="22"/>
          <w:lang w:val="mi-NZ"/>
        </w:rPr>
      </w:pPr>
      <w:r w:rsidRPr="00B43CFC">
        <w:rPr>
          <w:rFonts w:cstheme="minorHAnsi"/>
          <w:sz w:val="22"/>
          <w:szCs w:val="22"/>
          <w:lang w:val="mi-NZ"/>
        </w:rPr>
        <w:t>In 2020, the incoming Labour Government made a manifesto commitment to remove Aotearoa’s CRC reservations. However, the following reservations currently remain in place:</w:t>
      </w:r>
    </w:p>
    <w:p w14:paraId="13E92539" w14:textId="7245C12A" w:rsidR="00B43CFC" w:rsidRDefault="00B43CFC" w:rsidP="00B43CFC">
      <w:pPr>
        <w:pStyle w:val="ListParagraph"/>
        <w:rPr>
          <w:rFonts w:cstheme="minorHAnsi"/>
          <w:sz w:val="22"/>
          <w:szCs w:val="22"/>
          <w:lang w:val="mi-NZ"/>
        </w:rPr>
      </w:pPr>
    </w:p>
    <w:p w14:paraId="31B45000" w14:textId="57072089" w:rsidR="00B43CFC" w:rsidRPr="00937774" w:rsidRDefault="00B43CFC" w:rsidP="00937774">
      <w:pPr>
        <w:pStyle w:val="ListParagraph"/>
        <w:numPr>
          <w:ilvl w:val="0"/>
          <w:numId w:val="10"/>
        </w:numPr>
        <w:spacing w:after="0" w:line="240" w:lineRule="auto"/>
        <w:rPr>
          <w:rFonts w:cstheme="minorHAnsi"/>
          <w:sz w:val="22"/>
          <w:szCs w:val="22"/>
          <w:lang w:val="mi-NZ"/>
        </w:rPr>
      </w:pPr>
      <w:r w:rsidRPr="00B43CFC">
        <w:rPr>
          <w:rFonts w:cstheme="minorHAnsi"/>
          <w:sz w:val="22"/>
          <w:szCs w:val="22"/>
          <w:lang w:val="mi-NZ"/>
        </w:rPr>
        <w:t>The general reservation, which allows some children to be discriminated against, based on their immigration status, limiting their rights and creating confusion about their entitlements .</w:t>
      </w:r>
      <w:r w:rsidRPr="00B43CFC">
        <w:rPr>
          <w:rStyle w:val="FootnoteReference"/>
          <w:rFonts w:cstheme="minorHAnsi"/>
          <w:sz w:val="22"/>
          <w:szCs w:val="22"/>
          <w:lang w:val="mi-NZ"/>
        </w:rPr>
        <w:footnoteReference w:id="78"/>
      </w:r>
      <w:r w:rsidRPr="00B43CFC">
        <w:rPr>
          <w:rStyle w:val="FootnoteReference"/>
          <w:rFonts w:cstheme="minorHAnsi"/>
          <w:color w:val="000000" w:themeColor="text1"/>
          <w:sz w:val="22"/>
          <w:szCs w:val="22"/>
        </w:rPr>
        <w:t xml:space="preserve"> </w:t>
      </w:r>
      <w:r w:rsidRPr="00B43CFC">
        <w:rPr>
          <w:rStyle w:val="FootnoteReference"/>
          <w:rFonts w:cstheme="minorHAnsi"/>
          <w:color w:val="000000" w:themeColor="text1"/>
          <w:sz w:val="22"/>
          <w:szCs w:val="22"/>
        </w:rPr>
        <w:footnoteReference w:id="79"/>
      </w:r>
    </w:p>
    <w:p w14:paraId="2A35825D" w14:textId="47959892" w:rsidR="00B43CFC" w:rsidRPr="00937774" w:rsidRDefault="00B43CFC" w:rsidP="00937774">
      <w:pPr>
        <w:pStyle w:val="ListParagraph"/>
        <w:numPr>
          <w:ilvl w:val="0"/>
          <w:numId w:val="10"/>
        </w:numPr>
        <w:spacing w:after="0" w:line="240" w:lineRule="auto"/>
        <w:rPr>
          <w:rFonts w:cstheme="minorHAnsi"/>
          <w:sz w:val="22"/>
          <w:szCs w:val="22"/>
          <w:lang w:val="mi-NZ"/>
        </w:rPr>
      </w:pPr>
      <w:r w:rsidRPr="00B43CFC">
        <w:rPr>
          <w:rFonts w:cstheme="minorHAnsi"/>
          <w:sz w:val="22"/>
          <w:szCs w:val="22"/>
          <w:lang w:val="mi-NZ"/>
        </w:rPr>
        <w:t>The reservation to Article 32(2) regarding the adequacy of protections for child workers.</w:t>
      </w:r>
      <w:r w:rsidRPr="00B43CFC">
        <w:rPr>
          <w:rStyle w:val="FootnoteReference"/>
          <w:rFonts w:cstheme="minorHAnsi"/>
          <w:sz w:val="22"/>
          <w:szCs w:val="22"/>
          <w:lang w:val="mi-NZ"/>
        </w:rPr>
        <w:footnoteReference w:id="80"/>
      </w:r>
      <w:r w:rsidRPr="00B43CFC">
        <w:rPr>
          <w:rFonts w:cstheme="minorHAnsi"/>
          <w:sz w:val="22"/>
          <w:szCs w:val="22"/>
          <w:lang w:val="mi-NZ"/>
        </w:rPr>
        <w:t xml:space="preserve"> </w:t>
      </w:r>
    </w:p>
    <w:p w14:paraId="61D6F024" w14:textId="77777777" w:rsidR="00B43CFC" w:rsidRPr="00B43CFC" w:rsidRDefault="00B43CFC" w:rsidP="00916EA3">
      <w:pPr>
        <w:pStyle w:val="ListParagraph"/>
        <w:numPr>
          <w:ilvl w:val="0"/>
          <w:numId w:val="10"/>
        </w:numPr>
        <w:spacing w:after="0" w:line="240" w:lineRule="auto"/>
        <w:rPr>
          <w:rFonts w:cstheme="minorHAnsi"/>
          <w:sz w:val="22"/>
          <w:szCs w:val="22"/>
          <w:lang w:val="mi-NZ"/>
        </w:rPr>
      </w:pPr>
      <w:r w:rsidRPr="00B43CFC">
        <w:rPr>
          <w:rFonts w:cstheme="minorHAnsi"/>
          <w:sz w:val="22"/>
          <w:szCs w:val="22"/>
          <w:lang w:val="mi-NZ"/>
        </w:rPr>
        <w:t>The reservation to Article 37 regarding age-mixing in places of detention.</w:t>
      </w:r>
      <w:r w:rsidRPr="00B43CFC">
        <w:rPr>
          <w:rStyle w:val="FootnoteReference"/>
          <w:rFonts w:cstheme="minorHAnsi"/>
          <w:sz w:val="22"/>
          <w:szCs w:val="22"/>
          <w:lang w:val="mi-NZ"/>
        </w:rPr>
        <w:footnoteReference w:id="81"/>
      </w:r>
      <w:r w:rsidRPr="00B43CFC">
        <w:rPr>
          <w:rFonts w:cstheme="minorHAnsi"/>
          <w:sz w:val="22"/>
          <w:szCs w:val="22"/>
          <w:lang w:val="mi-NZ"/>
        </w:rPr>
        <w:t xml:space="preserve"> </w:t>
      </w:r>
    </w:p>
    <w:p w14:paraId="791050B4" w14:textId="21932F54" w:rsidR="00B43CFC" w:rsidRDefault="00B43CFC" w:rsidP="00B43CFC">
      <w:pPr>
        <w:rPr>
          <w:rFonts w:cstheme="minorHAnsi"/>
          <w:sz w:val="22"/>
          <w:szCs w:val="22"/>
          <w:lang w:val="mi-NZ"/>
        </w:rPr>
      </w:pPr>
    </w:p>
    <w:p w14:paraId="5015D8EC" w14:textId="77777777" w:rsidR="00B43CFC" w:rsidRPr="00970A6D" w:rsidRDefault="00B43CFC" w:rsidP="00A3002D">
      <w:pPr>
        <w:pStyle w:val="Heading2"/>
        <w:rPr>
          <w:lang w:val="mi-NZ"/>
        </w:rPr>
      </w:pPr>
      <w:bookmarkStart w:id="12" w:name="_Toc111485440"/>
      <w:r w:rsidRPr="00970A6D">
        <w:rPr>
          <w:lang w:val="mi-NZ"/>
        </w:rPr>
        <w:t>Extension of the CRC to Tokelau</w:t>
      </w:r>
      <w:r w:rsidRPr="00970A6D">
        <w:t xml:space="preserve"> </w:t>
      </w:r>
      <w:r w:rsidRPr="00970A6D">
        <w:rPr>
          <w:lang w:val="mi-NZ"/>
        </w:rPr>
        <w:t>- LOIPR question 4(a)</w:t>
      </w:r>
      <w:bookmarkEnd w:id="12"/>
    </w:p>
    <w:p w14:paraId="268B7BB7" w14:textId="77777777" w:rsidR="00B43CFC" w:rsidRPr="00B43CFC" w:rsidRDefault="00B43CFC" w:rsidP="00B43CFC">
      <w:pPr>
        <w:rPr>
          <w:rFonts w:cstheme="minorHAnsi"/>
          <w:sz w:val="22"/>
          <w:szCs w:val="22"/>
          <w:lang w:val="mi-NZ"/>
        </w:rPr>
      </w:pPr>
    </w:p>
    <w:p w14:paraId="4737D980" w14:textId="530909D7" w:rsidR="00970A6D" w:rsidRDefault="00970A6D" w:rsidP="00970A6D">
      <w:pPr>
        <w:pStyle w:val="ListParagraph"/>
        <w:numPr>
          <w:ilvl w:val="0"/>
          <w:numId w:val="9"/>
        </w:numPr>
        <w:ind w:hanging="720"/>
        <w:rPr>
          <w:rFonts w:cstheme="minorHAnsi"/>
          <w:sz w:val="22"/>
          <w:szCs w:val="22"/>
          <w:lang w:val="mi-NZ"/>
        </w:rPr>
      </w:pPr>
      <w:r w:rsidRPr="00970A6D">
        <w:rPr>
          <w:rFonts w:cstheme="minorHAnsi"/>
          <w:sz w:val="22"/>
          <w:szCs w:val="22"/>
          <w:lang w:val="mi-NZ"/>
        </w:rPr>
        <w:t>The CRC has not been extended to Tokelau.</w:t>
      </w:r>
      <w:r w:rsidRPr="00970A6D">
        <w:rPr>
          <w:rFonts w:cstheme="minorHAnsi"/>
          <w:sz w:val="22"/>
          <w:szCs w:val="22"/>
          <w:vertAlign w:val="superscript"/>
          <w:lang w:val="mi-NZ"/>
        </w:rPr>
        <w:footnoteReference w:id="82"/>
      </w:r>
      <w:r w:rsidRPr="00970A6D">
        <w:rPr>
          <w:rFonts w:cstheme="minorHAnsi"/>
          <w:sz w:val="22"/>
          <w:szCs w:val="22"/>
          <w:lang w:val="mi-NZ"/>
        </w:rPr>
        <w:t xml:space="preserve"> We note Government’s support to Tokelau as a non-self-governing territory,</w:t>
      </w:r>
      <w:r w:rsidRPr="00970A6D">
        <w:rPr>
          <w:rFonts w:cstheme="minorHAnsi"/>
          <w:sz w:val="22"/>
          <w:szCs w:val="22"/>
          <w:vertAlign w:val="superscript"/>
          <w:lang w:val="mi-NZ"/>
        </w:rPr>
        <w:t xml:space="preserve"> </w:t>
      </w:r>
      <w:r w:rsidRPr="00970A6D">
        <w:rPr>
          <w:rFonts w:cstheme="minorHAnsi"/>
          <w:sz w:val="22"/>
          <w:szCs w:val="22"/>
          <w:vertAlign w:val="superscript"/>
          <w:lang w:val="mi-NZ"/>
        </w:rPr>
        <w:footnoteReference w:id="83"/>
      </w:r>
      <w:r w:rsidRPr="00970A6D">
        <w:rPr>
          <w:rFonts w:cstheme="minorHAnsi"/>
          <w:sz w:val="22"/>
          <w:szCs w:val="22"/>
          <w:lang w:val="mi-NZ"/>
        </w:rPr>
        <w:t xml:space="preserve"> but remain concerned about the practical implications of this situation for Tokelauan children.</w:t>
      </w:r>
      <w:r w:rsidR="00B34398">
        <w:rPr>
          <w:rFonts w:cstheme="minorHAnsi"/>
          <w:sz w:val="22"/>
          <w:szCs w:val="22"/>
          <w:lang w:val="mi-NZ"/>
        </w:rPr>
        <w:t xml:space="preserve"> </w:t>
      </w:r>
      <w:r w:rsidRPr="00970A6D">
        <w:rPr>
          <w:rFonts w:cstheme="minorHAnsi"/>
          <w:sz w:val="22"/>
          <w:szCs w:val="22"/>
          <w:lang w:val="mi-NZ"/>
        </w:rPr>
        <w:t xml:space="preserve">Comprehensive and sustained, child-focused supports are required, to ensure </w:t>
      </w:r>
      <w:r w:rsidRPr="00970A6D">
        <w:rPr>
          <w:rFonts w:cstheme="minorHAnsi"/>
          <w:sz w:val="22"/>
          <w:szCs w:val="22"/>
          <w:lang w:val="mi-NZ"/>
        </w:rPr>
        <w:lastRenderedPageBreak/>
        <w:t>that children in Tokelau enjoy all their rights on an equal basis with Tokelauan children residing in Aotearoa and, indeed, all children in Aotearoa.</w:t>
      </w:r>
      <w:r w:rsidRPr="00970A6D">
        <w:rPr>
          <w:rFonts w:cstheme="minorHAnsi"/>
          <w:sz w:val="22"/>
          <w:szCs w:val="22"/>
          <w:vertAlign w:val="superscript"/>
          <w:lang w:val="mi-NZ"/>
        </w:rPr>
        <w:footnoteReference w:id="84"/>
      </w:r>
    </w:p>
    <w:p w14:paraId="096EA7C9" w14:textId="0D6CD0E5" w:rsidR="00970A6D" w:rsidRPr="00970A6D" w:rsidRDefault="00970A6D" w:rsidP="00970A6D">
      <w:pPr>
        <w:pStyle w:val="IntenseQuote"/>
        <w:ind w:left="720"/>
        <w:jc w:val="left"/>
        <w:rPr>
          <w:b/>
          <w:bCs/>
          <w:i w:val="0"/>
          <w:iCs w:val="0"/>
          <w:sz w:val="24"/>
          <w:szCs w:val="24"/>
          <w:lang w:val="mi-NZ"/>
        </w:rPr>
      </w:pPr>
      <w:r w:rsidRPr="00970A6D">
        <w:rPr>
          <w:b/>
          <w:bCs/>
          <w:i w:val="0"/>
          <w:iCs w:val="0"/>
          <w:sz w:val="24"/>
          <w:szCs w:val="24"/>
          <w:lang w:val="mi-NZ"/>
        </w:rPr>
        <w:t>Recommendations</w:t>
      </w:r>
    </w:p>
    <w:p w14:paraId="75278F67" w14:textId="0AD26132" w:rsidR="00970A6D" w:rsidRPr="000357D3" w:rsidRDefault="00970A6D" w:rsidP="00916EA3">
      <w:pPr>
        <w:pStyle w:val="IntenseQuote"/>
        <w:numPr>
          <w:ilvl w:val="0"/>
          <w:numId w:val="11"/>
        </w:numPr>
        <w:jc w:val="left"/>
        <w:rPr>
          <w:i w:val="0"/>
          <w:iCs w:val="0"/>
          <w:sz w:val="22"/>
          <w:szCs w:val="22"/>
          <w:lang w:val="mi-NZ"/>
        </w:rPr>
      </w:pPr>
      <w:r w:rsidRPr="000357D3">
        <w:rPr>
          <w:i w:val="0"/>
          <w:iCs w:val="0"/>
          <w:sz w:val="22"/>
          <w:szCs w:val="22"/>
          <w:lang w:val="mi-NZ"/>
        </w:rPr>
        <w:t>Withdraw all reservations to the CRC.</w:t>
      </w:r>
    </w:p>
    <w:p w14:paraId="2FC28AD7" w14:textId="3132B8A5" w:rsidR="00562C90" w:rsidRPr="00BC4E04" w:rsidRDefault="00970A6D" w:rsidP="00750C45">
      <w:pPr>
        <w:pStyle w:val="IntenseQuote"/>
        <w:numPr>
          <w:ilvl w:val="0"/>
          <w:numId w:val="11"/>
        </w:numPr>
        <w:jc w:val="left"/>
        <w:rPr>
          <w:i w:val="0"/>
          <w:iCs w:val="0"/>
          <w:sz w:val="22"/>
          <w:szCs w:val="22"/>
          <w:lang w:val="mi-NZ"/>
        </w:rPr>
      </w:pPr>
      <w:r w:rsidRPr="000357D3">
        <w:rPr>
          <w:i w:val="0"/>
          <w:iCs w:val="0"/>
          <w:sz w:val="22"/>
          <w:szCs w:val="22"/>
          <w:lang w:val="mi-NZ"/>
        </w:rPr>
        <w:t>Ensure the rights of children in Tokelau are protected and realised.</w:t>
      </w:r>
    </w:p>
    <w:p w14:paraId="740A3FCC" w14:textId="16A0BEC0" w:rsidR="00970A6D" w:rsidRPr="00A3002D" w:rsidRDefault="00970A6D" w:rsidP="00750C45">
      <w:pPr>
        <w:pStyle w:val="Heading2"/>
      </w:pPr>
      <w:bookmarkStart w:id="13" w:name="_Toc111485441"/>
      <w:r w:rsidRPr="00970A6D">
        <w:t>Bringing Domestic Legislation in Line with the CRC – LOIPR 4(b)</w:t>
      </w:r>
      <w:bookmarkEnd w:id="13"/>
    </w:p>
    <w:p w14:paraId="5833ABBF" w14:textId="1FFB70F5" w:rsidR="00970A6D" w:rsidRDefault="00970A6D" w:rsidP="00970A6D">
      <w:pPr>
        <w:rPr>
          <w:rFonts w:cstheme="minorHAnsi"/>
          <w:sz w:val="22"/>
          <w:szCs w:val="22"/>
          <w:lang w:val="mi-NZ"/>
        </w:rPr>
      </w:pPr>
    </w:p>
    <w:p w14:paraId="3BD06B5A" w14:textId="77777777" w:rsidR="00970A6D" w:rsidRPr="00970A6D" w:rsidRDefault="00970A6D" w:rsidP="00750C45">
      <w:pPr>
        <w:pStyle w:val="Heading3"/>
        <w:rPr>
          <w:lang w:val="mi-NZ"/>
        </w:rPr>
      </w:pPr>
      <w:r w:rsidRPr="00970A6D">
        <w:rPr>
          <w:lang w:val="mi-NZ"/>
        </w:rPr>
        <w:t>Inclusion in domestic law</w:t>
      </w:r>
    </w:p>
    <w:p w14:paraId="0C29371B" w14:textId="77777777" w:rsidR="00970A6D" w:rsidRPr="00970A6D" w:rsidRDefault="00970A6D" w:rsidP="00970A6D">
      <w:pPr>
        <w:rPr>
          <w:rFonts w:cstheme="minorHAnsi"/>
          <w:sz w:val="22"/>
          <w:szCs w:val="22"/>
          <w:lang w:val="mi-NZ"/>
        </w:rPr>
      </w:pPr>
    </w:p>
    <w:p w14:paraId="5942F929" w14:textId="1C0B96DA" w:rsidR="00A44524" w:rsidRPr="00A44524" w:rsidRDefault="00A44524" w:rsidP="00A44524">
      <w:pPr>
        <w:pStyle w:val="ListParagraph"/>
        <w:numPr>
          <w:ilvl w:val="0"/>
          <w:numId w:val="9"/>
        </w:numPr>
        <w:ind w:hanging="720"/>
        <w:rPr>
          <w:rFonts w:cstheme="minorHAnsi"/>
          <w:sz w:val="22"/>
          <w:szCs w:val="22"/>
          <w:lang w:val="mi-NZ"/>
        </w:rPr>
      </w:pPr>
      <w:r w:rsidRPr="00A44524">
        <w:rPr>
          <w:rFonts w:cstheme="minorHAnsi"/>
          <w:sz w:val="22"/>
          <w:szCs w:val="22"/>
          <w:lang w:val="mi-NZ"/>
        </w:rPr>
        <w:t>The CRC is not fully incorporated in legislation. It is attached as a schedule to the Children’s Commissioner Act 2003.</w:t>
      </w:r>
      <w:r w:rsidRPr="00A44524">
        <w:rPr>
          <w:rFonts w:cstheme="minorHAnsi"/>
          <w:sz w:val="22"/>
          <w:szCs w:val="22"/>
          <w:vertAlign w:val="superscript"/>
          <w:lang w:val="mi-NZ"/>
        </w:rPr>
        <w:footnoteReference w:id="85"/>
      </w:r>
    </w:p>
    <w:p w14:paraId="693245BC" w14:textId="423C40C8" w:rsidR="003263A6" w:rsidRDefault="003263A6" w:rsidP="00A44524">
      <w:pPr>
        <w:pStyle w:val="ListParagraph"/>
        <w:rPr>
          <w:rFonts w:cstheme="minorHAnsi"/>
          <w:sz w:val="22"/>
          <w:szCs w:val="22"/>
          <w:lang w:val="mi-NZ"/>
        </w:rPr>
      </w:pPr>
    </w:p>
    <w:p w14:paraId="504BEBEB" w14:textId="6FE2F763" w:rsidR="00A44524" w:rsidRDefault="00A44524" w:rsidP="00A44524">
      <w:pPr>
        <w:pStyle w:val="ListParagraph"/>
        <w:numPr>
          <w:ilvl w:val="0"/>
          <w:numId w:val="9"/>
        </w:numPr>
        <w:ind w:hanging="720"/>
        <w:rPr>
          <w:rFonts w:cstheme="minorHAnsi"/>
          <w:sz w:val="22"/>
          <w:szCs w:val="22"/>
          <w:lang w:val="mi-NZ"/>
        </w:rPr>
      </w:pPr>
      <w:r w:rsidRPr="00A44524">
        <w:rPr>
          <w:rFonts w:cstheme="minorHAnsi"/>
          <w:sz w:val="22"/>
          <w:szCs w:val="22"/>
          <w:lang w:val="mi-NZ"/>
        </w:rPr>
        <w:t>Since 2016, reference to the CRC has been included in two key pieces of legislation:</w:t>
      </w:r>
    </w:p>
    <w:p w14:paraId="0BA67383" w14:textId="77777777" w:rsidR="00A44524" w:rsidRPr="00A44524" w:rsidRDefault="00A44524" w:rsidP="00A44524">
      <w:pPr>
        <w:pStyle w:val="ListParagraph"/>
        <w:rPr>
          <w:rFonts w:cstheme="minorHAnsi"/>
        </w:rPr>
      </w:pPr>
    </w:p>
    <w:p w14:paraId="21455CEE" w14:textId="21D06D35" w:rsidR="00A44524" w:rsidRPr="00A44524" w:rsidRDefault="00A44524" w:rsidP="00A44524">
      <w:pPr>
        <w:pStyle w:val="ListParagraph"/>
        <w:numPr>
          <w:ilvl w:val="1"/>
          <w:numId w:val="9"/>
        </w:numPr>
        <w:rPr>
          <w:rFonts w:cstheme="minorHAnsi"/>
          <w:sz w:val="22"/>
          <w:szCs w:val="22"/>
          <w:lang w:val="mi-NZ"/>
        </w:rPr>
      </w:pPr>
      <w:r w:rsidRPr="00A44524">
        <w:rPr>
          <w:rFonts w:cstheme="minorHAnsi"/>
          <w:sz w:val="22"/>
          <w:szCs w:val="22"/>
        </w:rPr>
        <w:t xml:space="preserve">Amendments to the </w:t>
      </w:r>
      <w:proofErr w:type="spellStart"/>
      <w:r w:rsidRPr="00A44524">
        <w:rPr>
          <w:rFonts w:cstheme="minorHAnsi"/>
          <w:sz w:val="22"/>
          <w:szCs w:val="22"/>
        </w:rPr>
        <w:t>Oranga</w:t>
      </w:r>
      <w:proofErr w:type="spellEnd"/>
      <w:r w:rsidRPr="00A44524">
        <w:rPr>
          <w:rFonts w:cstheme="minorHAnsi"/>
          <w:sz w:val="22"/>
          <w:szCs w:val="22"/>
        </w:rPr>
        <w:t xml:space="preserve"> Tamariki Act 1989 oblige any Court or person who exercises powers under the Act to be guided by the CRC and the UNCRPD, and to recognise and commit to the principles of </w:t>
      </w:r>
      <w:proofErr w:type="spellStart"/>
      <w:r w:rsidR="00E26F7F">
        <w:rPr>
          <w:rFonts w:cstheme="minorHAnsi"/>
          <w:sz w:val="22"/>
          <w:szCs w:val="22"/>
        </w:rPr>
        <w:t>T</w:t>
      </w:r>
      <w:r w:rsidRPr="00A44524">
        <w:rPr>
          <w:rFonts w:cstheme="minorHAnsi"/>
          <w:sz w:val="22"/>
          <w:szCs w:val="22"/>
        </w:rPr>
        <w:t>e</w:t>
      </w:r>
      <w:proofErr w:type="spellEnd"/>
      <w:r w:rsidRPr="00A44524">
        <w:rPr>
          <w:rFonts w:cstheme="minorHAnsi"/>
          <w:sz w:val="22"/>
          <w:szCs w:val="22"/>
        </w:rPr>
        <w:t xml:space="preserve"> </w:t>
      </w:r>
      <w:proofErr w:type="spellStart"/>
      <w:r w:rsidRPr="00A44524">
        <w:rPr>
          <w:rFonts w:cstheme="minorHAnsi"/>
          <w:sz w:val="22"/>
          <w:szCs w:val="22"/>
        </w:rPr>
        <w:t>Tiriti</w:t>
      </w:r>
      <w:proofErr w:type="spellEnd"/>
      <w:r w:rsidRPr="00A44524">
        <w:rPr>
          <w:rFonts w:cstheme="minorHAnsi"/>
          <w:sz w:val="22"/>
          <w:szCs w:val="22"/>
        </w:rPr>
        <w:t>.</w:t>
      </w:r>
      <w:r w:rsidRPr="00A44524">
        <w:rPr>
          <w:rStyle w:val="FootnoteReference"/>
          <w:rFonts w:cstheme="minorHAnsi"/>
          <w:sz w:val="22"/>
          <w:szCs w:val="22"/>
        </w:rPr>
        <w:footnoteReference w:id="86"/>
      </w:r>
    </w:p>
    <w:p w14:paraId="7B5D8ED7" w14:textId="10C99AD3" w:rsidR="00A44524" w:rsidRPr="00A44524" w:rsidRDefault="00A44524" w:rsidP="00A44524">
      <w:pPr>
        <w:pStyle w:val="ListParagraph"/>
        <w:numPr>
          <w:ilvl w:val="1"/>
          <w:numId w:val="9"/>
        </w:numPr>
        <w:rPr>
          <w:rFonts w:cstheme="minorHAnsi"/>
          <w:sz w:val="22"/>
          <w:szCs w:val="22"/>
          <w:lang w:val="mi-NZ"/>
        </w:rPr>
      </w:pPr>
      <w:r w:rsidRPr="00A44524">
        <w:rPr>
          <w:rFonts w:cstheme="minorHAnsi"/>
          <w:sz w:val="22"/>
          <w:szCs w:val="22"/>
        </w:rPr>
        <w:t>Amendments to the Children’s Act 2014 in 2018 require that rights under domestic law, including those derived from the CRC and UNCRPD, must be considered when the CYWS is adopted or changed. The legislation states that the CYWS is intended to help meet Aotearoa’s international obligations, but “</w:t>
      </w:r>
      <w:r w:rsidRPr="00A44524">
        <w:rPr>
          <w:rFonts w:cstheme="minorHAnsi"/>
          <w:i/>
          <w:sz w:val="22"/>
          <w:szCs w:val="22"/>
          <w:highlight w:val="white"/>
        </w:rPr>
        <w:t>does not, in and of itself, give domestic legal effect to, or implement in New Zealand law, any of those obligations.”</w:t>
      </w:r>
      <w:r w:rsidRPr="00A44524">
        <w:rPr>
          <w:sz w:val="22"/>
          <w:szCs w:val="22"/>
          <w:highlight w:val="white"/>
          <w:vertAlign w:val="superscript"/>
        </w:rPr>
        <w:footnoteReference w:id="87"/>
      </w:r>
    </w:p>
    <w:p w14:paraId="6F9372DA" w14:textId="77777777" w:rsidR="00A44524" w:rsidRPr="00A44524" w:rsidRDefault="00A44524" w:rsidP="00A44524">
      <w:pPr>
        <w:pStyle w:val="ListParagraph"/>
        <w:ind w:left="1440"/>
        <w:rPr>
          <w:rFonts w:cstheme="minorHAnsi"/>
          <w:sz w:val="22"/>
          <w:szCs w:val="22"/>
          <w:lang w:val="mi-NZ"/>
        </w:rPr>
      </w:pPr>
    </w:p>
    <w:p w14:paraId="7B7A74DE" w14:textId="77777777" w:rsidR="00A44524" w:rsidRDefault="00A44524" w:rsidP="00A44524">
      <w:pPr>
        <w:pStyle w:val="ListParagraph"/>
        <w:numPr>
          <w:ilvl w:val="0"/>
          <w:numId w:val="9"/>
        </w:numPr>
        <w:ind w:hanging="720"/>
        <w:rPr>
          <w:rFonts w:cstheme="minorHAnsi"/>
          <w:sz w:val="22"/>
          <w:szCs w:val="22"/>
          <w:lang w:val="en-NZ"/>
        </w:rPr>
      </w:pPr>
      <w:r w:rsidRPr="00A44524">
        <w:rPr>
          <w:rFonts w:cstheme="minorHAnsi"/>
          <w:sz w:val="22"/>
          <w:szCs w:val="22"/>
          <w:lang w:val="en-NZ"/>
        </w:rPr>
        <w:lastRenderedPageBreak/>
        <w:t>Government’s ad hoc approach to incorporating children’s rights into domestic law continues, and there is no guarantee that all future legislation will incorporate the CRC.</w:t>
      </w:r>
      <w:r w:rsidRPr="00A44524">
        <w:rPr>
          <w:rFonts w:cstheme="minorHAnsi"/>
          <w:sz w:val="22"/>
          <w:szCs w:val="22"/>
          <w:vertAlign w:val="superscript"/>
          <w:lang w:val="en-NZ"/>
        </w:rPr>
        <w:footnoteReference w:id="88"/>
      </w:r>
      <w:r w:rsidRPr="00A44524">
        <w:rPr>
          <w:rFonts w:cstheme="minorHAnsi"/>
          <w:sz w:val="22"/>
          <w:szCs w:val="22"/>
          <w:lang w:val="en-NZ"/>
        </w:rPr>
        <w:t xml:space="preserve"> </w:t>
      </w:r>
      <w:r w:rsidRPr="00A44524">
        <w:rPr>
          <w:rFonts w:cstheme="minorHAnsi"/>
          <w:sz w:val="22"/>
          <w:szCs w:val="22"/>
          <w:vertAlign w:val="superscript"/>
          <w:lang w:val="en-NZ"/>
        </w:rPr>
        <w:footnoteReference w:id="89"/>
      </w:r>
      <w:r w:rsidRPr="00A44524">
        <w:rPr>
          <w:rFonts w:cstheme="minorHAnsi"/>
          <w:sz w:val="22"/>
          <w:szCs w:val="22"/>
          <w:lang w:val="en-NZ"/>
        </w:rPr>
        <w:t xml:space="preserve"> There is no reference to the CRC in the Education and Training Act 2020, for example, or any requirement to take children’s rights into account in decision-making under that Act.</w:t>
      </w:r>
      <w:r w:rsidRPr="00A44524">
        <w:rPr>
          <w:rFonts w:cstheme="minorHAnsi"/>
          <w:sz w:val="22"/>
          <w:szCs w:val="22"/>
          <w:vertAlign w:val="superscript"/>
          <w:lang w:val="en-NZ"/>
        </w:rPr>
        <w:t xml:space="preserve"> </w:t>
      </w:r>
      <w:r w:rsidRPr="00A44524">
        <w:rPr>
          <w:rFonts w:cstheme="minorHAnsi"/>
          <w:sz w:val="22"/>
          <w:szCs w:val="22"/>
          <w:vertAlign w:val="superscript"/>
          <w:lang w:val="en-NZ"/>
        </w:rPr>
        <w:footnoteReference w:id="90"/>
      </w:r>
      <w:r w:rsidRPr="00A44524">
        <w:rPr>
          <w:rFonts w:cstheme="minorHAnsi"/>
          <w:sz w:val="22"/>
          <w:szCs w:val="22"/>
          <w:lang w:val="en-NZ"/>
        </w:rPr>
        <w:t xml:space="preserve">  </w:t>
      </w:r>
    </w:p>
    <w:p w14:paraId="3FE5E4A1" w14:textId="77777777" w:rsidR="00A44524" w:rsidRDefault="00A44524" w:rsidP="00A44524">
      <w:pPr>
        <w:pStyle w:val="ListParagraph"/>
        <w:rPr>
          <w:rFonts w:cstheme="minorHAnsi"/>
          <w:sz w:val="22"/>
          <w:szCs w:val="22"/>
          <w:lang w:val="en-NZ"/>
        </w:rPr>
      </w:pPr>
    </w:p>
    <w:p w14:paraId="319C0ADE" w14:textId="2E483A45" w:rsidR="00A44524" w:rsidRPr="00562C90" w:rsidRDefault="00A44524" w:rsidP="00A44524">
      <w:pPr>
        <w:pStyle w:val="ListParagraph"/>
        <w:numPr>
          <w:ilvl w:val="0"/>
          <w:numId w:val="9"/>
        </w:numPr>
        <w:ind w:hanging="720"/>
        <w:rPr>
          <w:rFonts w:cstheme="minorHAnsi"/>
          <w:sz w:val="22"/>
          <w:szCs w:val="22"/>
          <w:lang w:val="mi-NZ"/>
        </w:rPr>
      </w:pPr>
      <w:r w:rsidRPr="00A44524">
        <w:rPr>
          <w:rFonts w:cstheme="minorHAnsi"/>
          <w:sz w:val="22"/>
          <w:szCs w:val="22"/>
          <w:lang w:val="mi-NZ"/>
        </w:rPr>
        <w:t xml:space="preserve">This variable approach to the domestic legal status of children’s rights, coupled with low levels of understanding and training on the CRC, has the potential to lead to confusion and gaps in the practical application of children’s rights, especially for those working closely with children, such as social workers and teachers. </w:t>
      </w:r>
    </w:p>
    <w:p w14:paraId="12EDC496" w14:textId="77777777" w:rsidR="00210491" w:rsidRDefault="00210491" w:rsidP="00210491">
      <w:pPr>
        <w:pStyle w:val="ListParagraph"/>
        <w:rPr>
          <w:rFonts w:cstheme="minorHAnsi"/>
          <w:sz w:val="22"/>
          <w:szCs w:val="22"/>
          <w:lang w:val="mi-NZ"/>
        </w:rPr>
      </w:pPr>
    </w:p>
    <w:p w14:paraId="5DE7DA16" w14:textId="0AD47088" w:rsidR="00970A6D" w:rsidRDefault="00A44524">
      <w:pPr>
        <w:pStyle w:val="ListParagraph"/>
        <w:numPr>
          <w:ilvl w:val="0"/>
          <w:numId w:val="9"/>
        </w:numPr>
        <w:ind w:hanging="720"/>
        <w:rPr>
          <w:rFonts w:cstheme="minorHAnsi"/>
          <w:sz w:val="22"/>
          <w:szCs w:val="22"/>
          <w:lang w:val="mi-NZ"/>
        </w:rPr>
      </w:pPr>
      <w:r w:rsidRPr="00A44524">
        <w:rPr>
          <w:rFonts w:cstheme="minorHAnsi"/>
          <w:sz w:val="22"/>
          <w:szCs w:val="22"/>
          <w:lang w:val="mi-NZ"/>
        </w:rPr>
        <w:t>Legislative amendments to the care and protection and youth justice systems are intended to more closely align domestic laws with the CRC, and include:</w:t>
      </w:r>
    </w:p>
    <w:p w14:paraId="25E6E65D" w14:textId="26203935" w:rsidR="00A44524" w:rsidRDefault="00A44524" w:rsidP="00A44524">
      <w:pPr>
        <w:pStyle w:val="ListParagraph"/>
        <w:rPr>
          <w:rFonts w:cstheme="minorHAnsi"/>
          <w:sz w:val="22"/>
          <w:szCs w:val="22"/>
          <w:lang w:val="mi-NZ"/>
        </w:rPr>
      </w:pPr>
    </w:p>
    <w:p w14:paraId="30F7203E" w14:textId="3E8072DA" w:rsidR="00A44524" w:rsidRPr="00937774" w:rsidRDefault="00A44524" w:rsidP="00937774">
      <w:pPr>
        <w:pStyle w:val="ListParagraph"/>
        <w:numPr>
          <w:ilvl w:val="0"/>
          <w:numId w:val="12"/>
        </w:numPr>
        <w:rPr>
          <w:rFonts w:cstheme="minorHAnsi"/>
          <w:sz w:val="22"/>
          <w:szCs w:val="22"/>
          <w:lang w:val="mi-NZ"/>
        </w:rPr>
      </w:pPr>
      <w:r w:rsidRPr="00A44524">
        <w:rPr>
          <w:rFonts w:cstheme="minorHAnsi"/>
          <w:b/>
          <w:bCs/>
          <w:sz w:val="22"/>
          <w:szCs w:val="22"/>
          <w:lang w:val="mi-NZ"/>
        </w:rPr>
        <w:t>Inclusion of 17-year-olds</w:t>
      </w:r>
      <w:r w:rsidRPr="00A44524">
        <w:rPr>
          <w:rFonts w:cstheme="minorHAnsi"/>
          <w:sz w:val="22"/>
          <w:szCs w:val="22"/>
          <w:lang w:val="mi-NZ"/>
        </w:rPr>
        <w:t>: some 17-year-olds have been included in the care, protection and youth justice system, but not all.</w:t>
      </w:r>
      <w:r w:rsidRPr="00A44524">
        <w:rPr>
          <w:rFonts w:cstheme="minorHAnsi"/>
          <w:sz w:val="22"/>
          <w:szCs w:val="22"/>
          <w:vertAlign w:val="superscript"/>
          <w:lang w:val="mi-NZ"/>
        </w:rPr>
        <w:footnoteReference w:id="91"/>
      </w:r>
      <w:r w:rsidRPr="00A44524">
        <w:rPr>
          <w:rFonts w:cstheme="minorHAnsi"/>
          <w:sz w:val="22"/>
          <w:szCs w:val="22"/>
          <w:lang w:val="mi-NZ"/>
        </w:rPr>
        <w:t xml:space="preserve"> </w:t>
      </w:r>
    </w:p>
    <w:p w14:paraId="139CA904" w14:textId="77777777" w:rsidR="00A44524" w:rsidRPr="00A44524" w:rsidRDefault="00A44524" w:rsidP="00916EA3">
      <w:pPr>
        <w:pStyle w:val="ListParagraph"/>
        <w:numPr>
          <w:ilvl w:val="0"/>
          <w:numId w:val="12"/>
        </w:numPr>
        <w:rPr>
          <w:rFonts w:cstheme="minorHAnsi"/>
          <w:sz w:val="22"/>
          <w:szCs w:val="22"/>
          <w:lang w:val="mi-NZ"/>
        </w:rPr>
      </w:pPr>
      <w:r w:rsidRPr="00A44524">
        <w:rPr>
          <w:rFonts w:cstheme="minorHAnsi"/>
          <w:b/>
          <w:bCs/>
          <w:sz w:val="22"/>
          <w:szCs w:val="22"/>
          <w:lang w:val="mi-NZ"/>
        </w:rPr>
        <w:t>Children with disabilities</w:t>
      </w:r>
      <w:r w:rsidRPr="00A44524">
        <w:rPr>
          <w:rFonts w:cstheme="minorHAnsi"/>
          <w:sz w:val="22"/>
          <w:szCs w:val="22"/>
          <w:lang w:val="mi-NZ"/>
        </w:rPr>
        <w:t>: Sections 141 and 142 of the Oranga Tamariki Act 1989 have been repealed.  These sections created a separate entry pathway into State care for disabled children, without the same safeguards as other children. Repeal remedied this situation and was a positive development. Now, disabled children have the same protections and safeguards when entering care as are provided to other children.</w:t>
      </w:r>
      <w:r w:rsidRPr="00A44524">
        <w:rPr>
          <w:rFonts w:cstheme="minorHAnsi"/>
          <w:sz w:val="22"/>
          <w:szCs w:val="22"/>
          <w:vertAlign w:val="superscript"/>
          <w:lang w:val="mi-NZ"/>
        </w:rPr>
        <w:footnoteReference w:id="92"/>
      </w:r>
      <w:r w:rsidRPr="00A44524">
        <w:rPr>
          <w:rFonts w:cstheme="minorHAnsi"/>
          <w:sz w:val="22"/>
          <w:szCs w:val="22"/>
          <w:lang w:val="mi-NZ"/>
        </w:rPr>
        <w:t xml:space="preserve"> However, this does not fully uphold the rights of disabled children. For disabled children, </w:t>
      </w:r>
      <w:r w:rsidRPr="00A44524">
        <w:rPr>
          <w:rFonts w:cstheme="minorHAnsi"/>
          <w:sz w:val="22"/>
          <w:szCs w:val="22"/>
          <w:lang w:val="mi-NZ"/>
        </w:rPr>
        <w:lastRenderedPageBreak/>
        <w:t>entry into State care must include accommodations and supports to uphold their rights on an equal basis with their peers.</w:t>
      </w:r>
      <w:r w:rsidRPr="00A44524">
        <w:rPr>
          <w:rFonts w:cstheme="minorHAnsi"/>
          <w:sz w:val="22"/>
          <w:szCs w:val="22"/>
          <w:vertAlign w:val="superscript"/>
          <w:lang w:val="mi-NZ"/>
        </w:rPr>
        <w:footnoteReference w:id="93"/>
      </w:r>
      <w:r w:rsidRPr="00A44524">
        <w:rPr>
          <w:rFonts w:cstheme="minorHAnsi"/>
          <w:sz w:val="22"/>
          <w:szCs w:val="22"/>
          <w:lang w:val="mi-NZ"/>
        </w:rPr>
        <w:t xml:space="preserve"> </w:t>
      </w:r>
    </w:p>
    <w:p w14:paraId="526354C1" w14:textId="77777777" w:rsidR="00210491" w:rsidRDefault="00210491" w:rsidP="00210491">
      <w:pPr>
        <w:pStyle w:val="ListParagraph"/>
        <w:rPr>
          <w:rFonts w:cstheme="minorHAnsi"/>
          <w:sz w:val="22"/>
          <w:szCs w:val="22"/>
          <w:lang w:val="mi-NZ"/>
        </w:rPr>
      </w:pPr>
    </w:p>
    <w:p w14:paraId="22987B17" w14:textId="469B644A" w:rsidR="00A44524" w:rsidRDefault="00A44524" w:rsidP="00A44524">
      <w:pPr>
        <w:pStyle w:val="ListParagraph"/>
        <w:numPr>
          <w:ilvl w:val="0"/>
          <w:numId w:val="9"/>
        </w:numPr>
        <w:ind w:hanging="720"/>
        <w:rPr>
          <w:rFonts w:cstheme="minorHAnsi"/>
          <w:sz w:val="22"/>
          <w:szCs w:val="22"/>
          <w:lang w:val="mi-NZ"/>
        </w:rPr>
      </w:pPr>
      <w:r w:rsidRPr="00A44524">
        <w:rPr>
          <w:rFonts w:cstheme="minorHAnsi"/>
          <w:sz w:val="22"/>
          <w:szCs w:val="22"/>
          <w:lang w:val="mi-NZ"/>
        </w:rPr>
        <w:t>The Oversight of Oranga Tamariki System and Children and Young People’s Commission Bill 2021 (the Oversight Bill 2021) is an example of the lack of a child rights approach to the development of legislation and policy affecting children (see Appendix Two).</w:t>
      </w:r>
      <w:r w:rsidRPr="00A44524">
        <w:rPr>
          <w:rFonts w:cstheme="minorHAnsi"/>
          <w:sz w:val="22"/>
          <w:szCs w:val="22"/>
          <w:vertAlign w:val="superscript"/>
          <w:lang w:val="mi-NZ"/>
        </w:rPr>
        <w:footnoteReference w:id="94"/>
      </w:r>
    </w:p>
    <w:p w14:paraId="5E1C85D0" w14:textId="43A8D522" w:rsidR="00A44524" w:rsidRPr="00A44524" w:rsidRDefault="00A44524" w:rsidP="00A44524">
      <w:pPr>
        <w:pStyle w:val="IntenseQuote"/>
        <w:ind w:left="720"/>
        <w:jc w:val="left"/>
        <w:rPr>
          <w:b/>
          <w:bCs/>
          <w:i w:val="0"/>
          <w:iCs w:val="0"/>
          <w:sz w:val="24"/>
          <w:szCs w:val="24"/>
          <w:lang w:val="mi-NZ"/>
        </w:rPr>
      </w:pPr>
      <w:r w:rsidRPr="00A44524">
        <w:rPr>
          <w:b/>
          <w:bCs/>
          <w:i w:val="0"/>
          <w:iCs w:val="0"/>
          <w:sz w:val="24"/>
          <w:szCs w:val="24"/>
          <w:lang w:val="mi-NZ"/>
        </w:rPr>
        <w:t>Recommendations</w:t>
      </w:r>
    </w:p>
    <w:p w14:paraId="07467799" w14:textId="77777777" w:rsidR="00A44524" w:rsidRPr="000357D3" w:rsidRDefault="00A44524" w:rsidP="00916EA3">
      <w:pPr>
        <w:pStyle w:val="IntenseQuote"/>
        <w:numPr>
          <w:ilvl w:val="0"/>
          <w:numId w:val="11"/>
        </w:numPr>
        <w:jc w:val="left"/>
        <w:rPr>
          <w:i w:val="0"/>
          <w:iCs w:val="0"/>
          <w:sz w:val="22"/>
          <w:szCs w:val="22"/>
          <w:lang w:val="mi-NZ"/>
        </w:rPr>
      </w:pPr>
      <w:r w:rsidRPr="000357D3">
        <w:rPr>
          <w:i w:val="0"/>
          <w:iCs w:val="0"/>
          <w:sz w:val="22"/>
          <w:szCs w:val="22"/>
          <w:lang w:val="mi-NZ"/>
        </w:rPr>
        <w:t>Fully incorporate the CRC in domestic law.</w:t>
      </w:r>
    </w:p>
    <w:p w14:paraId="3566E5CD" w14:textId="77777777" w:rsidR="00A44524" w:rsidRPr="000357D3" w:rsidRDefault="00A44524" w:rsidP="00916EA3">
      <w:pPr>
        <w:pStyle w:val="IntenseQuote"/>
        <w:numPr>
          <w:ilvl w:val="0"/>
          <w:numId w:val="11"/>
        </w:numPr>
        <w:jc w:val="left"/>
        <w:rPr>
          <w:i w:val="0"/>
          <w:iCs w:val="0"/>
          <w:sz w:val="22"/>
          <w:szCs w:val="22"/>
          <w:lang w:val="mi-NZ"/>
        </w:rPr>
      </w:pPr>
      <w:r w:rsidRPr="000357D3">
        <w:rPr>
          <w:i w:val="0"/>
          <w:iCs w:val="0"/>
          <w:sz w:val="22"/>
          <w:szCs w:val="22"/>
          <w:lang w:val="mi-NZ"/>
        </w:rPr>
        <w:t>Uphold the rights of all children under 18 in the justice system, including those in the adult justice system.</w:t>
      </w:r>
    </w:p>
    <w:p w14:paraId="478AAC4F" w14:textId="77777777" w:rsidR="00A44524" w:rsidRPr="000357D3" w:rsidRDefault="00A44524" w:rsidP="00916EA3">
      <w:pPr>
        <w:pStyle w:val="IntenseQuote"/>
        <w:numPr>
          <w:ilvl w:val="0"/>
          <w:numId w:val="11"/>
        </w:numPr>
        <w:jc w:val="left"/>
        <w:rPr>
          <w:i w:val="0"/>
          <w:iCs w:val="0"/>
          <w:sz w:val="22"/>
          <w:szCs w:val="22"/>
          <w:lang w:val="mi-NZ"/>
        </w:rPr>
      </w:pPr>
      <w:r w:rsidRPr="000357D3">
        <w:rPr>
          <w:i w:val="0"/>
          <w:iCs w:val="0"/>
          <w:sz w:val="22"/>
          <w:szCs w:val="22"/>
          <w:lang w:val="mi-NZ"/>
        </w:rPr>
        <w:t>Fully incorporate all rights of disabled children in domestic law, including those under the UNCRPD.</w:t>
      </w:r>
      <w:r w:rsidRPr="000357D3">
        <w:rPr>
          <w:rFonts w:cstheme="minorHAnsi"/>
          <w:i w:val="0"/>
          <w:iCs w:val="0"/>
          <w:color w:val="00AE6D" w:themeColor="accent6"/>
          <w:sz w:val="22"/>
          <w:szCs w:val="22"/>
          <w:vertAlign w:val="superscript"/>
          <w:lang w:val="mi-NZ"/>
        </w:rPr>
        <w:footnoteReference w:id="95"/>
      </w:r>
      <w:r w:rsidRPr="000357D3">
        <w:rPr>
          <w:rFonts w:cstheme="minorHAnsi"/>
          <w:i w:val="0"/>
          <w:iCs w:val="0"/>
          <w:color w:val="00AE6D" w:themeColor="accent6"/>
          <w:sz w:val="22"/>
          <w:szCs w:val="22"/>
          <w:vertAlign w:val="superscript"/>
          <w:lang w:val="mi-NZ"/>
        </w:rPr>
        <w:t xml:space="preserve"> </w:t>
      </w:r>
    </w:p>
    <w:p w14:paraId="2FA8CBDD" w14:textId="4926748E" w:rsidR="00D42D76" w:rsidRPr="00B316A8" w:rsidRDefault="00D42D76" w:rsidP="00B316A8">
      <w:pPr>
        <w:pStyle w:val="Heading2"/>
      </w:pPr>
      <w:bookmarkStart w:id="14" w:name="_Toc111485442"/>
      <w:proofErr w:type="spellStart"/>
      <w:r w:rsidRPr="00B316A8">
        <w:t>Oranga</w:t>
      </w:r>
      <w:proofErr w:type="spellEnd"/>
      <w:r w:rsidRPr="00B316A8">
        <w:t xml:space="preserve"> Tamariki, Ministry for Children (OT) – LOIPR 4(c)</w:t>
      </w:r>
      <w:bookmarkEnd w:id="14"/>
      <w:r w:rsidRPr="00B316A8">
        <w:t xml:space="preserve"> </w:t>
      </w:r>
    </w:p>
    <w:p w14:paraId="6E5C46D8" w14:textId="77777777" w:rsidR="00A44524" w:rsidRPr="00A44524" w:rsidRDefault="00A44524" w:rsidP="00750C45">
      <w:pPr>
        <w:pStyle w:val="Heading2"/>
        <w:rPr>
          <w:rFonts w:cstheme="minorHAnsi"/>
          <w:sz w:val="22"/>
          <w:szCs w:val="22"/>
          <w:lang w:val="mi-NZ"/>
        </w:rPr>
      </w:pPr>
    </w:p>
    <w:p w14:paraId="5AC9626E" w14:textId="7E028ECA" w:rsidR="00970A6D" w:rsidRDefault="00D42D76">
      <w:pPr>
        <w:pStyle w:val="ListParagraph"/>
        <w:numPr>
          <w:ilvl w:val="0"/>
          <w:numId w:val="9"/>
        </w:numPr>
        <w:ind w:hanging="720"/>
        <w:rPr>
          <w:rFonts w:cstheme="minorHAnsi"/>
          <w:sz w:val="22"/>
          <w:szCs w:val="22"/>
          <w:lang w:val="mi-NZ"/>
        </w:rPr>
      </w:pPr>
      <w:r w:rsidRPr="00D42D76">
        <w:rPr>
          <w:rFonts w:cstheme="minorHAnsi"/>
          <w:sz w:val="22"/>
          <w:szCs w:val="22"/>
          <w:lang w:val="mi-NZ"/>
        </w:rPr>
        <w:t>OT is primarily concerned with statutory care, protection and youth justice services. It does not cover all children, despite its name.</w:t>
      </w:r>
    </w:p>
    <w:p w14:paraId="432CC6E8" w14:textId="77777777" w:rsidR="00D42D76" w:rsidRDefault="00D42D76" w:rsidP="00D42D76">
      <w:pPr>
        <w:pStyle w:val="ListParagraph"/>
        <w:rPr>
          <w:rFonts w:cstheme="minorHAnsi"/>
          <w:sz w:val="22"/>
          <w:szCs w:val="22"/>
          <w:lang w:val="mi-NZ"/>
        </w:rPr>
      </w:pPr>
    </w:p>
    <w:p w14:paraId="1D787E0C" w14:textId="62536AA9" w:rsidR="000357D3" w:rsidRPr="000357D3" w:rsidRDefault="00D42D76" w:rsidP="000357D3">
      <w:pPr>
        <w:pStyle w:val="ListParagraph"/>
        <w:numPr>
          <w:ilvl w:val="0"/>
          <w:numId w:val="9"/>
        </w:numPr>
        <w:ind w:hanging="720"/>
        <w:rPr>
          <w:rFonts w:cstheme="minorHAnsi"/>
          <w:sz w:val="22"/>
          <w:szCs w:val="22"/>
          <w:lang w:val="mi-NZ"/>
        </w:rPr>
      </w:pPr>
      <w:r w:rsidRPr="00D42D76">
        <w:rPr>
          <w:rFonts w:cstheme="minorHAnsi"/>
          <w:sz w:val="22"/>
          <w:szCs w:val="22"/>
          <w:lang w:val="mi-NZ"/>
        </w:rPr>
        <w:t>While largely accurate, the Government Report does not provide full details on OT developments over the reporting period. We refer the Committee to Appendix Two, which provides information on:</w:t>
      </w:r>
    </w:p>
    <w:p w14:paraId="63C637B6" w14:textId="77777777" w:rsidR="000357D3" w:rsidRPr="000357D3" w:rsidRDefault="000357D3" w:rsidP="00916EA3">
      <w:pPr>
        <w:numPr>
          <w:ilvl w:val="0"/>
          <w:numId w:val="13"/>
        </w:numPr>
        <w:spacing w:before="100" w:beforeAutospacing="1" w:after="100" w:afterAutospacing="1" w:line="240" w:lineRule="auto"/>
        <w:rPr>
          <w:rFonts w:cstheme="minorHAnsi"/>
          <w:color w:val="000000"/>
          <w:sz w:val="22"/>
          <w:szCs w:val="22"/>
        </w:rPr>
      </w:pPr>
      <w:r w:rsidRPr="000357D3">
        <w:rPr>
          <w:rFonts w:cstheme="minorHAnsi"/>
          <w:color w:val="000000"/>
          <w:sz w:val="22"/>
          <w:szCs w:val="22"/>
        </w:rPr>
        <w:t>Public outcry over the removal of, predominantly Māori, babies into care and subsequent investigations by the Children’s Commissioner, Waitangi Tribunal, Ombudsman and Māori.</w:t>
      </w:r>
    </w:p>
    <w:p w14:paraId="46542C0A" w14:textId="77777777" w:rsidR="000357D3" w:rsidRPr="000357D3" w:rsidRDefault="000357D3" w:rsidP="00916EA3">
      <w:pPr>
        <w:numPr>
          <w:ilvl w:val="0"/>
          <w:numId w:val="13"/>
        </w:numPr>
        <w:spacing w:before="100" w:beforeAutospacing="1" w:after="100" w:afterAutospacing="1" w:line="240" w:lineRule="auto"/>
        <w:rPr>
          <w:rFonts w:cstheme="minorHAnsi"/>
          <w:color w:val="000000"/>
          <w:sz w:val="22"/>
          <w:szCs w:val="22"/>
        </w:rPr>
      </w:pPr>
      <w:r w:rsidRPr="000357D3">
        <w:rPr>
          <w:rFonts w:cstheme="minorHAnsi"/>
          <w:color w:val="000000"/>
          <w:sz w:val="22"/>
          <w:szCs w:val="22"/>
        </w:rPr>
        <w:t>Changes to OT’s operating model, including moves to shift decision-making and resources to communities, particularly Māori.</w:t>
      </w:r>
    </w:p>
    <w:p w14:paraId="262A5D31" w14:textId="43C2C4BA" w:rsidR="000357D3" w:rsidRPr="000357D3" w:rsidRDefault="000357D3" w:rsidP="00916EA3">
      <w:pPr>
        <w:numPr>
          <w:ilvl w:val="0"/>
          <w:numId w:val="13"/>
        </w:numPr>
        <w:spacing w:before="100" w:beforeAutospacing="1" w:after="100" w:afterAutospacing="1" w:line="240" w:lineRule="auto"/>
        <w:rPr>
          <w:rFonts w:cstheme="minorHAnsi"/>
          <w:color w:val="000000"/>
          <w:sz w:val="22"/>
          <w:szCs w:val="22"/>
        </w:rPr>
      </w:pPr>
      <w:r w:rsidRPr="000357D3">
        <w:rPr>
          <w:rFonts w:cstheme="minorHAnsi"/>
          <w:color w:val="000000"/>
          <w:sz w:val="22"/>
          <w:szCs w:val="22"/>
        </w:rPr>
        <w:t xml:space="preserve">Strategic partnerships between OT and some Iwi, </w:t>
      </w:r>
      <w:proofErr w:type="gramStart"/>
      <w:r w:rsidRPr="000357D3">
        <w:rPr>
          <w:rFonts w:cstheme="minorHAnsi"/>
          <w:color w:val="000000"/>
          <w:sz w:val="22"/>
          <w:szCs w:val="22"/>
        </w:rPr>
        <w:t>in an effort to</w:t>
      </w:r>
      <w:proofErr w:type="gramEnd"/>
      <w:r w:rsidRPr="000357D3">
        <w:rPr>
          <w:rFonts w:cstheme="minorHAnsi"/>
          <w:color w:val="000000"/>
          <w:sz w:val="22"/>
          <w:szCs w:val="22"/>
        </w:rPr>
        <w:t xml:space="preserve"> begin meeting </w:t>
      </w:r>
      <w:proofErr w:type="spellStart"/>
      <w:r w:rsidR="00E26F7F">
        <w:rPr>
          <w:rFonts w:cstheme="minorHAnsi"/>
          <w:color w:val="000000"/>
          <w:sz w:val="22"/>
          <w:szCs w:val="22"/>
        </w:rPr>
        <w:t>T</w:t>
      </w:r>
      <w:r w:rsidRPr="000357D3">
        <w:rPr>
          <w:rFonts w:cstheme="minorHAnsi"/>
          <w:color w:val="000000"/>
          <w:sz w:val="22"/>
          <w:szCs w:val="22"/>
        </w:rPr>
        <w:t>e</w:t>
      </w:r>
      <w:proofErr w:type="spellEnd"/>
      <w:r w:rsidRPr="000357D3">
        <w:rPr>
          <w:rFonts w:cstheme="minorHAnsi"/>
          <w:color w:val="000000"/>
          <w:sz w:val="22"/>
          <w:szCs w:val="22"/>
        </w:rPr>
        <w:t xml:space="preserve"> </w:t>
      </w:r>
      <w:proofErr w:type="spellStart"/>
      <w:r w:rsidRPr="000357D3">
        <w:rPr>
          <w:rFonts w:cstheme="minorHAnsi"/>
          <w:color w:val="000000"/>
          <w:sz w:val="22"/>
          <w:szCs w:val="22"/>
        </w:rPr>
        <w:t>Tiriti</w:t>
      </w:r>
      <w:proofErr w:type="spellEnd"/>
      <w:r w:rsidRPr="000357D3">
        <w:rPr>
          <w:rFonts w:cstheme="minorHAnsi"/>
          <w:color w:val="000000"/>
          <w:sz w:val="22"/>
          <w:szCs w:val="22"/>
        </w:rPr>
        <w:t xml:space="preserve"> o Waitangi obligations.</w:t>
      </w:r>
    </w:p>
    <w:p w14:paraId="4245E74F" w14:textId="352FBD52" w:rsidR="000357D3" w:rsidRPr="000357D3" w:rsidRDefault="000357D3" w:rsidP="00916EA3">
      <w:pPr>
        <w:numPr>
          <w:ilvl w:val="0"/>
          <w:numId w:val="13"/>
        </w:numPr>
        <w:spacing w:before="100" w:beforeAutospacing="1" w:after="100" w:afterAutospacing="1" w:line="240" w:lineRule="auto"/>
        <w:rPr>
          <w:rFonts w:cstheme="minorHAnsi"/>
          <w:color w:val="000000"/>
          <w:sz w:val="22"/>
          <w:szCs w:val="22"/>
        </w:rPr>
      </w:pPr>
      <w:r w:rsidRPr="000357D3">
        <w:rPr>
          <w:rFonts w:cstheme="minorHAnsi"/>
          <w:color w:val="000000"/>
          <w:sz w:val="22"/>
          <w:szCs w:val="22"/>
        </w:rPr>
        <w:lastRenderedPageBreak/>
        <w:t xml:space="preserve">The need to respect the </w:t>
      </w:r>
      <w:r w:rsidRPr="000357D3">
        <w:rPr>
          <w:rFonts w:cstheme="minorHAnsi"/>
          <w:sz w:val="22"/>
          <w:szCs w:val="22"/>
        </w:rPr>
        <w:t xml:space="preserve">experiences and mana of survivors of abuse in State </w:t>
      </w:r>
      <w:proofErr w:type="gramStart"/>
      <w:r w:rsidRPr="000357D3">
        <w:rPr>
          <w:rFonts w:cstheme="minorHAnsi"/>
          <w:sz w:val="22"/>
          <w:szCs w:val="22"/>
        </w:rPr>
        <w:t>care, and</w:t>
      </w:r>
      <w:proofErr w:type="gramEnd"/>
      <w:r w:rsidRPr="000357D3">
        <w:rPr>
          <w:rFonts w:cstheme="minorHAnsi"/>
          <w:sz w:val="22"/>
          <w:szCs w:val="22"/>
        </w:rPr>
        <w:t xml:space="preserve"> ensure that the findings and recommendations of the </w:t>
      </w:r>
      <w:r w:rsidR="00937774">
        <w:rPr>
          <w:rFonts w:cstheme="minorHAnsi"/>
          <w:sz w:val="22"/>
          <w:szCs w:val="22"/>
        </w:rPr>
        <w:t>RCOI</w:t>
      </w:r>
      <w:r w:rsidRPr="000357D3">
        <w:rPr>
          <w:rFonts w:cstheme="minorHAnsi"/>
          <w:sz w:val="22"/>
          <w:szCs w:val="22"/>
        </w:rPr>
        <w:t xml:space="preserve"> feed into OT practice and oversight.</w:t>
      </w:r>
    </w:p>
    <w:p w14:paraId="0EC7989F" w14:textId="037ECA29" w:rsidR="000357D3" w:rsidRPr="000357D3" w:rsidRDefault="000357D3" w:rsidP="00916EA3">
      <w:pPr>
        <w:numPr>
          <w:ilvl w:val="0"/>
          <w:numId w:val="13"/>
        </w:numPr>
        <w:spacing w:before="100" w:beforeAutospacing="1" w:after="100" w:afterAutospacing="1" w:line="240" w:lineRule="auto"/>
        <w:rPr>
          <w:rFonts w:cstheme="minorHAnsi"/>
          <w:color w:val="000000"/>
          <w:sz w:val="22"/>
          <w:szCs w:val="22"/>
        </w:rPr>
      </w:pPr>
      <w:r w:rsidRPr="000357D3">
        <w:rPr>
          <w:rFonts w:cstheme="minorHAnsi"/>
          <w:color w:val="000000"/>
          <w:sz w:val="22"/>
          <w:szCs w:val="22"/>
        </w:rPr>
        <w:t>The importance of children’s participation and listening to children.</w:t>
      </w:r>
    </w:p>
    <w:p w14:paraId="22BC4484" w14:textId="7F6BC1BF" w:rsidR="00D42D76" w:rsidRPr="000357D3" w:rsidRDefault="000357D3" w:rsidP="00916EA3">
      <w:pPr>
        <w:numPr>
          <w:ilvl w:val="0"/>
          <w:numId w:val="13"/>
        </w:numPr>
        <w:spacing w:before="100" w:beforeAutospacing="1" w:after="100" w:afterAutospacing="1" w:line="240" w:lineRule="auto"/>
        <w:rPr>
          <w:rFonts w:cstheme="minorHAnsi"/>
          <w:color w:val="000000"/>
          <w:sz w:val="22"/>
          <w:szCs w:val="22"/>
        </w:rPr>
      </w:pPr>
      <w:r w:rsidRPr="000357D3">
        <w:rPr>
          <w:rFonts w:cstheme="minorHAnsi"/>
          <w:color w:val="000000"/>
          <w:sz w:val="22"/>
          <w:szCs w:val="22"/>
        </w:rPr>
        <w:t xml:space="preserve">The need to put children (and their </w:t>
      </w:r>
      <w:proofErr w:type="spellStart"/>
      <w:r w:rsidRPr="000357D3">
        <w:rPr>
          <w:rFonts w:cstheme="minorHAnsi"/>
          <w:color w:val="000000"/>
          <w:sz w:val="22"/>
          <w:szCs w:val="22"/>
        </w:rPr>
        <w:t>whānau</w:t>
      </w:r>
      <w:proofErr w:type="spellEnd"/>
      <w:r w:rsidRPr="000357D3">
        <w:rPr>
          <w:rFonts w:cstheme="minorHAnsi"/>
          <w:color w:val="000000"/>
          <w:sz w:val="22"/>
          <w:szCs w:val="22"/>
        </w:rPr>
        <w:t>) at the heart of OT’s work ensuring their experiences and outcomes from the system are positive.</w:t>
      </w:r>
    </w:p>
    <w:p w14:paraId="2A622B08" w14:textId="58BAFE4E" w:rsidR="00970A6D" w:rsidRPr="00210491" w:rsidRDefault="00D42D76">
      <w:pPr>
        <w:pStyle w:val="ListParagraph"/>
        <w:numPr>
          <w:ilvl w:val="0"/>
          <w:numId w:val="9"/>
        </w:numPr>
        <w:ind w:hanging="720"/>
        <w:rPr>
          <w:rFonts w:cstheme="minorHAnsi"/>
          <w:sz w:val="22"/>
          <w:szCs w:val="22"/>
          <w:lang w:val="mi-NZ"/>
        </w:rPr>
      </w:pPr>
      <w:r w:rsidRPr="00210491">
        <w:rPr>
          <w:rFonts w:cstheme="minorHAnsi"/>
          <w:sz w:val="22"/>
          <w:szCs w:val="22"/>
          <w:lang w:val="mi-NZ"/>
        </w:rPr>
        <w:t>The importance of Government taking a children’s rights approach to child welfare,</w:t>
      </w:r>
      <w:r w:rsidR="00DA7899" w:rsidRPr="00210491">
        <w:rPr>
          <w:rStyle w:val="FootnoteReference"/>
          <w:rFonts w:cstheme="minorHAnsi"/>
          <w:color w:val="000000"/>
          <w:sz w:val="22"/>
          <w:szCs w:val="22"/>
        </w:rPr>
        <w:footnoteReference w:id="96"/>
      </w:r>
      <w:r w:rsidRPr="00210491">
        <w:rPr>
          <w:rFonts w:cstheme="minorHAnsi"/>
          <w:sz w:val="22"/>
          <w:szCs w:val="22"/>
          <w:lang w:val="mi-NZ"/>
        </w:rPr>
        <w:t xml:space="preserve">  at this critical time, cannot be overstated.</w:t>
      </w:r>
    </w:p>
    <w:p w14:paraId="00EDE0CD" w14:textId="40D5CAE6" w:rsidR="000357D3" w:rsidRDefault="000357D3" w:rsidP="000357D3">
      <w:pPr>
        <w:pStyle w:val="ListParagraph"/>
        <w:rPr>
          <w:rFonts w:cstheme="minorHAnsi"/>
          <w:sz w:val="22"/>
          <w:szCs w:val="22"/>
          <w:lang w:val="mi-NZ"/>
        </w:rPr>
      </w:pPr>
    </w:p>
    <w:p w14:paraId="728478B8" w14:textId="53D94989" w:rsidR="000357D3" w:rsidRPr="000357D3" w:rsidRDefault="000357D3" w:rsidP="000357D3">
      <w:pPr>
        <w:pStyle w:val="IntenseQuote"/>
        <w:ind w:left="720"/>
        <w:jc w:val="left"/>
        <w:rPr>
          <w:b/>
          <w:bCs/>
          <w:i w:val="0"/>
          <w:iCs w:val="0"/>
          <w:sz w:val="24"/>
          <w:szCs w:val="24"/>
          <w:lang w:val="mi-NZ"/>
        </w:rPr>
      </w:pPr>
      <w:r w:rsidRPr="000357D3">
        <w:rPr>
          <w:b/>
          <w:bCs/>
          <w:i w:val="0"/>
          <w:iCs w:val="0"/>
          <w:sz w:val="24"/>
          <w:szCs w:val="24"/>
          <w:lang w:val="mi-NZ"/>
        </w:rPr>
        <w:t xml:space="preserve">Recommendations </w:t>
      </w:r>
    </w:p>
    <w:p w14:paraId="5F181743" w14:textId="321E326E" w:rsidR="000357D3" w:rsidRPr="000357D3" w:rsidRDefault="000357D3" w:rsidP="00916EA3">
      <w:pPr>
        <w:pStyle w:val="IntenseQuote"/>
        <w:numPr>
          <w:ilvl w:val="0"/>
          <w:numId w:val="11"/>
        </w:numPr>
        <w:jc w:val="left"/>
        <w:rPr>
          <w:i w:val="0"/>
          <w:iCs w:val="0"/>
          <w:sz w:val="22"/>
          <w:szCs w:val="22"/>
          <w:lang w:val="mi-NZ"/>
        </w:rPr>
      </w:pPr>
      <w:r w:rsidRPr="000357D3">
        <w:rPr>
          <w:i w:val="0"/>
          <w:iCs w:val="0"/>
          <w:sz w:val="22"/>
          <w:szCs w:val="22"/>
          <w:lang w:val="mi-NZ"/>
        </w:rPr>
        <w:t>Invest in training and w</w:t>
      </w:r>
      <w:r w:rsidR="00937774">
        <w:rPr>
          <w:i w:val="0"/>
          <w:iCs w:val="0"/>
          <w:sz w:val="22"/>
          <w:szCs w:val="22"/>
          <w:lang w:val="mi-NZ"/>
        </w:rPr>
        <w:t>ā</w:t>
      </w:r>
      <w:r w:rsidRPr="000357D3">
        <w:rPr>
          <w:i w:val="0"/>
          <w:iCs w:val="0"/>
          <w:sz w:val="22"/>
          <w:szCs w:val="22"/>
          <w:lang w:val="mi-NZ"/>
        </w:rPr>
        <w:t>nanga to give effect to the legal requirement for a child rights based approach to care, protection and youth justice, including children’s participation rights, throughout the OT system.</w:t>
      </w:r>
      <w:r w:rsidRPr="00DA7899">
        <w:rPr>
          <w:rFonts w:cstheme="minorHAnsi"/>
          <w:i w:val="0"/>
          <w:iCs w:val="0"/>
          <w:color w:val="00AE6D" w:themeColor="accent6"/>
          <w:sz w:val="22"/>
          <w:szCs w:val="22"/>
          <w:vertAlign w:val="superscript"/>
          <w:lang w:val="mi-NZ"/>
        </w:rPr>
        <w:footnoteReference w:id="97"/>
      </w:r>
    </w:p>
    <w:p w14:paraId="3A415F40" w14:textId="77777777" w:rsidR="000357D3" w:rsidRPr="000357D3" w:rsidRDefault="000357D3" w:rsidP="00916EA3">
      <w:pPr>
        <w:pStyle w:val="IntenseQuote"/>
        <w:numPr>
          <w:ilvl w:val="0"/>
          <w:numId w:val="11"/>
        </w:numPr>
        <w:jc w:val="left"/>
        <w:rPr>
          <w:i w:val="0"/>
          <w:iCs w:val="0"/>
          <w:sz w:val="22"/>
          <w:szCs w:val="22"/>
          <w:lang w:val="mi-NZ"/>
        </w:rPr>
      </w:pPr>
      <w:r w:rsidRPr="000357D3">
        <w:rPr>
          <w:i w:val="0"/>
          <w:iCs w:val="0"/>
          <w:sz w:val="22"/>
          <w:szCs w:val="22"/>
          <w:lang w:val="mi-NZ"/>
        </w:rPr>
        <w:t>Take a Te Tiriti based approach to OT and implement the recommendations of the Waitangi Tribunal Urgent Inquiry Report (2021).</w:t>
      </w:r>
    </w:p>
    <w:p w14:paraId="78EFE207" w14:textId="77777777" w:rsidR="000357D3" w:rsidRPr="00861F16" w:rsidRDefault="000357D3" w:rsidP="00916EA3">
      <w:pPr>
        <w:pStyle w:val="IntenseQuote"/>
        <w:numPr>
          <w:ilvl w:val="0"/>
          <w:numId w:val="11"/>
        </w:numPr>
        <w:jc w:val="left"/>
        <w:rPr>
          <w:i w:val="0"/>
          <w:iCs w:val="0"/>
          <w:sz w:val="22"/>
          <w:szCs w:val="22"/>
          <w:lang w:val="mi-NZ"/>
        </w:rPr>
      </w:pPr>
      <w:r w:rsidRPr="00861F16">
        <w:rPr>
          <w:i w:val="0"/>
          <w:iCs w:val="0"/>
          <w:sz w:val="22"/>
          <w:szCs w:val="22"/>
          <w:lang w:val="mi-NZ"/>
        </w:rPr>
        <w:t>Use the findings and recommendations of the Royal Commission to design care and protection systems, now and in the future, that:</w:t>
      </w:r>
    </w:p>
    <w:p w14:paraId="25BF2732" w14:textId="77777777" w:rsidR="000357D3" w:rsidRPr="00861F16" w:rsidRDefault="000357D3" w:rsidP="0070211F">
      <w:pPr>
        <w:pStyle w:val="IntenseQuote"/>
        <w:numPr>
          <w:ilvl w:val="0"/>
          <w:numId w:val="50"/>
        </w:numPr>
        <w:jc w:val="left"/>
        <w:rPr>
          <w:i w:val="0"/>
          <w:iCs w:val="0"/>
          <w:sz w:val="22"/>
          <w:szCs w:val="22"/>
          <w:lang w:val="mi-NZ"/>
        </w:rPr>
      </w:pPr>
      <w:r w:rsidRPr="00861F16">
        <w:rPr>
          <w:i w:val="0"/>
          <w:iCs w:val="0"/>
          <w:sz w:val="22"/>
          <w:szCs w:val="22"/>
          <w:lang w:val="mi-NZ"/>
        </w:rPr>
        <w:t>keeps children, especially those in the State care, safe from all forms of harm; and</w:t>
      </w:r>
    </w:p>
    <w:p w14:paraId="314F7E5C" w14:textId="77777777" w:rsidR="000357D3" w:rsidRPr="00861F16" w:rsidRDefault="000357D3" w:rsidP="0070211F">
      <w:pPr>
        <w:pStyle w:val="IntenseQuote"/>
        <w:numPr>
          <w:ilvl w:val="0"/>
          <w:numId w:val="50"/>
        </w:numPr>
        <w:jc w:val="left"/>
        <w:rPr>
          <w:i w:val="0"/>
          <w:iCs w:val="0"/>
          <w:sz w:val="22"/>
          <w:szCs w:val="22"/>
          <w:lang w:val="mi-NZ"/>
        </w:rPr>
      </w:pPr>
      <w:r w:rsidRPr="00861F16">
        <w:rPr>
          <w:i w:val="0"/>
          <w:iCs w:val="0"/>
          <w:sz w:val="22"/>
          <w:szCs w:val="22"/>
          <w:lang w:val="mi-NZ"/>
        </w:rPr>
        <w:t>if harm occurs, ensures that children’s rights are protected in the process of recovery and redress.</w:t>
      </w:r>
    </w:p>
    <w:p w14:paraId="51AF570D" w14:textId="77777777" w:rsidR="000357D3" w:rsidRPr="00861F16" w:rsidRDefault="000357D3" w:rsidP="00916EA3">
      <w:pPr>
        <w:pStyle w:val="IntenseQuote"/>
        <w:numPr>
          <w:ilvl w:val="0"/>
          <w:numId w:val="11"/>
        </w:numPr>
        <w:jc w:val="left"/>
        <w:rPr>
          <w:i w:val="0"/>
          <w:iCs w:val="0"/>
          <w:sz w:val="22"/>
          <w:szCs w:val="22"/>
          <w:lang w:val="mi-NZ"/>
        </w:rPr>
      </w:pPr>
      <w:r w:rsidRPr="00861F16">
        <w:rPr>
          <w:i w:val="0"/>
          <w:iCs w:val="0"/>
          <w:sz w:val="22"/>
          <w:szCs w:val="22"/>
          <w:lang w:val="mi-NZ"/>
        </w:rPr>
        <w:t>Engage whānau and children who have been affected by the child protection system in policy and practice development within OT.</w:t>
      </w:r>
      <w:r w:rsidRPr="00861F16">
        <w:rPr>
          <w:rFonts w:cstheme="minorHAnsi"/>
          <w:i w:val="0"/>
          <w:iCs w:val="0"/>
          <w:color w:val="00AE6D" w:themeColor="accent6"/>
          <w:sz w:val="22"/>
          <w:szCs w:val="22"/>
          <w:vertAlign w:val="superscript"/>
          <w:lang w:val="mi-NZ"/>
        </w:rPr>
        <w:footnoteReference w:id="98"/>
      </w:r>
    </w:p>
    <w:p w14:paraId="4EAB8070" w14:textId="77777777" w:rsidR="000357D3" w:rsidRPr="000357D3" w:rsidRDefault="000357D3" w:rsidP="00916EA3">
      <w:pPr>
        <w:pStyle w:val="IntenseQuote"/>
        <w:numPr>
          <w:ilvl w:val="0"/>
          <w:numId w:val="11"/>
        </w:numPr>
        <w:jc w:val="left"/>
        <w:rPr>
          <w:i w:val="0"/>
          <w:iCs w:val="0"/>
          <w:sz w:val="22"/>
          <w:szCs w:val="22"/>
          <w:lang w:val="mi-NZ"/>
        </w:rPr>
      </w:pPr>
      <w:r w:rsidRPr="000357D3">
        <w:rPr>
          <w:i w:val="0"/>
          <w:iCs w:val="0"/>
          <w:sz w:val="22"/>
          <w:szCs w:val="22"/>
          <w:lang w:val="mi-NZ"/>
        </w:rPr>
        <w:lastRenderedPageBreak/>
        <w:t>Resource/fund whānau, hapū, iwi and community-led decision-making and supports for children.</w:t>
      </w:r>
    </w:p>
    <w:p w14:paraId="246B260D" w14:textId="77777777" w:rsidR="000357D3" w:rsidRPr="000357D3" w:rsidRDefault="000357D3" w:rsidP="00916EA3">
      <w:pPr>
        <w:pStyle w:val="IntenseQuote"/>
        <w:numPr>
          <w:ilvl w:val="0"/>
          <w:numId w:val="11"/>
        </w:numPr>
        <w:jc w:val="left"/>
        <w:rPr>
          <w:i w:val="0"/>
          <w:iCs w:val="0"/>
          <w:sz w:val="22"/>
          <w:szCs w:val="22"/>
          <w:lang w:val="mi-NZ"/>
        </w:rPr>
      </w:pPr>
      <w:r w:rsidRPr="000357D3">
        <w:rPr>
          <w:i w:val="0"/>
          <w:iCs w:val="0"/>
          <w:sz w:val="22"/>
          <w:szCs w:val="22"/>
          <w:lang w:val="mi-NZ"/>
        </w:rPr>
        <w:t>Evidence the outcomes for children and their families and whānau of the significant changes to the child protection system.</w:t>
      </w:r>
    </w:p>
    <w:p w14:paraId="1650E18F" w14:textId="64D9B303" w:rsidR="00562C90" w:rsidRPr="00BC4E04" w:rsidRDefault="000357D3" w:rsidP="00750C45">
      <w:pPr>
        <w:pStyle w:val="IntenseQuote"/>
        <w:numPr>
          <w:ilvl w:val="0"/>
          <w:numId w:val="11"/>
        </w:numPr>
        <w:jc w:val="left"/>
        <w:rPr>
          <w:i w:val="0"/>
          <w:iCs w:val="0"/>
          <w:sz w:val="22"/>
          <w:szCs w:val="22"/>
          <w:lang w:val="mi-NZ"/>
        </w:rPr>
      </w:pPr>
      <w:r w:rsidRPr="000357D3">
        <w:rPr>
          <w:i w:val="0"/>
          <w:iCs w:val="0"/>
          <w:sz w:val="22"/>
          <w:szCs w:val="22"/>
          <w:lang w:val="mi-NZ"/>
        </w:rPr>
        <w:t>Ensure an adequate standard of living for all children, to help strengthen preventative factors, reduce poverty, and support holistic family and whānau wellbeing.</w:t>
      </w:r>
    </w:p>
    <w:p w14:paraId="0F98AF0A" w14:textId="29A411F0" w:rsidR="000357D3" w:rsidRPr="00750C45" w:rsidRDefault="000357D3" w:rsidP="00750C45">
      <w:pPr>
        <w:pStyle w:val="Heading2"/>
      </w:pPr>
      <w:bookmarkStart w:id="15" w:name="_Toc111485443"/>
      <w:r w:rsidRPr="000357D3">
        <w:t>Comprehensive Strategy to implement the Convention – LOIPR 4(d)</w:t>
      </w:r>
      <w:bookmarkEnd w:id="15"/>
    </w:p>
    <w:p w14:paraId="5EE03351" w14:textId="77777777" w:rsidR="000357D3" w:rsidRPr="000357D3" w:rsidRDefault="000357D3" w:rsidP="000357D3">
      <w:pPr>
        <w:rPr>
          <w:rFonts w:cstheme="minorHAnsi"/>
          <w:sz w:val="22"/>
          <w:szCs w:val="22"/>
          <w:lang w:val="mi-NZ"/>
        </w:rPr>
      </w:pPr>
    </w:p>
    <w:p w14:paraId="7E7A7D7B" w14:textId="77777777" w:rsidR="000357D3" w:rsidRDefault="000357D3" w:rsidP="00FE1725">
      <w:pPr>
        <w:pStyle w:val="ListParagraph"/>
        <w:numPr>
          <w:ilvl w:val="0"/>
          <w:numId w:val="9"/>
        </w:numPr>
        <w:ind w:hanging="720"/>
        <w:rPr>
          <w:rFonts w:cstheme="minorHAnsi"/>
          <w:sz w:val="22"/>
          <w:szCs w:val="22"/>
          <w:lang w:val="mi-NZ"/>
        </w:rPr>
      </w:pPr>
      <w:r w:rsidRPr="000357D3">
        <w:rPr>
          <w:rFonts w:cstheme="minorHAnsi"/>
          <w:sz w:val="22"/>
          <w:szCs w:val="22"/>
          <w:lang w:val="mi-NZ"/>
        </w:rPr>
        <w:t>Improving children’s wellbeing is an important part of realising children’s rights. We welcome the increased focus on children’s issues, as evidenced by:</w:t>
      </w:r>
    </w:p>
    <w:p w14:paraId="2170F99F" w14:textId="337FA894" w:rsidR="000357D3" w:rsidRDefault="000357D3" w:rsidP="000357D3">
      <w:pPr>
        <w:pStyle w:val="ListParagraph"/>
        <w:rPr>
          <w:rFonts w:cstheme="minorHAnsi"/>
          <w:sz w:val="22"/>
          <w:szCs w:val="22"/>
          <w:lang w:val="mi-NZ"/>
        </w:rPr>
      </w:pPr>
    </w:p>
    <w:p w14:paraId="2CC945E9" w14:textId="77777777" w:rsidR="000357D3" w:rsidRPr="00A7332A" w:rsidRDefault="000357D3" w:rsidP="000357D3">
      <w:pPr>
        <w:pStyle w:val="text"/>
        <w:numPr>
          <w:ilvl w:val="0"/>
          <w:numId w:val="1"/>
        </w:numPr>
        <w:shd w:val="clear" w:color="auto" w:fill="FFFFFF"/>
        <w:spacing w:before="83" w:beforeAutospacing="0" w:after="0" w:afterAutospacing="0" w:line="288" w:lineRule="atLeast"/>
        <w:textAlignment w:val="baseline"/>
        <w:rPr>
          <w:rFonts w:asciiTheme="minorHAnsi" w:hAnsiTheme="minorHAnsi" w:cstheme="minorHAnsi"/>
          <w:color w:val="000000"/>
          <w:sz w:val="22"/>
          <w:szCs w:val="22"/>
        </w:rPr>
      </w:pPr>
      <w:r w:rsidRPr="00A7332A">
        <w:rPr>
          <w:rFonts w:asciiTheme="minorHAnsi" w:hAnsiTheme="minorHAnsi" w:cstheme="minorHAnsi"/>
          <w:sz w:val="22"/>
          <w:szCs w:val="22"/>
          <w:lang w:val="mi-NZ"/>
        </w:rPr>
        <w:t xml:space="preserve">Establishment of the Child Wellbeing and Poverty Reduction Group and a </w:t>
      </w:r>
      <w:r w:rsidRPr="00A7332A">
        <w:rPr>
          <w:rFonts w:asciiTheme="minorHAnsi" w:eastAsiaTheme="minorHAnsi" w:hAnsiTheme="minorHAnsi" w:cstheme="minorHAnsi"/>
          <w:color w:val="000000"/>
          <w:sz w:val="22"/>
          <w:szCs w:val="22"/>
          <w:lang w:val="en-GB" w:eastAsia="en-US"/>
        </w:rPr>
        <w:t>Ministerial portfolio of Child Poverty Reduction, currently held by the Prime Minister</w:t>
      </w:r>
      <w:r w:rsidRPr="00A7332A">
        <w:rPr>
          <w:rFonts w:asciiTheme="minorHAnsi" w:hAnsiTheme="minorHAnsi" w:cstheme="minorHAnsi"/>
          <w:sz w:val="22"/>
          <w:szCs w:val="22"/>
          <w:lang w:val="mi-NZ"/>
        </w:rPr>
        <w:t>.</w:t>
      </w:r>
      <w:r w:rsidRPr="00A7332A">
        <w:rPr>
          <w:rStyle w:val="FootnoteReference"/>
          <w:rFonts w:asciiTheme="minorHAnsi" w:hAnsiTheme="minorHAnsi" w:cstheme="minorHAnsi"/>
          <w:sz w:val="22"/>
          <w:szCs w:val="22"/>
          <w:lang w:val="mi-NZ"/>
        </w:rPr>
        <w:footnoteReference w:id="99"/>
      </w:r>
    </w:p>
    <w:p w14:paraId="408BBB7C" w14:textId="77777777" w:rsidR="000357D3" w:rsidRPr="00A7332A" w:rsidRDefault="000357D3" w:rsidP="000357D3">
      <w:pPr>
        <w:pStyle w:val="text"/>
        <w:numPr>
          <w:ilvl w:val="0"/>
          <w:numId w:val="1"/>
        </w:numPr>
        <w:shd w:val="clear" w:color="auto" w:fill="FFFFFF"/>
        <w:spacing w:before="83" w:beforeAutospacing="0" w:after="0" w:afterAutospacing="0" w:line="288" w:lineRule="atLeast"/>
        <w:textAlignment w:val="baseline"/>
        <w:rPr>
          <w:rFonts w:asciiTheme="minorHAnsi" w:hAnsiTheme="minorHAnsi" w:cstheme="minorHAnsi"/>
          <w:color w:val="000000"/>
          <w:sz w:val="22"/>
          <w:szCs w:val="22"/>
        </w:rPr>
      </w:pPr>
      <w:r w:rsidRPr="00A7332A">
        <w:rPr>
          <w:rFonts w:asciiTheme="minorHAnsi" w:hAnsiTheme="minorHAnsi" w:cstheme="minorHAnsi"/>
          <w:sz w:val="22"/>
          <w:szCs w:val="22"/>
          <w:lang w:val="mi-NZ"/>
        </w:rPr>
        <w:t>Legislation requiring child poverty reduction targets to be set and monitored.</w:t>
      </w:r>
      <w:r w:rsidRPr="00A7332A">
        <w:rPr>
          <w:rStyle w:val="FootnoteReference"/>
          <w:rFonts w:asciiTheme="minorHAnsi" w:hAnsiTheme="minorHAnsi" w:cstheme="minorHAnsi"/>
          <w:sz w:val="22"/>
          <w:szCs w:val="22"/>
          <w:lang w:val="mi-NZ"/>
        </w:rPr>
        <w:footnoteReference w:id="100"/>
      </w:r>
    </w:p>
    <w:p w14:paraId="4BA45498" w14:textId="77777777" w:rsidR="000357D3" w:rsidRPr="00A7332A" w:rsidRDefault="000357D3" w:rsidP="000357D3">
      <w:pPr>
        <w:pStyle w:val="text"/>
        <w:numPr>
          <w:ilvl w:val="0"/>
          <w:numId w:val="1"/>
        </w:numPr>
        <w:shd w:val="clear" w:color="auto" w:fill="FFFFFF"/>
        <w:spacing w:before="83" w:beforeAutospacing="0" w:after="0" w:afterAutospacing="0" w:line="288" w:lineRule="atLeast"/>
        <w:textAlignment w:val="baseline"/>
        <w:rPr>
          <w:rFonts w:asciiTheme="minorHAnsi" w:hAnsiTheme="minorHAnsi" w:cstheme="minorHAnsi"/>
          <w:color w:val="000000"/>
          <w:sz w:val="22"/>
          <w:szCs w:val="22"/>
        </w:rPr>
      </w:pPr>
      <w:r w:rsidRPr="00A7332A">
        <w:rPr>
          <w:rFonts w:asciiTheme="minorHAnsi" w:hAnsiTheme="minorHAnsi" w:cstheme="minorHAnsi"/>
          <w:color w:val="000000"/>
          <w:sz w:val="22"/>
          <w:szCs w:val="22"/>
        </w:rPr>
        <w:t>Legislation requiring Government’s to have:</w:t>
      </w:r>
    </w:p>
    <w:p w14:paraId="7A4E2F2B" w14:textId="77777777" w:rsidR="000357D3" w:rsidRPr="00A7332A" w:rsidRDefault="000357D3" w:rsidP="000357D3">
      <w:pPr>
        <w:pStyle w:val="text"/>
        <w:numPr>
          <w:ilvl w:val="1"/>
          <w:numId w:val="1"/>
        </w:numPr>
        <w:shd w:val="clear" w:color="auto" w:fill="FFFFFF"/>
        <w:spacing w:before="83" w:beforeAutospacing="0" w:after="0" w:afterAutospacing="0" w:line="288" w:lineRule="atLeast"/>
        <w:textAlignment w:val="baseline"/>
        <w:rPr>
          <w:rFonts w:asciiTheme="minorHAnsi" w:hAnsiTheme="minorHAnsi" w:cstheme="minorHAnsi"/>
          <w:color w:val="000000"/>
          <w:sz w:val="22"/>
          <w:szCs w:val="22"/>
        </w:rPr>
      </w:pPr>
      <w:r w:rsidRPr="00A7332A">
        <w:rPr>
          <w:rFonts w:asciiTheme="minorHAnsi" w:hAnsiTheme="minorHAnsi" w:cstheme="minorHAnsi"/>
          <w:color w:val="000000"/>
          <w:sz w:val="22"/>
          <w:szCs w:val="22"/>
        </w:rPr>
        <w:t>a Child and Youth Wellbeing Strategy (CYWS);</w:t>
      </w:r>
      <w:r w:rsidRPr="00A7332A">
        <w:rPr>
          <w:rStyle w:val="FootnoteReference"/>
          <w:rFonts w:asciiTheme="minorHAnsi" w:hAnsiTheme="minorHAnsi" w:cstheme="minorHAnsi"/>
          <w:sz w:val="22"/>
          <w:szCs w:val="22"/>
          <w:lang w:val="mi-NZ"/>
        </w:rPr>
        <w:footnoteReference w:id="101"/>
      </w:r>
    </w:p>
    <w:p w14:paraId="247490AA" w14:textId="77777777" w:rsidR="000357D3" w:rsidRPr="00A7332A" w:rsidRDefault="000357D3" w:rsidP="000357D3">
      <w:pPr>
        <w:pStyle w:val="text"/>
        <w:numPr>
          <w:ilvl w:val="1"/>
          <w:numId w:val="1"/>
        </w:numPr>
        <w:shd w:val="clear" w:color="auto" w:fill="FFFFFF"/>
        <w:spacing w:before="83" w:beforeAutospacing="0" w:after="0" w:afterAutospacing="0" w:line="288" w:lineRule="atLeast"/>
        <w:textAlignment w:val="baseline"/>
        <w:rPr>
          <w:rFonts w:asciiTheme="minorHAnsi" w:hAnsiTheme="minorHAnsi" w:cstheme="minorHAnsi"/>
          <w:color w:val="000000"/>
          <w:sz w:val="22"/>
          <w:szCs w:val="22"/>
        </w:rPr>
      </w:pPr>
      <w:r w:rsidRPr="00A7332A">
        <w:rPr>
          <w:rFonts w:asciiTheme="minorHAnsi" w:hAnsiTheme="minorHAnsi" w:cstheme="minorHAnsi"/>
          <w:sz w:val="22"/>
          <w:szCs w:val="22"/>
          <w:lang w:val="mi-NZ"/>
        </w:rPr>
        <w:t xml:space="preserve">an </w:t>
      </w:r>
      <w:proofErr w:type="spellStart"/>
      <w:r w:rsidRPr="00A7332A">
        <w:rPr>
          <w:rFonts w:asciiTheme="minorHAnsi" w:eastAsiaTheme="minorHAnsi" w:hAnsiTheme="minorHAnsi" w:cstheme="minorHAnsi"/>
          <w:color w:val="000000"/>
          <w:sz w:val="22"/>
          <w:szCs w:val="22"/>
          <w:lang w:val="en-GB" w:eastAsia="en-US"/>
        </w:rPr>
        <w:t>Oranga</w:t>
      </w:r>
      <w:proofErr w:type="spellEnd"/>
      <w:r w:rsidRPr="00A7332A">
        <w:rPr>
          <w:rFonts w:asciiTheme="minorHAnsi" w:eastAsiaTheme="minorHAnsi" w:hAnsiTheme="minorHAnsi" w:cstheme="minorHAnsi"/>
          <w:color w:val="000000"/>
          <w:sz w:val="22"/>
          <w:szCs w:val="22"/>
          <w:lang w:val="en-GB" w:eastAsia="en-US"/>
        </w:rPr>
        <w:t xml:space="preserve"> Tamariki Action Plan </w:t>
      </w:r>
      <w:r w:rsidRPr="00937774">
        <w:rPr>
          <w:rFonts w:asciiTheme="minorHAnsi" w:eastAsiaTheme="minorHAnsi" w:hAnsiTheme="minorHAnsi" w:cstheme="minorHAnsi"/>
          <w:color w:val="000000"/>
          <w:sz w:val="22"/>
          <w:szCs w:val="22"/>
          <w:lang w:val="en-GB" w:eastAsia="en-US"/>
        </w:rPr>
        <w:t xml:space="preserve">(OTAP) </w:t>
      </w:r>
      <w:r w:rsidRPr="00937774">
        <w:rPr>
          <w:rFonts w:asciiTheme="minorHAnsi" w:hAnsiTheme="minorHAnsi" w:cstheme="minorHAnsi"/>
          <w:color w:val="000000"/>
          <w:sz w:val="22"/>
          <w:szCs w:val="22"/>
        </w:rPr>
        <w:t>to</w:t>
      </w:r>
      <w:r w:rsidRPr="00A7332A">
        <w:rPr>
          <w:rFonts w:asciiTheme="minorHAnsi" w:hAnsiTheme="minorHAnsi" w:cstheme="minorHAnsi"/>
          <w:color w:val="000000"/>
          <w:sz w:val="22"/>
          <w:szCs w:val="22"/>
        </w:rPr>
        <w:t xml:space="preserve"> improve the wellbeing of particular groups of children</w:t>
      </w:r>
      <w:r w:rsidRPr="00A7332A">
        <w:rPr>
          <w:rFonts w:asciiTheme="minorHAnsi" w:hAnsiTheme="minorHAnsi" w:cstheme="minorHAnsi"/>
          <w:sz w:val="22"/>
          <w:szCs w:val="22"/>
          <w:lang w:val="mi-NZ"/>
        </w:rPr>
        <w:t>.</w:t>
      </w:r>
      <w:r w:rsidRPr="00A7332A">
        <w:rPr>
          <w:rStyle w:val="FootnoteReference"/>
          <w:rFonts w:asciiTheme="minorHAnsi" w:eastAsiaTheme="minorHAnsi" w:hAnsiTheme="minorHAnsi" w:cstheme="minorHAnsi"/>
          <w:color w:val="000000"/>
          <w:sz w:val="22"/>
          <w:szCs w:val="22"/>
          <w:lang w:val="en-GB" w:eastAsia="en-US"/>
        </w:rPr>
        <w:footnoteReference w:id="102"/>
      </w:r>
    </w:p>
    <w:p w14:paraId="4372F90D" w14:textId="77777777" w:rsidR="000357D3" w:rsidRDefault="000357D3" w:rsidP="000357D3">
      <w:pPr>
        <w:pStyle w:val="ListParagraph"/>
        <w:rPr>
          <w:rFonts w:cstheme="minorHAnsi"/>
          <w:sz w:val="22"/>
          <w:szCs w:val="22"/>
          <w:lang w:val="mi-NZ"/>
        </w:rPr>
      </w:pPr>
    </w:p>
    <w:p w14:paraId="6B091256" w14:textId="678D2EFC" w:rsidR="00A7332A" w:rsidRPr="00E81C92" w:rsidRDefault="00A7332A" w:rsidP="00E81C92">
      <w:pPr>
        <w:pStyle w:val="ListParagraph"/>
        <w:numPr>
          <w:ilvl w:val="0"/>
          <w:numId w:val="9"/>
        </w:numPr>
        <w:ind w:hanging="720"/>
        <w:rPr>
          <w:rFonts w:cstheme="minorHAnsi"/>
          <w:sz w:val="22"/>
          <w:szCs w:val="22"/>
          <w:lang w:val="mi-NZ"/>
        </w:rPr>
      </w:pPr>
      <w:r w:rsidRPr="00A7332A">
        <w:rPr>
          <w:rFonts w:cstheme="minorHAnsi"/>
          <w:sz w:val="22"/>
          <w:szCs w:val="22"/>
          <w:lang w:val="en-NZ"/>
        </w:rPr>
        <w:t>The first CYWS,</w:t>
      </w:r>
      <w:r w:rsidRPr="00A7332A">
        <w:rPr>
          <w:rFonts w:cstheme="minorHAnsi"/>
          <w:sz w:val="22"/>
          <w:szCs w:val="22"/>
          <w:vertAlign w:val="superscript"/>
          <w:lang w:val="mi-NZ"/>
        </w:rPr>
        <w:t xml:space="preserve"> </w:t>
      </w:r>
      <w:r w:rsidRPr="00A7332A">
        <w:rPr>
          <w:rFonts w:cstheme="minorHAnsi"/>
          <w:sz w:val="22"/>
          <w:szCs w:val="22"/>
          <w:vertAlign w:val="superscript"/>
          <w:lang w:val="mi-NZ"/>
        </w:rPr>
        <w:footnoteReference w:id="103"/>
      </w:r>
      <w:r w:rsidRPr="00A7332A">
        <w:rPr>
          <w:rFonts w:cstheme="minorHAnsi"/>
          <w:sz w:val="22"/>
          <w:szCs w:val="22"/>
          <w:lang w:val="en-NZ"/>
        </w:rPr>
        <w:t xml:space="preserve"> adopted in 2019, </w:t>
      </w:r>
      <w:r w:rsidRPr="00A7332A">
        <w:rPr>
          <w:rFonts w:cstheme="minorHAnsi"/>
          <w:sz w:val="22"/>
          <w:szCs w:val="22"/>
          <w:lang w:val="mi-NZ"/>
        </w:rPr>
        <w:t xml:space="preserve">is not a comprehensive plan to implement children’s rights. </w:t>
      </w:r>
      <w:r w:rsidRPr="00A7332A">
        <w:rPr>
          <w:rFonts w:cstheme="minorHAnsi"/>
          <w:sz w:val="22"/>
          <w:szCs w:val="22"/>
          <w:lang w:val="en-NZ"/>
        </w:rPr>
        <w:t>While the intent of the CYWS broadly aligns with the CRC, and one of its nine principles states that “Children and young people’s rights need to be respected and upheld”, mechanisms to give effect to this principle are limited.</w:t>
      </w:r>
      <w:r w:rsidRPr="00A7332A">
        <w:rPr>
          <w:rFonts w:cstheme="minorHAnsi"/>
          <w:sz w:val="22"/>
          <w:szCs w:val="22"/>
          <w:vertAlign w:val="superscript"/>
          <w:lang w:val="en-NZ"/>
        </w:rPr>
        <w:footnoteReference w:id="104"/>
      </w:r>
      <w:r w:rsidRPr="00A7332A">
        <w:rPr>
          <w:rFonts w:cstheme="minorHAnsi"/>
          <w:sz w:val="22"/>
          <w:szCs w:val="22"/>
          <w:lang w:val="en-NZ"/>
        </w:rPr>
        <w:t xml:space="preserve"> Coupled with the low levels of knowledge about children’s rights within the public service, there are risks that CYWS’ </w:t>
      </w:r>
      <w:r w:rsidRPr="00A7332A">
        <w:rPr>
          <w:rFonts w:cstheme="minorHAnsi"/>
          <w:sz w:val="22"/>
          <w:szCs w:val="22"/>
          <w:lang w:val="en-NZ"/>
        </w:rPr>
        <w:lastRenderedPageBreak/>
        <w:t>implementation may not reflect the universality, indivisibility and interdependence of children’s rights, including their civil rights and freedoms, such as their rights to identity, participation, privacy and information.</w:t>
      </w:r>
      <w:r w:rsidRPr="00A7332A">
        <w:rPr>
          <w:rFonts w:cstheme="minorHAnsi"/>
          <w:sz w:val="22"/>
          <w:szCs w:val="22"/>
          <w:vertAlign w:val="superscript"/>
          <w:lang w:val="en-NZ"/>
        </w:rPr>
        <w:footnoteReference w:id="105"/>
      </w:r>
      <w:r w:rsidRPr="00A7332A">
        <w:rPr>
          <w:rFonts w:cstheme="minorHAnsi"/>
          <w:sz w:val="22"/>
          <w:szCs w:val="22"/>
          <w:lang w:val="en-NZ"/>
        </w:rPr>
        <w:t xml:space="preserve"> </w:t>
      </w:r>
      <w:r w:rsidRPr="00A7332A">
        <w:rPr>
          <w:rFonts w:cstheme="minorHAnsi"/>
          <w:sz w:val="22"/>
          <w:szCs w:val="22"/>
          <w:vertAlign w:val="superscript"/>
          <w:lang w:val="en-NZ"/>
        </w:rPr>
        <w:footnoteReference w:id="106"/>
      </w:r>
    </w:p>
    <w:p w14:paraId="2E50643F" w14:textId="77777777" w:rsidR="00E81C92" w:rsidRPr="00E81C92" w:rsidRDefault="00E81C92" w:rsidP="00E81C92">
      <w:pPr>
        <w:pStyle w:val="ListParagraph"/>
        <w:rPr>
          <w:rFonts w:cstheme="minorHAnsi"/>
          <w:sz w:val="22"/>
          <w:szCs w:val="22"/>
          <w:lang w:val="mi-NZ"/>
        </w:rPr>
      </w:pPr>
    </w:p>
    <w:p w14:paraId="7D2BE993" w14:textId="668F7ECD" w:rsidR="00970A6D" w:rsidRPr="00B316A8" w:rsidRDefault="00A7332A" w:rsidP="00A7332A">
      <w:pPr>
        <w:pStyle w:val="ListParagraph"/>
        <w:numPr>
          <w:ilvl w:val="0"/>
          <w:numId w:val="9"/>
        </w:numPr>
        <w:ind w:hanging="720"/>
        <w:rPr>
          <w:rFonts w:cstheme="minorHAnsi"/>
          <w:sz w:val="22"/>
          <w:szCs w:val="22"/>
          <w:lang w:val="en-NZ"/>
        </w:rPr>
      </w:pPr>
      <w:r w:rsidRPr="00A7332A">
        <w:rPr>
          <w:rFonts w:cstheme="minorHAnsi"/>
          <w:sz w:val="22"/>
          <w:szCs w:val="22"/>
          <w:lang w:val="en-NZ"/>
        </w:rPr>
        <w:t xml:space="preserve">The CYWS will be reviewed in 2023. </w:t>
      </w:r>
    </w:p>
    <w:p w14:paraId="097972BE" w14:textId="7E5919FA" w:rsidR="00A7332A" w:rsidRPr="00A7332A" w:rsidRDefault="00A7332A" w:rsidP="00A7332A">
      <w:pPr>
        <w:pStyle w:val="IntenseQuote"/>
        <w:ind w:left="720"/>
        <w:jc w:val="left"/>
        <w:rPr>
          <w:b/>
          <w:bCs/>
          <w:i w:val="0"/>
          <w:iCs w:val="0"/>
          <w:sz w:val="24"/>
          <w:szCs w:val="24"/>
          <w:lang w:val="mi-NZ"/>
        </w:rPr>
      </w:pPr>
      <w:r w:rsidRPr="00A7332A">
        <w:rPr>
          <w:b/>
          <w:bCs/>
          <w:i w:val="0"/>
          <w:iCs w:val="0"/>
          <w:sz w:val="24"/>
          <w:szCs w:val="24"/>
          <w:lang w:val="mi-NZ"/>
        </w:rPr>
        <w:t>Recommendations</w:t>
      </w:r>
    </w:p>
    <w:p w14:paraId="1333AA82" w14:textId="77777777" w:rsidR="00A7332A" w:rsidRPr="00A7332A" w:rsidRDefault="00A7332A" w:rsidP="00916EA3">
      <w:pPr>
        <w:pStyle w:val="IntenseQuote"/>
        <w:numPr>
          <w:ilvl w:val="0"/>
          <w:numId w:val="11"/>
        </w:numPr>
        <w:jc w:val="left"/>
        <w:rPr>
          <w:i w:val="0"/>
          <w:iCs w:val="0"/>
          <w:sz w:val="22"/>
          <w:szCs w:val="22"/>
          <w:lang w:val="mi-NZ"/>
        </w:rPr>
      </w:pPr>
      <w:r w:rsidRPr="00A7332A">
        <w:rPr>
          <w:i w:val="0"/>
          <w:iCs w:val="0"/>
          <w:sz w:val="22"/>
          <w:szCs w:val="22"/>
          <w:lang w:val="mi-NZ"/>
        </w:rPr>
        <w:t>Develop a comprehensive strategy to implement the CRC.</w:t>
      </w:r>
    </w:p>
    <w:p w14:paraId="4020FBA4" w14:textId="77777777" w:rsidR="00A7332A" w:rsidRPr="00A7332A" w:rsidRDefault="00A7332A" w:rsidP="00916EA3">
      <w:pPr>
        <w:pStyle w:val="IntenseQuote"/>
        <w:numPr>
          <w:ilvl w:val="0"/>
          <w:numId w:val="11"/>
        </w:numPr>
        <w:jc w:val="left"/>
        <w:rPr>
          <w:i w:val="0"/>
          <w:iCs w:val="0"/>
          <w:sz w:val="22"/>
          <w:szCs w:val="22"/>
          <w:lang w:val="mi-NZ"/>
        </w:rPr>
      </w:pPr>
      <w:r w:rsidRPr="00A7332A">
        <w:rPr>
          <w:i w:val="0"/>
          <w:iCs w:val="0"/>
          <w:sz w:val="22"/>
          <w:szCs w:val="22"/>
          <w:lang w:val="mi-NZ"/>
        </w:rPr>
        <w:t>Establish and resource mechanisms within government to implement the CRC, such as children’s leads in all Ministries.</w:t>
      </w:r>
    </w:p>
    <w:p w14:paraId="4C62A82E" w14:textId="77777777" w:rsidR="00A7332A" w:rsidRPr="00A7332A" w:rsidRDefault="00A7332A" w:rsidP="00916EA3">
      <w:pPr>
        <w:pStyle w:val="IntenseQuote"/>
        <w:numPr>
          <w:ilvl w:val="0"/>
          <w:numId w:val="11"/>
        </w:numPr>
        <w:jc w:val="left"/>
        <w:rPr>
          <w:i w:val="0"/>
          <w:iCs w:val="0"/>
          <w:sz w:val="22"/>
          <w:szCs w:val="22"/>
          <w:lang w:val="mi-NZ"/>
        </w:rPr>
      </w:pPr>
      <w:r w:rsidRPr="00A7332A">
        <w:rPr>
          <w:i w:val="0"/>
          <w:iCs w:val="0"/>
          <w:sz w:val="22"/>
          <w:szCs w:val="22"/>
          <w:lang w:val="mi-NZ"/>
        </w:rPr>
        <w:t>Consider the effectiveness of existing government structures for children, specifically whether there should be a Ministry responsible for all children.</w:t>
      </w:r>
    </w:p>
    <w:p w14:paraId="7FDAD23C" w14:textId="77777777" w:rsidR="00A7332A" w:rsidRPr="00A7332A" w:rsidRDefault="00A7332A" w:rsidP="00916EA3">
      <w:pPr>
        <w:pStyle w:val="IntenseQuote"/>
        <w:numPr>
          <w:ilvl w:val="0"/>
          <w:numId w:val="11"/>
        </w:numPr>
        <w:jc w:val="left"/>
        <w:rPr>
          <w:i w:val="0"/>
          <w:iCs w:val="0"/>
          <w:sz w:val="22"/>
          <w:szCs w:val="22"/>
          <w:lang w:val="mi-NZ"/>
        </w:rPr>
      </w:pPr>
      <w:r w:rsidRPr="00A7332A">
        <w:rPr>
          <w:i w:val="0"/>
          <w:iCs w:val="0"/>
          <w:sz w:val="22"/>
          <w:szCs w:val="22"/>
          <w:lang w:val="mi-NZ"/>
        </w:rPr>
        <w:t xml:space="preserve">Invest in training and wananga to embed a child rights based approach throughout the public service, including in the development of laws and policies. </w:t>
      </w:r>
    </w:p>
    <w:p w14:paraId="08C04CB9" w14:textId="77777777" w:rsidR="00A7332A" w:rsidRPr="00A7332A" w:rsidRDefault="00A7332A" w:rsidP="00916EA3">
      <w:pPr>
        <w:pStyle w:val="IntenseQuote"/>
        <w:numPr>
          <w:ilvl w:val="0"/>
          <w:numId w:val="11"/>
        </w:numPr>
        <w:jc w:val="left"/>
        <w:rPr>
          <w:i w:val="0"/>
          <w:iCs w:val="0"/>
          <w:sz w:val="22"/>
          <w:szCs w:val="22"/>
          <w:lang w:val="mi-NZ"/>
        </w:rPr>
      </w:pPr>
      <w:r w:rsidRPr="00A7332A">
        <w:rPr>
          <w:i w:val="0"/>
          <w:iCs w:val="0"/>
          <w:sz w:val="22"/>
          <w:szCs w:val="22"/>
          <w:lang w:val="mi-NZ"/>
        </w:rPr>
        <w:t>Strengthen the alignment between:</w:t>
      </w:r>
    </w:p>
    <w:p w14:paraId="544C11AC" w14:textId="77777777" w:rsidR="00A7332A" w:rsidRPr="00A7332A" w:rsidRDefault="00A7332A" w:rsidP="00BA5C61">
      <w:pPr>
        <w:pStyle w:val="IntenseQuote"/>
        <w:numPr>
          <w:ilvl w:val="0"/>
          <w:numId w:val="57"/>
        </w:numPr>
        <w:jc w:val="left"/>
        <w:rPr>
          <w:i w:val="0"/>
          <w:iCs w:val="0"/>
          <w:sz w:val="22"/>
          <w:szCs w:val="22"/>
          <w:lang w:val="mi-NZ"/>
        </w:rPr>
      </w:pPr>
      <w:r w:rsidRPr="00A7332A">
        <w:rPr>
          <w:i w:val="0"/>
          <w:iCs w:val="0"/>
          <w:sz w:val="22"/>
          <w:szCs w:val="22"/>
          <w:lang w:val="mi-NZ"/>
        </w:rPr>
        <w:t>The CRC and CYWS, and develop a rights based approach within the strategy and its implementation, for all children.</w:t>
      </w:r>
    </w:p>
    <w:p w14:paraId="54692225" w14:textId="7D573463" w:rsidR="00DA7899" w:rsidRPr="00BC4E04" w:rsidRDefault="00A7332A" w:rsidP="00BA5C61">
      <w:pPr>
        <w:pStyle w:val="IntenseQuote"/>
        <w:numPr>
          <w:ilvl w:val="0"/>
          <w:numId w:val="57"/>
        </w:numPr>
        <w:jc w:val="left"/>
        <w:rPr>
          <w:i w:val="0"/>
          <w:iCs w:val="0"/>
          <w:sz w:val="22"/>
          <w:szCs w:val="22"/>
          <w:lang w:val="mi-NZ"/>
        </w:rPr>
      </w:pPr>
      <w:r w:rsidRPr="00A7332A">
        <w:rPr>
          <w:i w:val="0"/>
          <w:iCs w:val="0"/>
          <w:sz w:val="22"/>
          <w:szCs w:val="22"/>
          <w:lang w:val="mi-NZ"/>
        </w:rPr>
        <w:t>The CRC and OTAP, to ensure children’s rights underpin co-ordination of efforts to improve children’s wellbeing across Government.</w:t>
      </w:r>
    </w:p>
    <w:p w14:paraId="6FA9A8C9" w14:textId="77777777" w:rsidR="00B316A8" w:rsidRDefault="00B316A8">
      <w:pPr>
        <w:rPr>
          <w:rFonts w:asciiTheme="majorHAnsi" w:eastAsiaTheme="majorEastAsia" w:hAnsiTheme="majorHAnsi" w:cstheme="majorBidi"/>
          <w:b/>
          <w:bCs/>
          <w:color w:val="25409A" w:themeColor="text2"/>
          <w:sz w:val="24"/>
          <w:szCs w:val="24"/>
          <w:lang w:val="mi-NZ"/>
        </w:rPr>
      </w:pPr>
      <w:r>
        <w:rPr>
          <w:lang w:val="mi-NZ"/>
        </w:rPr>
        <w:br w:type="page"/>
      </w:r>
    </w:p>
    <w:p w14:paraId="16DFD12F" w14:textId="2A007C34" w:rsidR="00A7332A" w:rsidRPr="00A7332A" w:rsidRDefault="00A7332A" w:rsidP="00750C45">
      <w:pPr>
        <w:pStyle w:val="Heading2"/>
        <w:rPr>
          <w:lang w:val="mi-NZ"/>
        </w:rPr>
      </w:pPr>
      <w:bookmarkStart w:id="16" w:name="_Toc111485444"/>
      <w:r w:rsidRPr="00A7332A">
        <w:rPr>
          <w:lang w:val="mi-NZ"/>
        </w:rPr>
        <w:lastRenderedPageBreak/>
        <w:t>Child Impact Assessment and Allocation of Resources – LOIPR 4(e) and 5</w:t>
      </w:r>
      <w:bookmarkEnd w:id="16"/>
    </w:p>
    <w:p w14:paraId="367652D4" w14:textId="02A05221" w:rsidR="00970A6D" w:rsidRDefault="00970A6D" w:rsidP="00A7332A">
      <w:pPr>
        <w:pStyle w:val="ListParagraph"/>
        <w:rPr>
          <w:rFonts w:cstheme="minorHAnsi"/>
          <w:sz w:val="22"/>
          <w:szCs w:val="22"/>
          <w:lang w:val="mi-NZ"/>
        </w:rPr>
      </w:pPr>
    </w:p>
    <w:p w14:paraId="534C4597" w14:textId="77777777" w:rsidR="00DA7899" w:rsidRDefault="00A7332A" w:rsidP="00DA7899">
      <w:pPr>
        <w:pStyle w:val="ListParagraph"/>
        <w:numPr>
          <w:ilvl w:val="0"/>
          <w:numId w:val="9"/>
        </w:numPr>
        <w:ind w:hanging="720"/>
        <w:rPr>
          <w:rFonts w:cstheme="minorHAnsi"/>
          <w:sz w:val="22"/>
          <w:szCs w:val="22"/>
          <w:lang w:val="en-NZ"/>
        </w:rPr>
      </w:pPr>
      <w:r w:rsidRPr="00A7332A">
        <w:rPr>
          <w:rFonts w:cstheme="minorHAnsi"/>
          <w:sz w:val="22"/>
          <w:szCs w:val="22"/>
          <w:lang w:val="en-NZ"/>
        </w:rPr>
        <w:t>Use of the recently developed Child Impact Assessment Tool (CIAT) is not mandatory.</w:t>
      </w:r>
      <w:r w:rsidRPr="00A7332A">
        <w:rPr>
          <w:rFonts w:cstheme="minorHAnsi"/>
          <w:sz w:val="22"/>
          <w:szCs w:val="22"/>
          <w:vertAlign w:val="superscript"/>
          <w:lang w:val="en-NZ"/>
        </w:rPr>
        <w:footnoteReference w:id="107"/>
      </w:r>
      <w:r w:rsidRPr="00A7332A">
        <w:rPr>
          <w:rFonts w:cstheme="minorHAnsi"/>
          <w:sz w:val="22"/>
          <w:szCs w:val="22"/>
          <w:lang w:val="en-NZ"/>
        </w:rPr>
        <w:t xml:space="preserve"> Guidance was published in 2018, but training to support the CIAT’s use has been limited. </w:t>
      </w:r>
    </w:p>
    <w:p w14:paraId="6B2546E7" w14:textId="77777777" w:rsidR="00DA7899" w:rsidRDefault="00DA7899" w:rsidP="00DA7899">
      <w:pPr>
        <w:pStyle w:val="ListParagraph"/>
        <w:rPr>
          <w:rFonts w:cstheme="minorHAnsi"/>
          <w:sz w:val="22"/>
          <w:szCs w:val="22"/>
          <w:lang w:val="en-NZ"/>
        </w:rPr>
      </w:pPr>
    </w:p>
    <w:p w14:paraId="0E6981CE" w14:textId="30168627" w:rsidR="00DA7899" w:rsidRPr="00DA7899" w:rsidRDefault="00DA7899" w:rsidP="00DA7899">
      <w:pPr>
        <w:pStyle w:val="ListParagraph"/>
        <w:numPr>
          <w:ilvl w:val="0"/>
          <w:numId w:val="9"/>
        </w:numPr>
        <w:ind w:hanging="720"/>
        <w:rPr>
          <w:rFonts w:cstheme="minorHAnsi"/>
          <w:sz w:val="22"/>
          <w:szCs w:val="22"/>
          <w:lang w:val="en-NZ"/>
        </w:rPr>
      </w:pPr>
      <w:r w:rsidRPr="00DA7899">
        <w:rPr>
          <w:rFonts w:cstheme="minorHAnsi"/>
          <w:sz w:val="22"/>
          <w:szCs w:val="22"/>
          <w:lang w:val="en-NZ"/>
        </w:rPr>
        <w:t>The current Government has adopted a wellbeing approach to the Budget, including a child wellbeing objective,</w:t>
      </w:r>
      <w:r w:rsidRPr="00DA7899">
        <w:rPr>
          <w:rFonts w:cstheme="minorHAnsi"/>
          <w:sz w:val="22"/>
          <w:szCs w:val="22"/>
          <w:vertAlign w:val="superscript"/>
          <w:lang w:val="en-NZ"/>
        </w:rPr>
        <w:footnoteReference w:id="108"/>
      </w:r>
      <w:r w:rsidRPr="00DA7899">
        <w:rPr>
          <w:rFonts w:cstheme="minorHAnsi"/>
          <w:sz w:val="22"/>
          <w:szCs w:val="22"/>
          <w:lang w:val="en-NZ"/>
        </w:rPr>
        <w:t xml:space="preserve">  which lends itself to strengthening the application of children’s rights in budget decision-making.</w:t>
      </w:r>
      <w:r w:rsidRPr="00DA7899">
        <w:rPr>
          <w:rFonts w:cstheme="minorHAnsi"/>
          <w:sz w:val="22"/>
          <w:szCs w:val="22"/>
          <w:vertAlign w:val="superscript"/>
          <w:lang w:val="en-NZ"/>
        </w:rPr>
        <w:footnoteReference w:id="109"/>
      </w:r>
      <w:r w:rsidRPr="00DA7899">
        <w:rPr>
          <w:rFonts w:cstheme="minorHAnsi"/>
          <w:sz w:val="22"/>
          <w:szCs w:val="22"/>
          <w:lang w:val="en-NZ"/>
        </w:rPr>
        <w:t xml:space="preserve"> Children’s rights could inform:</w:t>
      </w:r>
      <w:r w:rsidRPr="00DA7899">
        <w:rPr>
          <w:rFonts w:cstheme="minorHAnsi"/>
          <w:sz w:val="22"/>
          <w:szCs w:val="22"/>
          <w:vertAlign w:val="superscript"/>
          <w:lang w:val="en-NZ"/>
        </w:rPr>
        <w:footnoteReference w:id="110"/>
      </w:r>
    </w:p>
    <w:p w14:paraId="7AF188D5" w14:textId="0672C18F" w:rsidR="00A7332A" w:rsidRDefault="00A7332A" w:rsidP="00307A9D">
      <w:pPr>
        <w:pStyle w:val="ListParagraph"/>
        <w:rPr>
          <w:rFonts w:cstheme="minorHAnsi"/>
          <w:sz w:val="22"/>
          <w:szCs w:val="22"/>
          <w:lang w:val="en-NZ"/>
        </w:rPr>
      </w:pPr>
    </w:p>
    <w:p w14:paraId="053ABE5D" w14:textId="77777777" w:rsidR="00307A9D" w:rsidRPr="00307A9D" w:rsidRDefault="00307A9D" w:rsidP="00916EA3">
      <w:pPr>
        <w:pStyle w:val="ListParagraph"/>
        <w:numPr>
          <w:ilvl w:val="0"/>
          <w:numId w:val="14"/>
        </w:numPr>
        <w:spacing w:after="0" w:line="240" w:lineRule="auto"/>
        <w:rPr>
          <w:rFonts w:cstheme="minorHAnsi"/>
          <w:sz w:val="22"/>
          <w:szCs w:val="22"/>
          <w:highlight w:val="white"/>
        </w:rPr>
      </w:pPr>
      <w:r w:rsidRPr="00307A9D">
        <w:rPr>
          <w:rFonts w:cstheme="minorHAnsi"/>
          <w:sz w:val="22"/>
          <w:szCs w:val="22"/>
        </w:rPr>
        <w:t xml:space="preserve">The development of the child wellbeing component of the </w:t>
      </w:r>
      <w:r w:rsidRPr="00307A9D">
        <w:rPr>
          <w:rFonts w:cstheme="minorHAnsi"/>
          <w:i/>
          <w:iCs/>
          <w:sz w:val="22"/>
          <w:szCs w:val="22"/>
        </w:rPr>
        <w:t>Treasury’s Flexible Living Standards Framework</w:t>
      </w:r>
      <w:r w:rsidRPr="00307A9D">
        <w:rPr>
          <w:rFonts w:cstheme="minorHAnsi"/>
          <w:sz w:val="22"/>
          <w:szCs w:val="22"/>
        </w:rPr>
        <w:t>.</w:t>
      </w:r>
      <w:r w:rsidRPr="00307A9D">
        <w:rPr>
          <w:rStyle w:val="FootnoteReference"/>
          <w:rFonts w:cstheme="minorHAnsi"/>
          <w:sz w:val="22"/>
          <w:szCs w:val="22"/>
        </w:rPr>
        <w:footnoteReference w:id="111"/>
      </w:r>
      <w:r w:rsidRPr="00307A9D">
        <w:rPr>
          <w:rFonts w:cstheme="minorHAnsi"/>
          <w:i/>
          <w:iCs/>
          <w:sz w:val="22"/>
          <w:szCs w:val="22"/>
        </w:rPr>
        <w:t xml:space="preserve"> </w:t>
      </w:r>
    </w:p>
    <w:p w14:paraId="39A5B4F3" w14:textId="77777777" w:rsidR="00307A9D" w:rsidRPr="00307A9D" w:rsidRDefault="00307A9D" w:rsidP="00916EA3">
      <w:pPr>
        <w:pStyle w:val="ListParagraph"/>
        <w:numPr>
          <w:ilvl w:val="0"/>
          <w:numId w:val="14"/>
        </w:numPr>
        <w:spacing w:after="0" w:line="240" w:lineRule="auto"/>
        <w:rPr>
          <w:rFonts w:cstheme="minorHAnsi"/>
          <w:sz w:val="22"/>
          <w:szCs w:val="22"/>
          <w:highlight w:val="white"/>
        </w:rPr>
      </w:pPr>
      <w:r w:rsidRPr="00307A9D">
        <w:rPr>
          <w:rFonts w:cstheme="minorHAnsi"/>
          <w:sz w:val="22"/>
          <w:szCs w:val="22"/>
        </w:rPr>
        <w:t>The setting and co-ordination of spending priorities.</w:t>
      </w:r>
    </w:p>
    <w:p w14:paraId="251BACD7" w14:textId="77777777" w:rsidR="00307A9D" w:rsidRPr="00307A9D" w:rsidRDefault="00307A9D" w:rsidP="00916EA3">
      <w:pPr>
        <w:pStyle w:val="ListParagraph"/>
        <w:numPr>
          <w:ilvl w:val="0"/>
          <w:numId w:val="14"/>
        </w:numPr>
        <w:spacing w:after="0" w:line="240" w:lineRule="auto"/>
        <w:rPr>
          <w:rFonts w:cstheme="minorHAnsi"/>
          <w:sz w:val="22"/>
          <w:szCs w:val="22"/>
          <w:highlight w:val="white"/>
        </w:rPr>
      </w:pPr>
      <w:r w:rsidRPr="00307A9D">
        <w:rPr>
          <w:rFonts w:cstheme="minorHAnsi"/>
          <w:sz w:val="22"/>
          <w:szCs w:val="22"/>
        </w:rPr>
        <w:t>Evaluation of the effectiveness of public spending for children.</w:t>
      </w:r>
    </w:p>
    <w:p w14:paraId="31C2706D" w14:textId="59885ED3" w:rsidR="00307A9D" w:rsidRPr="00307A9D" w:rsidRDefault="00307A9D" w:rsidP="00916EA3">
      <w:pPr>
        <w:pStyle w:val="ListParagraph"/>
        <w:numPr>
          <w:ilvl w:val="0"/>
          <w:numId w:val="14"/>
        </w:numPr>
        <w:spacing w:after="0" w:line="240" w:lineRule="auto"/>
        <w:rPr>
          <w:rFonts w:cstheme="minorHAnsi"/>
          <w:sz w:val="22"/>
          <w:szCs w:val="22"/>
          <w:highlight w:val="white"/>
        </w:rPr>
      </w:pPr>
      <w:r w:rsidRPr="00307A9D">
        <w:rPr>
          <w:rFonts w:cstheme="minorHAnsi"/>
          <w:sz w:val="22"/>
          <w:szCs w:val="22"/>
        </w:rPr>
        <w:t>The development of child-friendly mechanisms for participation in the development of national and local budgets.</w:t>
      </w:r>
      <w:r w:rsidRPr="00307A9D">
        <w:rPr>
          <w:rStyle w:val="FootnoteReference"/>
          <w:rFonts w:cstheme="minorHAnsi"/>
          <w:sz w:val="22"/>
          <w:szCs w:val="22"/>
        </w:rPr>
        <w:footnoteReference w:id="112"/>
      </w:r>
    </w:p>
    <w:p w14:paraId="5FAAA3BC" w14:textId="30585065" w:rsidR="00307A9D" w:rsidRDefault="00307A9D" w:rsidP="00307A9D">
      <w:pPr>
        <w:pStyle w:val="ListParagraph"/>
        <w:spacing w:after="0" w:line="240" w:lineRule="auto"/>
        <w:rPr>
          <w:rFonts w:cstheme="minorHAnsi"/>
          <w:sz w:val="22"/>
          <w:szCs w:val="22"/>
        </w:rPr>
      </w:pPr>
    </w:p>
    <w:p w14:paraId="0F1F4966" w14:textId="232D2C73" w:rsidR="00307A9D" w:rsidRPr="00307A9D" w:rsidRDefault="00307A9D" w:rsidP="00307A9D">
      <w:pPr>
        <w:pStyle w:val="IntenseQuote"/>
        <w:ind w:left="720"/>
        <w:jc w:val="left"/>
        <w:rPr>
          <w:b/>
          <w:bCs/>
          <w:i w:val="0"/>
          <w:iCs w:val="0"/>
          <w:sz w:val="24"/>
          <w:szCs w:val="24"/>
          <w:lang w:val="mi-NZ"/>
        </w:rPr>
      </w:pPr>
      <w:r w:rsidRPr="00307A9D">
        <w:rPr>
          <w:b/>
          <w:bCs/>
          <w:i w:val="0"/>
          <w:iCs w:val="0"/>
          <w:sz w:val="24"/>
          <w:szCs w:val="24"/>
          <w:lang w:val="mi-NZ"/>
        </w:rPr>
        <w:t>Recommendations</w:t>
      </w:r>
    </w:p>
    <w:p w14:paraId="3E4F832E" w14:textId="77777777" w:rsidR="00307A9D" w:rsidRPr="00307A9D" w:rsidRDefault="00307A9D" w:rsidP="00916EA3">
      <w:pPr>
        <w:pStyle w:val="IntenseQuote"/>
        <w:numPr>
          <w:ilvl w:val="0"/>
          <w:numId w:val="11"/>
        </w:numPr>
        <w:jc w:val="left"/>
        <w:rPr>
          <w:i w:val="0"/>
          <w:iCs w:val="0"/>
          <w:sz w:val="22"/>
          <w:szCs w:val="22"/>
          <w:lang w:val="mi-NZ"/>
        </w:rPr>
      </w:pPr>
      <w:r w:rsidRPr="00307A9D">
        <w:rPr>
          <w:i w:val="0"/>
          <w:iCs w:val="0"/>
          <w:sz w:val="22"/>
          <w:szCs w:val="22"/>
          <w:lang w:val="mi-NZ"/>
        </w:rPr>
        <w:t>Incorporate a child rights based approach into the Budget process.</w:t>
      </w:r>
    </w:p>
    <w:p w14:paraId="0B684D3D" w14:textId="77777777" w:rsidR="00307A9D" w:rsidRPr="00307A9D" w:rsidRDefault="00307A9D" w:rsidP="00916EA3">
      <w:pPr>
        <w:pStyle w:val="IntenseQuote"/>
        <w:numPr>
          <w:ilvl w:val="0"/>
          <w:numId w:val="11"/>
        </w:numPr>
        <w:jc w:val="left"/>
        <w:rPr>
          <w:i w:val="0"/>
          <w:iCs w:val="0"/>
          <w:sz w:val="22"/>
          <w:szCs w:val="22"/>
          <w:lang w:val="mi-NZ"/>
        </w:rPr>
      </w:pPr>
      <w:r w:rsidRPr="00307A9D">
        <w:rPr>
          <w:i w:val="0"/>
          <w:iCs w:val="0"/>
          <w:sz w:val="22"/>
          <w:szCs w:val="22"/>
          <w:lang w:val="mi-NZ"/>
        </w:rPr>
        <w:t>Implement a rights-based, and transparent, tracking system for the allocation, use and monitoring of resources for children, to eliminate disparities, create equity, and ensure spending serves the bests interests of all children.</w:t>
      </w:r>
    </w:p>
    <w:p w14:paraId="681F8A31" w14:textId="77777777" w:rsidR="00562C90" w:rsidRDefault="00562C90" w:rsidP="00750C45">
      <w:pPr>
        <w:pStyle w:val="Heading2"/>
      </w:pPr>
    </w:p>
    <w:p w14:paraId="0ED0BEC3" w14:textId="271791C3" w:rsidR="00307A9D" w:rsidRPr="00B316A8" w:rsidRDefault="00A5379C" w:rsidP="00B316A8">
      <w:pPr>
        <w:pStyle w:val="Heading2"/>
      </w:pPr>
      <w:r>
        <w:br w:type="page"/>
      </w:r>
      <w:bookmarkStart w:id="17" w:name="_Toc111485445"/>
      <w:r w:rsidR="00307A9D" w:rsidRPr="00750C45">
        <w:lastRenderedPageBreak/>
        <w:t>Data Collection – LOIPR 6</w:t>
      </w:r>
      <w:bookmarkEnd w:id="17"/>
    </w:p>
    <w:p w14:paraId="725E6C75" w14:textId="77777777" w:rsidR="00562C90" w:rsidRPr="00307A9D" w:rsidRDefault="00562C90" w:rsidP="00307A9D">
      <w:pPr>
        <w:rPr>
          <w:rFonts w:cstheme="minorHAnsi"/>
          <w:sz w:val="22"/>
          <w:szCs w:val="22"/>
          <w:lang w:val="en-NZ"/>
        </w:rPr>
      </w:pPr>
    </w:p>
    <w:p w14:paraId="61AC5942" w14:textId="76F655C6" w:rsidR="00307A9D" w:rsidRPr="00307A9D" w:rsidRDefault="00307A9D" w:rsidP="00307A9D">
      <w:pPr>
        <w:pStyle w:val="ListParagraph"/>
        <w:numPr>
          <w:ilvl w:val="0"/>
          <w:numId w:val="9"/>
        </w:numPr>
        <w:ind w:hanging="720"/>
        <w:rPr>
          <w:rFonts w:cstheme="minorHAnsi"/>
          <w:sz w:val="22"/>
          <w:szCs w:val="22"/>
          <w:lang w:val="en-NZ"/>
        </w:rPr>
      </w:pPr>
      <w:r w:rsidRPr="00307A9D">
        <w:rPr>
          <w:rFonts w:cstheme="minorHAnsi"/>
          <w:sz w:val="22"/>
          <w:szCs w:val="22"/>
          <w:lang w:val="en-NZ"/>
        </w:rPr>
        <w:t>While we acknowledge improvements in data collection about children,</w:t>
      </w:r>
      <w:r w:rsidRPr="00307A9D">
        <w:rPr>
          <w:rFonts w:cstheme="minorHAnsi"/>
          <w:sz w:val="22"/>
          <w:szCs w:val="22"/>
          <w:vertAlign w:val="superscript"/>
          <w:lang w:val="en-NZ"/>
        </w:rPr>
        <w:footnoteReference w:id="113"/>
      </w:r>
      <w:r w:rsidRPr="00307A9D">
        <w:rPr>
          <w:rFonts w:cstheme="minorHAnsi"/>
          <w:sz w:val="22"/>
          <w:szCs w:val="22"/>
          <w:lang w:val="en-NZ"/>
        </w:rPr>
        <w:t xml:space="preserve"> there is no comprehensive mechanism for collecting high quality disaggregated data about children and for making it accessible.</w:t>
      </w:r>
      <w:r w:rsidRPr="00307A9D">
        <w:rPr>
          <w:rFonts w:cstheme="minorHAnsi"/>
          <w:sz w:val="22"/>
          <w:szCs w:val="22"/>
          <w:vertAlign w:val="superscript"/>
          <w:lang w:val="en-NZ"/>
        </w:rPr>
        <w:footnoteReference w:id="114"/>
      </w:r>
      <w:r w:rsidRPr="00307A9D">
        <w:rPr>
          <w:rFonts w:cstheme="minorHAnsi"/>
          <w:sz w:val="22"/>
          <w:szCs w:val="22"/>
          <w:lang w:val="en-NZ"/>
        </w:rPr>
        <w:t xml:space="preserve"> </w:t>
      </w:r>
      <w:r w:rsidRPr="00307A9D">
        <w:rPr>
          <w:rFonts w:cstheme="minorHAnsi"/>
          <w:sz w:val="22"/>
          <w:szCs w:val="22"/>
          <w:vertAlign w:val="superscript"/>
          <w:lang w:val="en-NZ"/>
        </w:rPr>
        <w:footnoteReference w:id="115"/>
      </w:r>
      <w:r w:rsidRPr="00307A9D">
        <w:rPr>
          <w:rFonts w:cstheme="minorHAnsi"/>
          <w:sz w:val="22"/>
          <w:szCs w:val="22"/>
          <w:lang w:val="en-NZ"/>
        </w:rPr>
        <w:t xml:space="preserve"> </w:t>
      </w:r>
    </w:p>
    <w:p w14:paraId="2BE91909" w14:textId="77777777" w:rsidR="00307A9D" w:rsidRPr="00307A9D" w:rsidRDefault="00307A9D" w:rsidP="00307A9D">
      <w:pPr>
        <w:pStyle w:val="ListParagraph"/>
        <w:rPr>
          <w:rFonts w:cstheme="minorHAnsi"/>
          <w:sz w:val="22"/>
          <w:szCs w:val="22"/>
          <w:lang w:val="en-NZ"/>
        </w:rPr>
      </w:pPr>
    </w:p>
    <w:p w14:paraId="287242DE" w14:textId="20904186" w:rsidR="00307A9D" w:rsidRPr="00307A9D" w:rsidRDefault="00307A9D" w:rsidP="00307A9D">
      <w:pPr>
        <w:pStyle w:val="ListParagraph"/>
        <w:numPr>
          <w:ilvl w:val="0"/>
          <w:numId w:val="9"/>
        </w:numPr>
        <w:ind w:hanging="720"/>
        <w:rPr>
          <w:rFonts w:cstheme="minorHAnsi"/>
          <w:sz w:val="22"/>
          <w:szCs w:val="22"/>
          <w:lang w:val="en-NZ"/>
        </w:rPr>
      </w:pPr>
      <w:r w:rsidRPr="00307A9D">
        <w:rPr>
          <w:rFonts w:cstheme="minorHAnsi"/>
          <w:sz w:val="22"/>
          <w:szCs w:val="22"/>
          <w:lang w:val="en-NZ"/>
        </w:rPr>
        <w:t>In addition to the lack of accessible data, disruptions and delays to data collection make it very difficult to track changes for children over time. For example: the most recent official statistics on disabled children are from</w:t>
      </w:r>
      <w:r w:rsidR="00750C45">
        <w:rPr>
          <w:rFonts w:cstheme="minorHAnsi"/>
          <w:sz w:val="22"/>
          <w:szCs w:val="22"/>
          <w:lang w:val="en-NZ"/>
        </w:rPr>
        <w:t xml:space="preserve"> </w:t>
      </w:r>
      <w:r w:rsidRPr="00307A9D">
        <w:rPr>
          <w:rFonts w:cstheme="minorHAnsi"/>
          <w:sz w:val="22"/>
          <w:szCs w:val="22"/>
          <w:lang w:val="en-NZ"/>
        </w:rPr>
        <w:t>2013;</w:t>
      </w:r>
      <w:r w:rsidRPr="00307A9D">
        <w:rPr>
          <w:rFonts w:cstheme="minorHAnsi"/>
          <w:sz w:val="22"/>
          <w:szCs w:val="22"/>
          <w:vertAlign w:val="superscript"/>
          <w:lang w:val="en-NZ"/>
        </w:rPr>
        <w:footnoteReference w:id="116"/>
      </w:r>
      <w:r w:rsidRPr="00307A9D">
        <w:rPr>
          <w:rFonts w:cstheme="minorHAnsi"/>
          <w:sz w:val="22"/>
          <w:szCs w:val="22"/>
          <w:lang w:val="en-NZ"/>
        </w:rPr>
        <w:t xml:space="preserve"> and the Youth2000 survey did not occur in 2018 as scheduled.</w:t>
      </w:r>
      <w:r w:rsidRPr="00307A9D">
        <w:rPr>
          <w:rFonts w:cstheme="minorHAnsi"/>
          <w:sz w:val="22"/>
          <w:szCs w:val="22"/>
          <w:vertAlign w:val="superscript"/>
          <w:lang w:val="en-NZ"/>
        </w:rPr>
        <w:footnoteReference w:id="117"/>
      </w:r>
      <w:r w:rsidRPr="00307A9D">
        <w:rPr>
          <w:rFonts w:cstheme="minorHAnsi"/>
          <w:sz w:val="22"/>
          <w:szCs w:val="22"/>
          <w:lang w:val="en-NZ"/>
        </w:rPr>
        <w:t xml:space="preserve"> </w:t>
      </w:r>
      <w:r w:rsidRPr="00307A9D">
        <w:rPr>
          <w:rFonts w:cstheme="minorHAnsi"/>
          <w:sz w:val="22"/>
          <w:szCs w:val="22"/>
          <w:vertAlign w:val="superscript"/>
          <w:lang w:val="en-NZ"/>
        </w:rPr>
        <w:footnoteReference w:id="118"/>
      </w:r>
      <w:r w:rsidRPr="00307A9D">
        <w:rPr>
          <w:rFonts w:cstheme="minorHAnsi"/>
          <w:sz w:val="22"/>
          <w:szCs w:val="22"/>
          <w:lang w:val="en-NZ"/>
        </w:rPr>
        <w:t xml:space="preserve"> Lower than targeted numbers of Māori and Pacific people responded to the most recent national Census.</w:t>
      </w:r>
      <w:r w:rsidRPr="00307A9D">
        <w:rPr>
          <w:rFonts w:cstheme="minorHAnsi"/>
          <w:sz w:val="22"/>
          <w:szCs w:val="22"/>
          <w:vertAlign w:val="superscript"/>
          <w:lang w:val="en-NZ"/>
        </w:rPr>
        <w:footnoteReference w:id="119"/>
      </w:r>
      <w:r w:rsidRPr="00307A9D">
        <w:rPr>
          <w:rFonts w:cstheme="minorHAnsi"/>
          <w:sz w:val="22"/>
          <w:szCs w:val="22"/>
          <w:lang w:val="en-NZ"/>
        </w:rPr>
        <w:t xml:space="preserve">  </w:t>
      </w:r>
    </w:p>
    <w:p w14:paraId="427BF4E6" w14:textId="77777777" w:rsidR="00307A9D" w:rsidRPr="00307A9D" w:rsidRDefault="00307A9D" w:rsidP="00307A9D">
      <w:pPr>
        <w:pStyle w:val="ListParagraph"/>
        <w:rPr>
          <w:rFonts w:cstheme="minorHAnsi"/>
          <w:sz w:val="22"/>
          <w:szCs w:val="22"/>
          <w:lang w:val="en-NZ"/>
        </w:rPr>
      </w:pPr>
    </w:p>
    <w:p w14:paraId="286EE283" w14:textId="77777777" w:rsidR="00307A9D" w:rsidRPr="00307A9D" w:rsidRDefault="00307A9D" w:rsidP="00307A9D">
      <w:pPr>
        <w:pStyle w:val="ListParagraph"/>
        <w:numPr>
          <w:ilvl w:val="0"/>
          <w:numId w:val="9"/>
        </w:numPr>
        <w:ind w:hanging="720"/>
        <w:rPr>
          <w:rFonts w:cstheme="minorHAnsi"/>
          <w:sz w:val="22"/>
          <w:szCs w:val="22"/>
          <w:lang w:val="en-NZ"/>
        </w:rPr>
      </w:pPr>
      <w:r w:rsidRPr="00307A9D">
        <w:rPr>
          <w:rFonts w:cstheme="minorHAnsi"/>
          <w:sz w:val="22"/>
          <w:szCs w:val="22"/>
          <w:lang w:val="en-NZ"/>
        </w:rPr>
        <w:t xml:space="preserve">Demographic measures related to rainbow (LGBTI+) children are not routinely collected in research or population surveys, though there has been a </w:t>
      </w:r>
      <w:r w:rsidRPr="00307A9D">
        <w:rPr>
          <w:rFonts w:cstheme="minorHAnsi"/>
          <w:sz w:val="22"/>
          <w:szCs w:val="22"/>
          <w:lang w:val="en-NZ"/>
        </w:rPr>
        <w:lastRenderedPageBreak/>
        <w:t>commitment to begin collecting data on sexuality, gender and intersex variations in the next Census.</w:t>
      </w:r>
      <w:r w:rsidRPr="00307A9D">
        <w:rPr>
          <w:rFonts w:cstheme="minorHAnsi"/>
          <w:sz w:val="22"/>
          <w:szCs w:val="22"/>
          <w:vertAlign w:val="superscript"/>
          <w:lang w:val="en-NZ"/>
        </w:rPr>
        <w:footnoteReference w:id="120"/>
      </w:r>
    </w:p>
    <w:p w14:paraId="4383954E" w14:textId="77777777" w:rsidR="00307A9D" w:rsidRPr="00307A9D" w:rsidRDefault="00307A9D" w:rsidP="00307A9D">
      <w:pPr>
        <w:pStyle w:val="ListParagraph"/>
        <w:rPr>
          <w:rFonts w:cstheme="minorHAnsi"/>
          <w:sz w:val="22"/>
          <w:szCs w:val="22"/>
          <w:lang w:val="en-NZ"/>
        </w:rPr>
      </w:pPr>
    </w:p>
    <w:p w14:paraId="29A68595" w14:textId="78788B44" w:rsidR="00307A9D" w:rsidRPr="00307A9D" w:rsidRDefault="00307A9D" w:rsidP="00307A9D">
      <w:pPr>
        <w:pStyle w:val="ListParagraph"/>
        <w:numPr>
          <w:ilvl w:val="0"/>
          <w:numId w:val="9"/>
        </w:numPr>
        <w:ind w:hanging="720"/>
        <w:rPr>
          <w:rFonts w:cstheme="minorHAnsi"/>
          <w:sz w:val="22"/>
          <w:szCs w:val="22"/>
          <w:lang w:val="en-NZ"/>
        </w:rPr>
      </w:pPr>
      <w:r w:rsidRPr="00307A9D">
        <w:rPr>
          <w:rFonts w:cstheme="minorHAnsi"/>
          <w:sz w:val="22"/>
          <w:szCs w:val="22"/>
        </w:rPr>
        <w:t>Data is not yet available for some measures of poverty.</w:t>
      </w:r>
      <w:r w:rsidRPr="00307A9D">
        <w:rPr>
          <w:rFonts w:cstheme="minorHAnsi"/>
          <w:sz w:val="22"/>
          <w:szCs w:val="22"/>
          <w:vertAlign w:val="superscript"/>
        </w:rPr>
        <w:footnoteReference w:id="121"/>
      </w:r>
      <w:r w:rsidRPr="00307A9D">
        <w:rPr>
          <w:rFonts w:cstheme="minorHAnsi"/>
          <w:sz w:val="22"/>
          <w:szCs w:val="22"/>
        </w:rPr>
        <w:t xml:space="preserve"> For example, an official survey measuring persistent poverty over time is only starting to collect data from 2022 onwards. COVID-19 limited data collection resulting in limited official data on the extent and impact of poverty on children during the pandemic. </w:t>
      </w:r>
    </w:p>
    <w:p w14:paraId="745F626B" w14:textId="77777777" w:rsidR="00307A9D" w:rsidRPr="00307A9D" w:rsidRDefault="00307A9D" w:rsidP="00307A9D">
      <w:pPr>
        <w:pStyle w:val="ListParagraph"/>
        <w:rPr>
          <w:rFonts w:cstheme="minorHAnsi"/>
          <w:sz w:val="22"/>
          <w:szCs w:val="22"/>
          <w:lang w:val="en-NZ"/>
        </w:rPr>
      </w:pPr>
    </w:p>
    <w:p w14:paraId="49B23E28" w14:textId="38E772D9" w:rsidR="00307A9D" w:rsidRDefault="00307A9D" w:rsidP="00346896">
      <w:pPr>
        <w:pStyle w:val="ListParagraph"/>
        <w:numPr>
          <w:ilvl w:val="0"/>
          <w:numId w:val="9"/>
        </w:numPr>
        <w:spacing w:after="0" w:line="240" w:lineRule="auto"/>
        <w:ind w:hanging="720"/>
        <w:rPr>
          <w:rFonts w:cstheme="minorHAnsi"/>
          <w:sz w:val="22"/>
          <w:szCs w:val="22"/>
          <w:lang w:val="en-NZ"/>
        </w:rPr>
      </w:pPr>
      <w:r w:rsidRPr="00307A9D">
        <w:rPr>
          <w:rFonts w:cstheme="minorHAnsi"/>
          <w:sz w:val="22"/>
          <w:szCs w:val="22"/>
          <w:lang w:val="en-NZ"/>
        </w:rPr>
        <w:t>Given the reforms underway across Government in multiple areas affecting children, ongoing evaluation of system-level changes and their impacts on children, and different groups of children, is needed. We are unaware, for example, of</w:t>
      </w:r>
      <w:r w:rsidR="00346896">
        <w:rPr>
          <w:rFonts w:cstheme="minorHAnsi"/>
          <w:sz w:val="22"/>
          <w:szCs w:val="22"/>
          <w:lang w:val="en-NZ"/>
        </w:rPr>
        <w:t>:</w:t>
      </w:r>
    </w:p>
    <w:p w14:paraId="222DC2FB" w14:textId="77777777" w:rsidR="00346896" w:rsidRPr="00346896" w:rsidRDefault="00346896" w:rsidP="00346896">
      <w:pPr>
        <w:spacing w:after="0" w:line="240" w:lineRule="auto"/>
        <w:rPr>
          <w:rFonts w:cstheme="minorHAnsi"/>
          <w:sz w:val="22"/>
          <w:szCs w:val="22"/>
          <w:lang w:val="en-NZ"/>
        </w:rPr>
      </w:pPr>
    </w:p>
    <w:p w14:paraId="71CC0DF1" w14:textId="77777777" w:rsidR="00307A9D" w:rsidRPr="00307A9D" w:rsidRDefault="00307A9D" w:rsidP="00346896">
      <w:pPr>
        <w:pStyle w:val="ListParagraph"/>
        <w:numPr>
          <w:ilvl w:val="0"/>
          <w:numId w:val="15"/>
        </w:numPr>
        <w:spacing w:after="0" w:line="240" w:lineRule="auto"/>
        <w:rPr>
          <w:rFonts w:cstheme="minorHAnsi"/>
          <w:sz w:val="22"/>
          <w:szCs w:val="22"/>
        </w:rPr>
      </w:pPr>
      <w:r w:rsidRPr="00307A9D">
        <w:rPr>
          <w:rFonts w:cstheme="minorHAnsi"/>
          <w:sz w:val="22"/>
          <w:szCs w:val="22"/>
        </w:rPr>
        <w:t xml:space="preserve">Any ongoing evaluation of changes to the OT system over the last decade, to ensure the changes are in children’s best interests and consistent with CRC obligations. </w:t>
      </w:r>
    </w:p>
    <w:p w14:paraId="3C3FC020" w14:textId="77777777" w:rsidR="00307A9D" w:rsidRPr="00307A9D" w:rsidRDefault="00307A9D" w:rsidP="00916EA3">
      <w:pPr>
        <w:pStyle w:val="ListParagraph"/>
        <w:numPr>
          <w:ilvl w:val="0"/>
          <w:numId w:val="15"/>
        </w:numPr>
        <w:spacing w:after="0" w:line="240" w:lineRule="auto"/>
        <w:rPr>
          <w:rFonts w:cstheme="minorHAnsi"/>
          <w:sz w:val="22"/>
          <w:szCs w:val="22"/>
        </w:rPr>
      </w:pPr>
      <w:r w:rsidRPr="00307A9D">
        <w:rPr>
          <w:rFonts w:cstheme="minorHAnsi"/>
          <w:sz w:val="22"/>
          <w:szCs w:val="22"/>
        </w:rPr>
        <w:t>Any mechanisms built into the new Education and Training Act 2020 to assess how well the systemic changes made are meeting children’s rights.</w:t>
      </w:r>
    </w:p>
    <w:p w14:paraId="05773829" w14:textId="77777777" w:rsidR="00307A9D" w:rsidRPr="00307A9D" w:rsidRDefault="00307A9D" w:rsidP="00307A9D">
      <w:pPr>
        <w:pStyle w:val="ListParagraph"/>
        <w:rPr>
          <w:rFonts w:cstheme="minorHAnsi"/>
          <w:sz w:val="22"/>
          <w:szCs w:val="22"/>
          <w:lang w:val="en-NZ"/>
        </w:rPr>
      </w:pPr>
    </w:p>
    <w:p w14:paraId="5A87C180" w14:textId="43342402" w:rsidR="00307A9D" w:rsidRPr="00307A9D" w:rsidRDefault="00307A9D" w:rsidP="00307A9D">
      <w:pPr>
        <w:pStyle w:val="ListParagraph"/>
        <w:numPr>
          <w:ilvl w:val="0"/>
          <w:numId w:val="9"/>
        </w:numPr>
        <w:ind w:hanging="720"/>
        <w:rPr>
          <w:rFonts w:cstheme="minorHAnsi"/>
          <w:sz w:val="22"/>
          <w:szCs w:val="22"/>
          <w:lang w:val="en-NZ"/>
        </w:rPr>
      </w:pPr>
      <w:r w:rsidRPr="00307A9D">
        <w:rPr>
          <w:rFonts w:cstheme="minorHAnsi"/>
          <w:sz w:val="22"/>
          <w:szCs w:val="22"/>
          <w:lang w:val="en-NZ"/>
        </w:rPr>
        <w:t>The implications of data collection for children’s privacy and identity rights also remain ‘live’ issues, as does data sovereignty, especially for Māori.</w:t>
      </w:r>
      <w:r w:rsidRPr="00307A9D">
        <w:rPr>
          <w:vertAlign w:val="superscript"/>
          <w:lang w:val="en-NZ"/>
        </w:rPr>
        <w:footnoteReference w:id="122"/>
      </w:r>
      <w:r w:rsidRPr="00307A9D">
        <w:rPr>
          <w:rFonts w:cstheme="minorHAnsi"/>
          <w:sz w:val="22"/>
          <w:szCs w:val="22"/>
          <w:lang w:val="en-NZ"/>
        </w:rPr>
        <w:t xml:space="preserve"> </w:t>
      </w:r>
    </w:p>
    <w:p w14:paraId="60C60EAA" w14:textId="6FBA443D" w:rsidR="00970A6D" w:rsidRDefault="00970A6D" w:rsidP="00307A9D">
      <w:pPr>
        <w:pStyle w:val="ListParagraph"/>
        <w:rPr>
          <w:rFonts w:cstheme="minorHAnsi"/>
          <w:sz w:val="22"/>
          <w:szCs w:val="22"/>
          <w:lang w:val="mi-NZ"/>
        </w:rPr>
      </w:pPr>
    </w:p>
    <w:p w14:paraId="6D51B191" w14:textId="490D4130" w:rsidR="00307A9D" w:rsidRPr="00307A9D" w:rsidRDefault="00307A9D" w:rsidP="00307A9D">
      <w:pPr>
        <w:pStyle w:val="IntenseQuote"/>
        <w:ind w:left="720"/>
        <w:jc w:val="left"/>
        <w:rPr>
          <w:b/>
          <w:bCs/>
          <w:i w:val="0"/>
          <w:iCs w:val="0"/>
          <w:sz w:val="24"/>
          <w:szCs w:val="24"/>
          <w:lang w:val="mi-NZ"/>
        </w:rPr>
      </w:pPr>
      <w:r w:rsidRPr="00307A9D">
        <w:rPr>
          <w:b/>
          <w:bCs/>
          <w:i w:val="0"/>
          <w:iCs w:val="0"/>
          <w:sz w:val="24"/>
          <w:szCs w:val="24"/>
          <w:lang w:val="mi-NZ"/>
        </w:rPr>
        <w:t>Recommendations</w:t>
      </w:r>
    </w:p>
    <w:p w14:paraId="7C31609A" w14:textId="77777777" w:rsidR="00CA7C26" w:rsidRDefault="00307A9D" w:rsidP="00916EA3">
      <w:pPr>
        <w:pStyle w:val="IntenseQuote"/>
        <w:numPr>
          <w:ilvl w:val="0"/>
          <w:numId w:val="11"/>
        </w:numPr>
        <w:jc w:val="left"/>
        <w:rPr>
          <w:i w:val="0"/>
          <w:iCs w:val="0"/>
          <w:sz w:val="22"/>
          <w:szCs w:val="22"/>
          <w:lang w:val="mi-NZ"/>
        </w:rPr>
      </w:pPr>
      <w:r w:rsidRPr="00D92620">
        <w:rPr>
          <w:i w:val="0"/>
          <w:iCs w:val="0"/>
          <w:sz w:val="22"/>
          <w:szCs w:val="22"/>
          <w:lang w:val="mi-NZ"/>
        </w:rPr>
        <w:t xml:space="preserve">To ensure a strong information base for the implementation of all children’s rights, strengthen: </w:t>
      </w:r>
    </w:p>
    <w:p w14:paraId="155067F7" w14:textId="77777777" w:rsidR="00CA7C26" w:rsidRPr="00683664" w:rsidRDefault="00307A9D" w:rsidP="00916EA3">
      <w:pPr>
        <w:pStyle w:val="IntenseQuote"/>
        <w:numPr>
          <w:ilvl w:val="0"/>
          <w:numId w:val="27"/>
        </w:numPr>
        <w:jc w:val="left"/>
        <w:rPr>
          <w:i w:val="0"/>
          <w:iCs w:val="0"/>
          <w:sz w:val="22"/>
          <w:szCs w:val="22"/>
          <w:lang w:val="mi-NZ"/>
        </w:rPr>
      </w:pPr>
      <w:r w:rsidRPr="00683664">
        <w:rPr>
          <w:i w:val="0"/>
          <w:iCs w:val="0"/>
          <w:sz w:val="22"/>
          <w:szCs w:val="22"/>
          <w:lang w:val="mi-NZ"/>
        </w:rPr>
        <w:t>Government data collection systems, especially the collection of disaggregated data about children.</w:t>
      </w:r>
    </w:p>
    <w:p w14:paraId="199F224E" w14:textId="77777777" w:rsidR="00CA7C26" w:rsidRPr="00683664" w:rsidRDefault="00307A9D" w:rsidP="00916EA3">
      <w:pPr>
        <w:pStyle w:val="IntenseQuote"/>
        <w:numPr>
          <w:ilvl w:val="0"/>
          <w:numId w:val="27"/>
        </w:numPr>
        <w:jc w:val="left"/>
        <w:rPr>
          <w:i w:val="0"/>
          <w:iCs w:val="0"/>
          <w:sz w:val="22"/>
          <w:szCs w:val="22"/>
          <w:lang w:val="mi-NZ"/>
        </w:rPr>
      </w:pPr>
      <w:r w:rsidRPr="00683664">
        <w:rPr>
          <w:i w:val="0"/>
          <w:iCs w:val="0"/>
          <w:sz w:val="22"/>
          <w:szCs w:val="22"/>
          <w:lang w:val="mi-NZ"/>
        </w:rPr>
        <w:t>Evaluation of policy effectiveness for children.</w:t>
      </w:r>
    </w:p>
    <w:p w14:paraId="0AE5AA2E" w14:textId="46ED533D" w:rsidR="00307A9D" w:rsidRPr="00683664" w:rsidRDefault="00307A9D" w:rsidP="00916EA3">
      <w:pPr>
        <w:pStyle w:val="IntenseQuote"/>
        <w:numPr>
          <w:ilvl w:val="0"/>
          <w:numId w:val="27"/>
        </w:numPr>
        <w:jc w:val="left"/>
        <w:rPr>
          <w:i w:val="0"/>
          <w:iCs w:val="0"/>
          <w:sz w:val="22"/>
          <w:szCs w:val="22"/>
          <w:lang w:val="mi-NZ"/>
        </w:rPr>
      </w:pPr>
      <w:r w:rsidRPr="00683664">
        <w:rPr>
          <w:i w:val="0"/>
          <w:iCs w:val="0"/>
          <w:sz w:val="22"/>
          <w:szCs w:val="22"/>
          <w:lang w:val="mi-NZ"/>
        </w:rPr>
        <w:t>Research into children’s issues.</w:t>
      </w:r>
    </w:p>
    <w:p w14:paraId="27BE52FF" w14:textId="77777777" w:rsidR="00307A9D" w:rsidRPr="00D92620" w:rsidRDefault="00307A9D" w:rsidP="00916EA3">
      <w:pPr>
        <w:pStyle w:val="IntenseQuote"/>
        <w:numPr>
          <w:ilvl w:val="0"/>
          <w:numId w:val="11"/>
        </w:numPr>
        <w:jc w:val="left"/>
        <w:rPr>
          <w:i w:val="0"/>
          <w:iCs w:val="0"/>
          <w:sz w:val="22"/>
          <w:szCs w:val="22"/>
          <w:lang w:val="mi-NZ"/>
        </w:rPr>
      </w:pPr>
      <w:r w:rsidRPr="00D92620">
        <w:rPr>
          <w:i w:val="0"/>
          <w:iCs w:val="0"/>
          <w:sz w:val="22"/>
          <w:szCs w:val="22"/>
          <w:lang w:val="mi-NZ"/>
        </w:rPr>
        <w:lastRenderedPageBreak/>
        <w:t xml:space="preserve">Prioritise data collection about children to understand the impact of COVID-19 in relation to children’s rights, including their standard of living. </w:t>
      </w:r>
    </w:p>
    <w:p w14:paraId="4B82C186" w14:textId="77777777" w:rsidR="00307A9D" w:rsidRPr="00D92620" w:rsidRDefault="00307A9D" w:rsidP="00916EA3">
      <w:pPr>
        <w:pStyle w:val="IntenseQuote"/>
        <w:numPr>
          <w:ilvl w:val="0"/>
          <w:numId w:val="11"/>
        </w:numPr>
        <w:jc w:val="left"/>
        <w:rPr>
          <w:i w:val="0"/>
          <w:iCs w:val="0"/>
          <w:sz w:val="22"/>
          <w:szCs w:val="22"/>
          <w:lang w:val="mi-NZ"/>
        </w:rPr>
      </w:pPr>
      <w:r w:rsidRPr="00D92620">
        <w:rPr>
          <w:i w:val="0"/>
          <w:iCs w:val="0"/>
          <w:sz w:val="22"/>
          <w:szCs w:val="22"/>
          <w:lang w:val="mi-NZ"/>
        </w:rPr>
        <w:t xml:space="preserve">Strengthen the collection of data about disabled children, and include a central focus on children in the next official Disability Survey. </w:t>
      </w:r>
    </w:p>
    <w:p w14:paraId="779ABB2D" w14:textId="0A630138" w:rsidR="00A5379C" w:rsidRPr="00BC4E04" w:rsidRDefault="00307A9D" w:rsidP="00750C45">
      <w:pPr>
        <w:pStyle w:val="IntenseQuote"/>
        <w:numPr>
          <w:ilvl w:val="0"/>
          <w:numId w:val="11"/>
        </w:numPr>
        <w:jc w:val="left"/>
        <w:rPr>
          <w:i w:val="0"/>
          <w:iCs w:val="0"/>
          <w:sz w:val="22"/>
          <w:szCs w:val="22"/>
          <w:lang w:val="mi-NZ"/>
        </w:rPr>
      </w:pPr>
      <w:r w:rsidRPr="00D92620">
        <w:rPr>
          <w:i w:val="0"/>
          <w:iCs w:val="0"/>
          <w:sz w:val="22"/>
          <w:szCs w:val="22"/>
          <w:lang w:val="mi-NZ"/>
        </w:rPr>
        <w:t>Prioritise children as a sub-population for Integrated Data Infrastructure analysis and research, to inform policies to support children’s rights outcomes.</w:t>
      </w:r>
      <w:r w:rsidRPr="00D92620">
        <w:rPr>
          <w:rFonts w:cstheme="minorHAnsi"/>
          <w:i w:val="0"/>
          <w:iCs w:val="0"/>
          <w:color w:val="00AE6D" w:themeColor="accent6"/>
          <w:sz w:val="22"/>
          <w:szCs w:val="22"/>
          <w:vertAlign w:val="superscript"/>
          <w:lang w:val="mi-NZ"/>
        </w:rPr>
        <w:footnoteReference w:id="123"/>
      </w:r>
      <w:r w:rsidRPr="00D92620">
        <w:rPr>
          <w:rFonts w:cstheme="minorHAnsi"/>
          <w:i w:val="0"/>
          <w:iCs w:val="0"/>
          <w:color w:val="00AE6D" w:themeColor="accent6"/>
          <w:sz w:val="22"/>
          <w:szCs w:val="22"/>
          <w:vertAlign w:val="superscript"/>
          <w:lang w:val="mi-NZ"/>
        </w:rPr>
        <w:t xml:space="preserve"> </w:t>
      </w:r>
    </w:p>
    <w:p w14:paraId="6F9D6E15" w14:textId="0CB785F5" w:rsidR="00D92620" w:rsidRPr="00750C45" w:rsidRDefault="00D92620" w:rsidP="00750C45">
      <w:pPr>
        <w:pStyle w:val="Heading2"/>
      </w:pPr>
      <w:bookmarkStart w:id="18" w:name="_Toc111485446"/>
      <w:r w:rsidRPr="00750C45">
        <w:t>Children’s Commissioner</w:t>
      </w:r>
      <w:bookmarkEnd w:id="18"/>
      <w:r w:rsidRPr="00750C45">
        <w:t xml:space="preserve"> </w:t>
      </w:r>
    </w:p>
    <w:p w14:paraId="52AB0BBB" w14:textId="77777777" w:rsidR="00307A9D" w:rsidRPr="00D92620" w:rsidRDefault="00307A9D" w:rsidP="00D92620">
      <w:pPr>
        <w:rPr>
          <w:rFonts w:cstheme="minorHAnsi"/>
          <w:sz w:val="22"/>
          <w:szCs w:val="22"/>
          <w:lang w:val="mi-NZ"/>
        </w:rPr>
      </w:pPr>
    </w:p>
    <w:p w14:paraId="1F26B871" w14:textId="17DC6A4D" w:rsidR="00D92620" w:rsidRPr="00D92620" w:rsidRDefault="00D92620" w:rsidP="00D92620">
      <w:pPr>
        <w:pStyle w:val="ListParagraph"/>
        <w:numPr>
          <w:ilvl w:val="0"/>
          <w:numId w:val="9"/>
        </w:numPr>
        <w:ind w:hanging="720"/>
        <w:rPr>
          <w:rFonts w:cstheme="minorHAnsi"/>
          <w:sz w:val="22"/>
          <w:szCs w:val="22"/>
          <w:lang w:val="en-US"/>
        </w:rPr>
      </w:pPr>
      <w:r w:rsidRPr="00D92620">
        <w:rPr>
          <w:rFonts w:cstheme="minorHAnsi"/>
          <w:sz w:val="22"/>
          <w:szCs w:val="22"/>
          <w:lang w:val="en-NZ"/>
        </w:rPr>
        <w:t>Despite strong opposition, significant changes to the Office of the Children’s Commissioner are currently proposed</w:t>
      </w:r>
      <w:r w:rsidRPr="00D92620">
        <w:rPr>
          <w:rFonts w:cstheme="minorHAnsi"/>
          <w:bCs/>
          <w:sz w:val="22"/>
          <w:szCs w:val="22"/>
          <w:lang w:val="en-NZ"/>
        </w:rPr>
        <w:t xml:space="preserve"> </w:t>
      </w:r>
      <w:r w:rsidRPr="00D92620">
        <w:rPr>
          <w:rFonts w:cstheme="minorHAnsi"/>
          <w:sz w:val="22"/>
          <w:szCs w:val="22"/>
          <w:lang w:val="en-US"/>
        </w:rPr>
        <w:t xml:space="preserve">under the </w:t>
      </w:r>
      <w:r w:rsidRPr="00D92620">
        <w:rPr>
          <w:rFonts w:cstheme="minorHAnsi"/>
          <w:sz w:val="22"/>
          <w:szCs w:val="22"/>
          <w:lang w:val="mi-NZ"/>
        </w:rPr>
        <w:t>Oversight Bill 2021, which is expected to pass into law imminently</w:t>
      </w:r>
      <w:r w:rsidRPr="00D92620">
        <w:rPr>
          <w:rFonts w:cstheme="minorHAnsi"/>
          <w:bCs/>
          <w:sz w:val="22"/>
          <w:szCs w:val="22"/>
          <w:lang w:val="en-NZ"/>
        </w:rPr>
        <w:t xml:space="preserve"> (see Appendix Two)</w:t>
      </w:r>
      <w:r w:rsidRPr="00D92620">
        <w:rPr>
          <w:rFonts w:cstheme="minorHAnsi"/>
          <w:sz w:val="22"/>
          <w:szCs w:val="22"/>
          <w:lang w:val="mi-NZ"/>
        </w:rPr>
        <w:t>.</w:t>
      </w:r>
      <w:r w:rsidRPr="00D92620">
        <w:rPr>
          <w:rFonts w:cstheme="minorHAnsi"/>
          <w:sz w:val="22"/>
          <w:szCs w:val="22"/>
          <w:vertAlign w:val="superscript"/>
          <w:lang w:val="mi-NZ"/>
        </w:rPr>
        <w:footnoteReference w:id="124"/>
      </w:r>
      <w:r w:rsidRPr="00D92620">
        <w:rPr>
          <w:rFonts w:cstheme="minorHAnsi"/>
          <w:sz w:val="22"/>
          <w:szCs w:val="22"/>
          <w:lang w:val="en-US"/>
        </w:rPr>
        <w:t xml:space="preserve"> </w:t>
      </w:r>
    </w:p>
    <w:p w14:paraId="2B7E9308" w14:textId="77777777" w:rsidR="00D92620" w:rsidRPr="00D92620" w:rsidRDefault="00D92620" w:rsidP="00D92620">
      <w:pPr>
        <w:pStyle w:val="ListParagraph"/>
        <w:rPr>
          <w:rFonts w:cstheme="minorHAnsi"/>
          <w:sz w:val="22"/>
          <w:szCs w:val="22"/>
          <w:lang w:val="en-US"/>
        </w:rPr>
      </w:pPr>
    </w:p>
    <w:p w14:paraId="1A50D92C" w14:textId="21610655" w:rsidR="00D92620" w:rsidRPr="00D92620" w:rsidRDefault="00D92620" w:rsidP="00D92620">
      <w:pPr>
        <w:pStyle w:val="ListParagraph"/>
        <w:numPr>
          <w:ilvl w:val="0"/>
          <w:numId w:val="9"/>
        </w:numPr>
        <w:ind w:hanging="720"/>
        <w:rPr>
          <w:rFonts w:cstheme="minorHAnsi"/>
          <w:sz w:val="22"/>
          <w:szCs w:val="22"/>
          <w:lang w:val="en-US"/>
        </w:rPr>
      </w:pPr>
      <w:r w:rsidRPr="00D92620">
        <w:rPr>
          <w:rFonts w:cstheme="minorHAnsi"/>
          <w:sz w:val="22"/>
          <w:szCs w:val="22"/>
          <w:lang w:val="en-US"/>
        </w:rPr>
        <w:t>A children’s rights approach</w:t>
      </w:r>
      <w:r w:rsidRPr="00D92620">
        <w:rPr>
          <w:rFonts w:cstheme="minorHAnsi"/>
          <w:sz w:val="22"/>
          <w:szCs w:val="22"/>
          <w:vertAlign w:val="superscript"/>
          <w:lang w:val="en-US"/>
        </w:rPr>
        <w:footnoteReference w:id="125"/>
      </w:r>
      <w:r w:rsidRPr="00D92620">
        <w:rPr>
          <w:rFonts w:cstheme="minorHAnsi"/>
          <w:sz w:val="22"/>
          <w:szCs w:val="22"/>
          <w:lang w:val="en-US"/>
        </w:rPr>
        <w:t xml:space="preserve"> has not been used to develop the Bill</w:t>
      </w:r>
      <w:r w:rsidR="001A518D">
        <w:rPr>
          <w:rFonts w:cstheme="minorHAnsi"/>
          <w:sz w:val="22"/>
          <w:szCs w:val="22"/>
          <w:lang w:val="en-US"/>
        </w:rPr>
        <w:t>.</w:t>
      </w:r>
      <w:r w:rsidR="001A518D">
        <w:rPr>
          <w:rStyle w:val="FootnoteReference"/>
          <w:rFonts w:cstheme="minorHAnsi"/>
          <w:sz w:val="22"/>
          <w:szCs w:val="22"/>
          <w:lang w:val="en-US"/>
        </w:rPr>
        <w:footnoteReference w:id="126"/>
      </w:r>
      <w:r w:rsidRPr="00D92620">
        <w:rPr>
          <w:rFonts w:cstheme="minorHAnsi"/>
          <w:sz w:val="22"/>
          <w:szCs w:val="22"/>
          <w:lang w:val="en-US"/>
        </w:rPr>
        <w:t xml:space="preserve"> Children themselves have not had a say on the structure and function of their </w:t>
      </w:r>
      <w:proofErr w:type="gramStart"/>
      <w:r w:rsidRPr="00D92620">
        <w:rPr>
          <w:rFonts w:cstheme="minorHAnsi"/>
          <w:sz w:val="22"/>
          <w:szCs w:val="22"/>
          <w:lang w:val="en-US"/>
        </w:rPr>
        <w:t>Commissioner</w:t>
      </w:r>
      <w:proofErr w:type="gramEnd"/>
      <w:r w:rsidRPr="00D92620">
        <w:rPr>
          <w:rFonts w:cstheme="minorHAnsi"/>
          <w:sz w:val="22"/>
          <w:szCs w:val="22"/>
          <w:lang w:val="en-US"/>
        </w:rPr>
        <w:t xml:space="preserve">. As a result, the Bill has been a missed opportunity to strengthen the Office of the Children’s Commissioner’s (OCC) so that it continues to be an effective, </w:t>
      </w:r>
      <w:proofErr w:type="gramStart"/>
      <w:r w:rsidRPr="00D92620">
        <w:rPr>
          <w:rFonts w:cstheme="minorHAnsi"/>
          <w:sz w:val="22"/>
          <w:szCs w:val="22"/>
          <w:lang w:val="en-US"/>
        </w:rPr>
        <w:t>authoritative</w:t>
      </w:r>
      <w:proofErr w:type="gramEnd"/>
      <w:r w:rsidRPr="00D92620">
        <w:rPr>
          <w:rFonts w:cstheme="minorHAnsi"/>
          <w:sz w:val="22"/>
          <w:szCs w:val="22"/>
          <w:lang w:val="en-US"/>
        </w:rPr>
        <w:t xml:space="preserve"> and independent voice for all children in Aotearoa, grounded in evidence, research and </w:t>
      </w:r>
      <w:proofErr w:type="spellStart"/>
      <w:r w:rsidRPr="00D92620">
        <w:rPr>
          <w:rFonts w:cstheme="minorHAnsi"/>
          <w:sz w:val="22"/>
          <w:szCs w:val="22"/>
          <w:lang w:val="en-US"/>
        </w:rPr>
        <w:t>maatauranga</w:t>
      </w:r>
      <w:proofErr w:type="spellEnd"/>
      <w:r w:rsidRPr="00D92620">
        <w:rPr>
          <w:rFonts w:cstheme="minorHAnsi"/>
          <w:sz w:val="22"/>
          <w:szCs w:val="22"/>
          <w:lang w:val="en-US"/>
        </w:rPr>
        <w:t xml:space="preserve"> about children and their lives.</w:t>
      </w:r>
    </w:p>
    <w:p w14:paraId="05A54E5E" w14:textId="77777777" w:rsidR="00D92620" w:rsidRDefault="00D92620" w:rsidP="00D92620">
      <w:pPr>
        <w:pStyle w:val="ListParagraph"/>
        <w:rPr>
          <w:rFonts w:cstheme="minorHAnsi"/>
          <w:sz w:val="22"/>
          <w:szCs w:val="22"/>
          <w:lang w:val="en-US"/>
        </w:rPr>
      </w:pPr>
    </w:p>
    <w:p w14:paraId="4642AE1E" w14:textId="2BD0D5C2" w:rsidR="00D92620" w:rsidRPr="00D92620" w:rsidRDefault="00D92620" w:rsidP="00D92620">
      <w:pPr>
        <w:pStyle w:val="ListParagraph"/>
        <w:numPr>
          <w:ilvl w:val="0"/>
          <w:numId w:val="9"/>
        </w:numPr>
        <w:ind w:hanging="720"/>
        <w:rPr>
          <w:rFonts w:cstheme="minorHAnsi"/>
          <w:sz w:val="22"/>
          <w:szCs w:val="22"/>
          <w:lang w:val="en-US"/>
        </w:rPr>
      </w:pPr>
      <w:r w:rsidRPr="00D92620">
        <w:rPr>
          <w:rFonts w:cstheme="minorHAnsi"/>
          <w:sz w:val="22"/>
          <w:szCs w:val="22"/>
          <w:lang w:val="en-US"/>
        </w:rPr>
        <w:t xml:space="preserve">The Commissioner requires the </w:t>
      </w:r>
      <w:r w:rsidRPr="00D92620">
        <w:rPr>
          <w:rFonts w:cstheme="minorHAnsi"/>
          <w:bCs/>
          <w:sz w:val="22"/>
          <w:szCs w:val="22"/>
          <w:lang w:val="en-NZ"/>
        </w:rPr>
        <w:t xml:space="preserve">independence, mandate and resources needed to effectively monitor, </w:t>
      </w:r>
      <w:proofErr w:type="gramStart"/>
      <w:r w:rsidRPr="00D92620">
        <w:rPr>
          <w:rFonts w:cstheme="minorHAnsi"/>
          <w:bCs/>
          <w:sz w:val="22"/>
          <w:szCs w:val="22"/>
          <w:lang w:val="en-NZ"/>
        </w:rPr>
        <w:t>protect</w:t>
      </w:r>
      <w:proofErr w:type="gramEnd"/>
      <w:r w:rsidRPr="00D92620">
        <w:rPr>
          <w:rFonts w:cstheme="minorHAnsi"/>
          <w:bCs/>
          <w:sz w:val="22"/>
          <w:szCs w:val="22"/>
          <w:lang w:val="en-NZ"/>
        </w:rPr>
        <w:t xml:space="preserve"> and promote children’s rights in accordance </w:t>
      </w:r>
      <w:r w:rsidRPr="00D92620">
        <w:rPr>
          <w:rFonts w:cstheme="minorHAnsi"/>
          <w:bCs/>
          <w:sz w:val="22"/>
          <w:szCs w:val="22"/>
          <w:lang w:val="en-NZ"/>
        </w:rPr>
        <w:lastRenderedPageBreak/>
        <w:t>with the Committee’s General Comment No. 2 and previous recommendations.</w:t>
      </w:r>
      <w:r w:rsidRPr="00D92620">
        <w:rPr>
          <w:rFonts w:cstheme="minorHAnsi"/>
          <w:bCs/>
          <w:sz w:val="22"/>
          <w:szCs w:val="22"/>
          <w:vertAlign w:val="superscript"/>
          <w:lang w:val="en-NZ"/>
        </w:rPr>
        <w:footnoteReference w:id="127"/>
      </w:r>
      <w:r w:rsidRPr="00D92620">
        <w:rPr>
          <w:rFonts w:cstheme="minorHAnsi"/>
          <w:sz w:val="22"/>
          <w:szCs w:val="22"/>
          <w:lang w:val="en-US"/>
        </w:rPr>
        <w:t xml:space="preserve"> Under the Bill, the Children’s Commissioner will no longer monitor the OT system or have powers to investigate. </w:t>
      </w:r>
    </w:p>
    <w:p w14:paraId="071E8A8C" w14:textId="77777777" w:rsidR="00D92620" w:rsidRPr="00D92620" w:rsidRDefault="00D92620" w:rsidP="00D92620">
      <w:pPr>
        <w:pStyle w:val="ListParagraph"/>
        <w:rPr>
          <w:rFonts w:cstheme="minorHAnsi"/>
          <w:sz w:val="22"/>
          <w:szCs w:val="22"/>
          <w:lang w:val="en-US"/>
        </w:rPr>
      </w:pPr>
    </w:p>
    <w:p w14:paraId="39B5C193" w14:textId="77777777" w:rsidR="00D92620" w:rsidRPr="00D92620" w:rsidRDefault="00D92620" w:rsidP="00D92620">
      <w:pPr>
        <w:pStyle w:val="ListParagraph"/>
        <w:numPr>
          <w:ilvl w:val="0"/>
          <w:numId w:val="9"/>
        </w:numPr>
        <w:ind w:hanging="720"/>
        <w:rPr>
          <w:rFonts w:cstheme="minorHAnsi"/>
          <w:sz w:val="22"/>
          <w:szCs w:val="22"/>
          <w:lang w:val="mi-NZ"/>
        </w:rPr>
      </w:pPr>
      <w:r w:rsidRPr="00D92620">
        <w:rPr>
          <w:rFonts w:cstheme="minorHAnsi"/>
          <w:sz w:val="22"/>
          <w:szCs w:val="22"/>
          <w:lang w:val="en-US"/>
        </w:rPr>
        <w:t xml:space="preserve">As set out in Appendix Two, we have </w:t>
      </w:r>
      <w:proofErr w:type="gramStart"/>
      <w:r w:rsidRPr="00D92620">
        <w:rPr>
          <w:rFonts w:cstheme="minorHAnsi"/>
          <w:sz w:val="22"/>
          <w:szCs w:val="22"/>
          <w:lang w:val="en-US"/>
        </w:rPr>
        <w:t>a number of</w:t>
      </w:r>
      <w:proofErr w:type="gramEnd"/>
      <w:r w:rsidRPr="00D92620">
        <w:rPr>
          <w:rFonts w:cstheme="minorHAnsi"/>
          <w:sz w:val="22"/>
          <w:szCs w:val="22"/>
          <w:lang w:val="en-US"/>
        </w:rPr>
        <w:t xml:space="preserve"> deep concerns about the changes proposed by the Bill and process for its development. </w:t>
      </w:r>
    </w:p>
    <w:p w14:paraId="0CCFFE65" w14:textId="77777777" w:rsidR="00D92620" w:rsidRPr="00D92620" w:rsidRDefault="00D92620" w:rsidP="00D92620">
      <w:pPr>
        <w:pStyle w:val="ListParagraph"/>
        <w:rPr>
          <w:rFonts w:cstheme="minorHAnsi"/>
          <w:sz w:val="22"/>
          <w:szCs w:val="22"/>
          <w:lang w:val="en-US"/>
        </w:rPr>
      </w:pPr>
    </w:p>
    <w:p w14:paraId="225F21F0" w14:textId="0FD1ADB0" w:rsidR="00D92620" w:rsidRDefault="00D92620" w:rsidP="00D92620">
      <w:pPr>
        <w:pStyle w:val="ListParagraph"/>
        <w:numPr>
          <w:ilvl w:val="0"/>
          <w:numId w:val="9"/>
        </w:numPr>
        <w:ind w:hanging="720"/>
        <w:rPr>
          <w:rFonts w:cstheme="minorHAnsi"/>
          <w:sz w:val="22"/>
          <w:szCs w:val="22"/>
          <w:lang w:val="en-US"/>
        </w:rPr>
      </w:pPr>
      <w:r w:rsidRPr="00D92620">
        <w:rPr>
          <w:rFonts w:cstheme="minorHAnsi"/>
          <w:sz w:val="22"/>
          <w:szCs w:val="22"/>
          <w:lang w:val="en-US"/>
        </w:rPr>
        <w:t>Should the Bill pass, the new law is required to be reviewed within 3 years.</w:t>
      </w:r>
    </w:p>
    <w:p w14:paraId="0FB6F8FA" w14:textId="77777777" w:rsidR="00D92620" w:rsidRPr="00D92620" w:rsidRDefault="00D92620" w:rsidP="00D92620">
      <w:pPr>
        <w:pStyle w:val="ListParagraph"/>
        <w:rPr>
          <w:rFonts w:cstheme="minorHAnsi"/>
          <w:sz w:val="22"/>
          <w:szCs w:val="22"/>
          <w:lang w:val="en-US"/>
        </w:rPr>
      </w:pPr>
    </w:p>
    <w:p w14:paraId="6BCEECE8" w14:textId="77777777" w:rsidR="00D92620" w:rsidRPr="00D92620" w:rsidRDefault="00D92620" w:rsidP="00D92620">
      <w:pPr>
        <w:pStyle w:val="IntenseQuote"/>
        <w:ind w:left="720"/>
        <w:jc w:val="left"/>
        <w:rPr>
          <w:b/>
          <w:bCs/>
          <w:i w:val="0"/>
          <w:iCs w:val="0"/>
          <w:sz w:val="24"/>
          <w:szCs w:val="24"/>
          <w:lang w:val="mi-NZ"/>
        </w:rPr>
      </w:pPr>
      <w:r w:rsidRPr="00D92620">
        <w:rPr>
          <w:b/>
          <w:bCs/>
          <w:i w:val="0"/>
          <w:iCs w:val="0"/>
          <w:sz w:val="24"/>
          <w:szCs w:val="24"/>
          <w:lang w:val="mi-NZ"/>
        </w:rPr>
        <w:t>Recommendation</w:t>
      </w:r>
    </w:p>
    <w:p w14:paraId="59179F0F" w14:textId="77777777" w:rsidR="00D92620" w:rsidRDefault="00D92620" w:rsidP="00916EA3">
      <w:pPr>
        <w:pStyle w:val="IntenseQuote"/>
        <w:numPr>
          <w:ilvl w:val="0"/>
          <w:numId w:val="11"/>
        </w:numPr>
        <w:jc w:val="left"/>
        <w:rPr>
          <w:i w:val="0"/>
          <w:iCs w:val="0"/>
          <w:sz w:val="22"/>
          <w:szCs w:val="22"/>
          <w:lang w:val="mi-NZ"/>
        </w:rPr>
      </w:pPr>
      <w:r w:rsidRPr="00D92620">
        <w:rPr>
          <w:i w:val="0"/>
          <w:iCs w:val="0"/>
          <w:sz w:val="22"/>
          <w:szCs w:val="22"/>
          <w:lang w:val="mi-NZ"/>
        </w:rPr>
        <w:t>Should the Bill pass, review any changes as soon as possible (within 6 months of the RCOI final report) to design, in consultation with children:</w:t>
      </w:r>
    </w:p>
    <w:p w14:paraId="5E5FDC67" w14:textId="77777777" w:rsidR="00CA7C26" w:rsidRPr="00683664" w:rsidRDefault="00D92620" w:rsidP="00916EA3">
      <w:pPr>
        <w:pStyle w:val="IntenseQuote"/>
        <w:numPr>
          <w:ilvl w:val="0"/>
          <w:numId w:val="26"/>
        </w:numPr>
        <w:jc w:val="left"/>
        <w:rPr>
          <w:i w:val="0"/>
          <w:iCs w:val="0"/>
          <w:sz w:val="22"/>
          <w:szCs w:val="22"/>
          <w:lang w:val="mi-NZ"/>
        </w:rPr>
      </w:pPr>
      <w:r w:rsidRPr="00683664">
        <w:rPr>
          <w:i w:val="0"/>
          <w:iCs w:val="0"/>
          <w:sz w:val="22"/>
          <w:szCs w:val="22"/>
          <w:lang w:val="mi-NZ"/>
        </w:rPr>
        <w:t xml:space="preserve">a Children’s Commission/er with the structure and functions to be a true champion for all children in Aotearoa, and all their rights, in all circumstances, now and into the future; </w:t>
      </w:r>
    </w:p>
    <w:p w14:paraId="3384F802" w14:textId="3C1953AE" w:rsidR="00A5379C" w:rsidRPr="00683664" w:rsidRDefault="00D92620" w:rsidP="00C41EA3">
      <w:pPr>
        <w:pStyle w:val="IntenseQuote"/>
        <w:numPr>
          <w:ilvl w:val="0"/>
          <w:numId w:val="26"/>
        </w:numPr>
        <w:jc w:val="left"/>
        <w:rPr>
          <w:i w:val="0"/>
          <w:iCs w:val="0"/>
          <w:sz w:val="22"/>
          <w:szCs w:val="22"/>
          <w:lang w:val="mi-NZ"/>
        </w:rPr>
      </w:pPr>
      <w:r w:rsidRPr="00683664">
        <w:rPr>
          <w:i w:val="0"/>
          <w:iCs w:val="0"/>
          <w:sz w:val="22"/>
          <w:szCs w:val="22"/>
          <w:lang w:val="mi-NZ"/>
        </w:rPr>
        <w:t>an OT oversight system that is effective for children and their families and whānau.</w:t>
      </w:r>
    </w:p>
    <w:p w14:paraId="7B128A5F" w14:textId="0A8F38DC" w:rsidR="00C41EA3" w:rsidRPr="00C41EA3" w:rsidRDefault="00C41EA3" w:rsidP="00C41EA3">
      <w:pPr>
        <w:pStyle w:val="Heading2"/>
        <w:rPr>
          <w:rFonts w:asciiTheme="minorHAnsi" w:hAnsiTheme="minorHAnsi" w:cstheme="minorHAnsi"/>
          <w:lang w:val="mi-NZ"/>
        </w:rPr>
      </w:pPr>
      <w:bookmarkStart w:id="19" w:name="_Toc111485447"/>
      <w:r w:rsidRPr="00C41EA3">
        <w:rPr>
          <w:rFonts w:asciiTheme="minorHAnsi" w:hAnsiTheme="minorHAnsi" w:cstheme="minorHAnsi"/>
          <w:lang w:val="mi-NZ"/>
        </w:rPr>
        <w:t>Definition of a Child - LOIPR 8</w:t>
      </w:r>
      <w:bookmarkEnd w:id="19"/>
    </w:p>
    <w:p w14:paraId="7A00E751" w14:textId="77777777" w:rsidR="00D92620" w:rsidRPr="00D92620" w:rsidRDefault="00D92620" w:rsidP="00D92620">
      <w:pPr>
        <w:rPr>
          <w:rFonts w:cstheme="minorHAnsi"/>
          <w:sz w:val="22"/>
          <w:szCs w:val="22"/>
          <w:lang w:val="en-US"/>
        </w:rPr>
      </w:pPr>
    </w:p>
    <w:p w14:paraId="3002EB91" w14:textId="6455D38A" w:rsidR="00C41EA3" w:rsidRDefault="00C41EA3" w:rsidP="00C41EA3">
      <w:pPr>
        <w:pStyle w:val="ListParagraph"/>
        <w:numPr>
          <w:ilvl w:val="0"/>
          <w:numId w:val="9"/>
        </w:numPr>
        <w:ind w:hanging="720"/>
        <w:rPr>
          <w:rFonts w:cstheme="minorHAnsi"/>
          <w:iCs/>
          <w:sz w:val="22"/>
          <w:szCs w:val="22"/>
          <w:lang w:val="en-NZ"/>
        </w:rPr>
      </w:pPr>
      <w:r w:rsidRPr="00C41EA3">
        <w:rPr>
          <w:rFonts w:cstheme="minorHAnsi"/>
          <w:iCs/>
          <w:sz w:val="22"/>
          <w:szCs w:val="22"/>
          <w:lang w:val="en-NZ"/>
        </w:rPr>
        <w:t xml:space="preserve">While there has been steady progress bringing definitions of the child in line with the CRC, this needs to be done more systematically. </w:t>
      </w:r>
    </w:p>
    <w:p w14:paraId="4BA13232" w14:textId="15A76DFE" w:rsidR="00C41EA3" w:rsidRDefault="00C41EA3" w:rsidP="00C41EA3">
      <w:pPr>
        <w:rPr>
          <w:rFonts w:cstheme="minorHAnsi"/>
          <w:iCs/>
          <w:sz w:val="22"/>
          <w:szCs w:val="22"/>
          <w:lang w:val="en-NZ"/>
        </w:rPr>
      </w:pPr>
    </w:p>
    <w:p w14:paraId="6BBD9428" w14:textId="662145FA" w:rsidR="00970A6D" w:rsidRPr="00750C45" w:rsidRDefault="00C41EA3" w:rsidP="00750C45">
      <w:pPr>
        <w:pStyle w:val="Heading3"/>
        <w:rPr>
          <w:lang w:val="mi-NZ"/>
        </w:rPr>
      </w:pPr>
      <w:r w:rsidRPr="00C41EA3">
        <w:rPr>
          <w:lang w:val="mi-NZ"/>
        </w:rPr>
        <w:t>Youth Justice</w:t>
      </w:r>
    </w:p>
    <w:p w14:paraId="313D6C78" w14:textId="77777777" w:rsidR="00750C45" w:rsidRDefault="00750C45" w:rsidP="00750C45">
      <w:pPr>
        <w:pStyle w:val="ListParagraph"/>
        <w:rPr>
          <w:rFonts w:cstheme="minorHAnsi"/>
          <w:sz w:val="22"/>
          <w:szCs w:val="22"/>
          <w:lang w:val="mi-NZ"/>
        </w:rPr>
      </w:pPr>
    </w:p>
    <w:p w14:paraId="257433A9" w14:textId="25866E2D" w:rsidR="00970A6D" w:rsidRPr="0008115A" w:rsidRDefault="00C41EA3" w:rsidP="0008115A">
      <w:pPr>
        <w:pStyle w:val="ListParagraph"/>
        <w:numPr>
          <w:ilvl w:val="0"/>
          <w:numId w:val="9"/>
        </w:numPr>
        <w:ind w:hanging="720"/>
        <w:rPr>
          <w:rFonts w:cstheme="minorHAnsi"/>
          <w:sz w:val="22"/>
          <w:szCs w:val="22"/>
          <w:lang w:val="mi-NZ"/>
        </w:rPr>
      </w:pPr>
      <w:r w:rsidRPr="00C41EA3">
        <w:rPr>
          <w:rFonts w:cstheme="minorHAnsi"/>
          <w:sz w:val="22"/>
          <w:szCs w:val="22"/>
          <w:lang w:val="mi-NZ"/>
        </w:rPr>
        <w:t>The inclusion of some 17-year-olds in the care, protection and youth justice systems over the reporting period is positive. However:</w:t>
      </w:r>
      <w:r w:rsidRPr="00C41EA3">
        <w:rPr>
          <w:rFonts w:cstheme="minorHAnsi"/>
          <w:sz w:val="22"/>
          <w:szCs w:val="22"/>
          <w:vertAlign w:val="superscript"/>
          <w:lang w:val="mi-NZ"/>
        </w:rPr>
        <w:t xml:space="preserve"> </w:t>
      </w:r>
      <w:r w:rsidRPr="00C41EA3">
        <w:rPr>
          <w:rFonts w:cstheme="minorHAnsi"/>
          <w:sz w:val="22"/>
          <w:szCs w:val="22"/>
          <w:vertAlign w:val="superscript"/>
          <w:lang w:val="mi-NZ"/>
        </w:rPr>
        <w:footnoteReference w:id="128"/>
      </w:r>
    </w:p>
    <w:p w14:paraId="071CFD3F" w14:textId="77777777" w:rsidR="00077A17" w:rsidRDefault="00077A17" w:rsidP="00077A17">
      <w:pPr>
        <w:pStyle w:val="ListParagraph"/>
        <w:spacing w:after="0" w:line="240" w:lineRule="auto"/>
        <w:rPr>
          <w:rFonts w:cstheme="minorHAnsi"/>
          <w:sz w:val="22"/>
          <w:szCs w:val="22"/>
          <w:lang w:val="mi-NZ"/>
        </w:rPr>
      </w:pPr>
    </w:p>
    <w:p w14:paraId="21260F34" w14:textId="2ACEB600" w:rsidR="0008115A" w:rsidRPr="00077A17" w:rsidRDefault="0008115A" w:rsidP="00077A17">
      <w:pPr>
        <w:pStyle w:val="ListParagraph"/>
        <w:numPr>
          <w:ilvl w:val="0"/>
          <w:numId w:val="16"/>
        </w:numPr>
        <w:spacing w:after="0" w:line="240" w:lineRule="auto"/>
        <w:rPr>
          <w:rFonts w:cstheme="minorHAnsi"/>
          <w:sz w:val="22"/>
          <w:szCs w:val="22"/>
          <w:lang w:val="mi-NZ"/>
        </w:rPr>
      </w:pPr>
      <w:r w:rsidRPr="00077A17">
        <w:rPr>
          <w:rFonts w:cstheme="minorHAnsi"/>
          <w:sz w:val="22"/>
          <w:szCs w:val="22"/>
          <w:lang w:val="mi-NZ"/>
        </w:rPr>
        <w:lastRenderedPageBreak/>
        <w:t xml:space="preserve">Some 17-year-olds remain outside the youth justice system and are instead dealt with in the adult justice system. </w:t>
      </w:r>
      <w:r w:rsidRPr="00077A17">
        <w:rPr>
          <w:rStyle w:val="FootnoteReference"/>
          <w:rFonts w:cstheme="minorHAnsi"/>
          <w:i/>
          <w:iCs/>
          <w:color w:val="000000"/>
          <w:sz w:val="22"/>
          <w:szCs w:val="22"/>
        </w:rPr>
        <w:footnoteReference w:id="129"/>
      </w:r>
      <w:r w:rsidRPr="00077A17">
        <w:rPr>
          <w:rFonts w:cstheme="minorHAnsi"/>
          <w:sz w:val="22"/>
          <w:szCs w:val="22"/>
          <w:lang w:val="mi-NZ"/>
        </w:rPr>
        <w:t xml:space="preserve"> </w:t>
      </w:r>
      <w:r w:rsidRPr="00077A17">
        <w:rPr>
          <w:rStyle w:val="FootnoteReference"/>
          <w:rFonts w:cstheme="minorHAnsi"/>
          <w:i/>
          <w:iCs/>
          <w:color w:val="000000"/>
          <w:sz w:val="22"/>
          <w:szCs w:val="22"/>
        </w:rPr>
        <w:footnoteReference w:id="130"/>
      </w:r>
    </w:p>
    <w:p w14:paraId="4C21EFCB" w14:textId="6C6366DD" w:rsidR="0008115A" w:rsidRPr="00077A17" w:rsidRDefault="0008115A" w:rsidP="00916EA3">
      <w:pPr>
        <w:pStyle w:val="ListParagraph"/>
        <w:numPr>
          <w:ilvl w:val="0"/>
          <w:numId w:val="16"/>
        </w:numPr>
        <w:spacing w:after="0" w:line="240" w:lineRule="auto"/>
        <w:ind w:left="709"/>
        <w:rPr>
          <w:rFonts w:cstheme="minorHAnsi"/>
          <w:sz w:val="22"/>
          <w:szCs w:val="22"/>
          <w:lang w:val="mi-NZ"/>
        </w:rPr>
      </w:pPr>
      <w:r w:rsidRPr="00077A17">
        <w:rPr>
          <w:rFonts w:cstheme="minorHAnsi"/>
          <w:sz w:val="22"/>
          <w:szCs w:val="22"/>
          <w:lang w:val="mi-NZ"/>
        </w:rPr>
        <w:t>The minimum age of criminal responsibility remains low and inconsistent with the CRC, at 10 years of age.</w:t>
      </w:r>
      <w:r w:rsidRPr="00077A17">
        <w:rPr>
          <w:rStyle w:val="FootnoteReference"/>
          <w:rFonts w:cstheme="minorHAnsi"/>
          <w:sz w:val="22"/>
          <w:szCs w:val="22"/>
          <w:lang w:val="mi-NZ"/>
        </w:rPr>
        <w:footnoteReference w:id="131"/>
      </w:r>
      <w:r w:rsidRPr="00077A17">
        <w:rPr>
          <w:rFonts w:cstheme="minorHAnsi"/>
          <w:sz w:val="22"/>
          <w:szCs w:val="22"/>
          <w:lang w:val="mi-NZ"/>
        </w:rPr>
        <w:t xml:space="preserve">  </w:t>
      </w:r>
      <w:r w:rsidRPr="00077A17">
        <w:rPr>
          <w:rStyle w:val="FootnoteReference"/>
          <w:rFonts w:cstheme="minorHAnsi"/>
          <w:color w:val="000000"/>
          <w:sz w:val="22"/>
          <w:szCs w:val="22"/>
        </w:rPr>
        <w:footnoteReference w:id="132"/>
      </w:r>
    </w:p>
    <w:p w14:paraId="68491931" w14:textId="77777777" w:rsidR="0008115A" w:rsidRPr="0008115A" w:rsidRDefault="0008115A" w:rsidP="0008115A">
      <w:pPr>
        <w:pStyle w:val="ListParagraph"/>
        <w:rPr>
          <w:rFonts w:cstheme="minorHAnsi"/>
          <w:lang w:val="mi-NZ"/>
        </w:rPr>
      </w:pPr>
    </w:p>
    <w:p w14:paraId="7CE14740" w14:textId="1EC36402" w:rsidR="0008115A" w:rsidRDefault="0008115A" w:rsidP="00750C45">
      <w:pPr>
        <w:pStyle w:val="Heading3"/>
        <w:rPr>
          <w:lang w:val="mi-NZ"/>
        </w:rPr>
      </w:pPr>
      <w:r>
        <w:rPr>
          <w:lang w:val="mi-NZ"/>
        </w:rPr>
        <w:t xml:space="preserve">Voting Age </w:t>
      </w:r>
    </w:p>
    <w:p w14:paraId="48E07625" w14:textId="77777777" w:rsidR="00750C45" w:rsidRPr="00750C45" w:rsidRDefault="00750C45" w:rsidP="00750C45">
      <w:pPr>
        <w:rPr>
          <w:lang w:val="mi-NZ"/>
        </w:rPr>
      </w:pPr>
    </w:p>
    <w:p w14:paraId="008970BA" w14:textId="1B5BFA3A" w:rsidR="0008115A" w:rsidRPr="0008115A" w:rsidRDefault="0008115A" w:rsidP="0008115A">
      <w:pPr>
        <w:pStyle w:val="ListParagraph"/>
        <w:numPr>
          <w:ilvl w:val="0"/>
          <w:numId w:val="9"/>
        </w:numPr>
        <w:ind w:hanging="720"/>
        <w:rPr>
          <w:rFonts w:cstheme="minorHAnsi"/>
          <w:sz w:val="22"/>
          <w:szCs w:val="22"/>
          <w:lang w:val="mi-NZ"/>
        </w:rPr>
      </w:pPr>
      <w:r w:rsidRPr="0008115A">
        <w:rPr>
          <w:rFonts w:cstheme="minorHAnsi"/>
          <w:sz w:val="22"/>
          <w:szCs w:val="22"/>
          <w:lang w:val="mi-NZ"/>
        </w:rPr>
        <w:t>A youth-led campaign is underway to lower the voting age to 16.</w:t>
      </w:r>
      <w:r w:rsidRPr="0008115A">
        <w:rPr>
          <w:rFonts w:cstheme="minorHAnsi"/>
          <w:sz w:val="22"/>
          <w:szCs w:val="22"/>
          <w:vertAlign w:val="superscript"/>
          <w:lang w:val="mi-NZ"/>
        </w:rPr>
        <w:footnoteReference w:id="133"/>
      </w:r>
      <w:r w:rsidRPr="0008115A">
        <w:rPr>
          <w:rFonts w:cstheme="minorHAnsi"/>
          <w:sz w:val="22"/>
          <w:szCs w:val="22"/>
          <w:lang w:val="mi-NZ"/>
        </w:rPr>
        <w:t xml:space="preserve"> ‘Make It 16’ has sought a decaration from the Supreme Court that the minimum voting age is inconsistent with the New Zealand Bill of Rights Act 1990.</w:t>
      </w:r>
      <w:r w:rsidRPr="0008115A">
        <w:rPr>
          <w:rFonts w:cstheme="minorHAnsi"/>
          <w:sz w:val="22"/>
          <w:szCs w:val="22"/>
          <w:vertAlign w:val="superscript"/>
          <w:lang w:val="mi-NZ"/>
        </w:rPr>
        <w:footnoteReference w:id="134"/>
      </w:r>
      <w:r w:rsidRPr="0008115A">
        <w:rPr>
          <w:rFonts w:cstheme="minorHAnsi"/>
          <w:sz w:val="22"/>
          <w:szCs w:val="22"/>
          <w:lang w:val="mi-NZ"/>
        </w:rPr>
        <w:t xml:space="preserve"> </w:t>
      </w:r>
      <w:r w:rsidRPr="0008115A">
        <w:rPr>
          <w:rFonts w:cstheme="minorHAnsi"/>
          <w:sz w:val="22"/>
          <w:szCs w:val="22"/>
          <w:vertAlign w:val="superscript"/>
          <w:lang w:val="mi-NZ"/>
        </w:rPr>
        <w:footnoteReference w:id="135"/>
      </w:r>
    </w:p>
    <w:p w14:paraId="33B6399B" w14:textId="77777777" w:rsidR="0008115A" w:rsidRPr="0008115A" w:rsidRDefault="0008115A" w:rsidP="0008115A">
      <w:pPr>
        <w:pStyle w:val="ListParagraph"/>
        <w:rPr>
          <w:rFonts w:cstheme="minorHAnsi"/>
          <w:sz w:val="22"/>
          <w:szCs w:val="22"/>
          <w:lang w:val="mi-NZ"/>
        </w:rPr>
      </w:pPr>
    </w:p>
    <w:p w14:paraId="70CCC553" w14:textId="77777777" w:rsidR="0008115A" w:rsidRPr="0008115A" w:rsidRDefault="0008115A" w:rsidP="0008115A">
      <w:pPr>
        <w:pStyle w:val="ListParagraph"/>
        <w:numPr>
          <w:ilvl w:val="0"/>
          <w:numId w:val="9"/>
        </w:numPr>
        <w:ind w:hanging="720"/>
        <w:rPr>
          <w:rFonts w:cstheme="minorHAnsi"/>
          <w:sz w:val="22"/>
          <w:szCs w:val="22"/>
          <w:lang w:val="mi-NZ"/>
        </w:rPr>
      </w:pPr>
      <w:r w:rsidRPr="0008115A">
        <w:rPr>
          <w:rFonts w:cstheme="minorHAnsi"/>
          <w:sz w:val="22"/>
          <w:szCs w:val="22"/>
          <w:lang w:val="mi-NZ"/>
        </w:rPr>
        <w:t>At the 2022 Youth Parliament, more than half of the 120 youth MPs signed an open letter calling for Parliament to lower the voting age for both local and general elections.</w:t>
      </w:r>
      <w:r w:rsidRPr="0008115A">
        <w:rPr>
          <w:rFonts w:cstheme="minorHAnsi"/>
          <w:sz w:val="22"/>
          <w:szCs w:val="22"/>
          <w:vertAlign w:val="superscript"/>
          <w:lang w:val="mi-NZ"/>
        </w:rPr>
        <w:footnoteReference w:id="136"/>
      </w:r>
      <w:r w:rsidRPr="0008115A">
        <w:rPr>
          <w:rFonts w:cstheme="minorHAnsi"/>
          <w:sz w:val="22"/>
          <w:szCs w:val="22"/>
          <w:lang w:val="mi-NZ"/>
        </w:rPr>
        <w:t xml:space="preserve"> </w:t>
      </w:r>
    </w:p>
    <w:p w14:paraId="7ABAFA92" w14:textId="77777777" w:rsidR="0008115A" w:rsidRPr="0008115A" w:rsidRDefault="0008115A" w:rsidP="0008115A">
      <w:pPr>
        <w:pStyle w:val="ListParagraph"/>
        <w:rPr>
          <w:rFonts w:cstheme="minorHAnsi"/>
          <w:sz w:val="22"/>
          <w:szCs w:val="22"/>
          <w:lang w:val="mi-NZ"/>
        </w:rPr>
      </w:pPr>
    </w:p>
    <w:p w14:paraId="722BAD8B" w14:textId="77777777" w:rsidR="0008115A" w:rsidRPr="0008115A" w:rsidRDefault="0008115A" w:rsidP="0008115A">
      <w:pPr>
        <w:pStyle w:val="ListParagraph"/>
        <w:numPr>
          <w:ilvl w:val="0"/>
          <w:numId w:val="9"/>
        </w:numPr>
        <w:ind w:hanging="720"/>
        <w:rPr>
          <w:rFonts w:cstheme="minorHAnsi"/>
          <w:sz w:val="22"/>
          <w:szCs w:val="22"/>
          <w:lang w:val="mi-NZ"/>
        </w:rPr>
      </w:pPr>
      <w:r w:rsidRPr="0008115A">
        <w:rPr>
          <w:rFonts w:cstheme="minorHAnsi"/>
          <w:sz w:val="22"/>
          <w:szCs w:val="22"/>
          <w:lang w:val="mi-NZ"/>
        </w:rPr>
        <w:t>An independent panel, appointed by Government to review electoral law, including the voting age, will report by the end of 2023.</w:t>
      </w:r>
      <w:r w:rsidRPr="0008115A">
        <w:rPr>
          <w:rFonts w:cstheme="minorHAnsi"/>
          <w:sz w:val="22"/>
          <w:szCs w:val="22"/>
          <w:vertAlign w:val="superscript"/>
          <w:lang w:val="mi-NZ"/>
        </w:rPr>
        <w:footnoteReference w:id="137"/>
      </w:r>
      <w:r w:rsidRPr="0008115A">
        <w:rPr>
          <w:rFonts w:cstheme="minorHAnsi"/>
          <w:sz w:val="22"/>
          <w:szCs w:val="22"/>
          <w:lang w:val="mi-NZ"/>
        </w:rPr>
        <w:t xml:space="preserve"> </w:t>
      </w:r>
    </w:p>
    <w:p w14:paraId="326211E0" w14:textId="77777777" w:rsidR="00A5379C" w:rsidRDefault="00A5379C">
      <w:pPr>
        <w:rPr>
          <w:rFonts w:asciiTheme="majorHAnsi" w:eastAsiaTheme="majorEastAsia" w:hAnsiTheme="majorHAnsi" w:cstheme="majorBidi"/>
          <w:color w:val="25409A" w:themeColor="text2"/>
          <w:sz w:val="24"/>
          <w:szCs w:val="24"/>
          <w:lang w:val="mi-NZ"/>
        </w:rPr>
      </w:pPr>
      <w:r>
        <w:rPr>
          <w:lang w:val="mi-NZ"/>
        </w:rPr>
        <w:br w:type="page"/>
      </w:r>
    </w:p>
    <w:p w14:paraId="2C48117F" w14:textId="355C5628" w:rsidR="009F69C3" w:rsidRPr="00C41EA3" w:rsidRDefault="009F69C3" w:rsidP="009F69C3">
      <w:pPr>
        <w:pStyle w:val="Heading3"/>
        <w:rPr>
          <w:lang w:val="mi-NZ"/>
        </w:rPr>
      </w:pPr>
      <w:r>
        <w:rPr>
          <w:lang w:val="mi-NZ"/>
        </w:rPr>
        <w:lastRenderedPageBreak/>
        <w:t xml:space="preserve">Age of Consent </w:t>
      </w:r>
    </w:p>
    <w:p w14:paraId="3ECEF865" w14:textId="10ADAD1A" w:rsidR="00970A6D" w:rsidRPr="009F69C3" w:rsidRDefault="00970A6D" w:rsidP="009F69C3">
      <w:pPr>
        <w:rPr>
          <w:rFonts w:cstheme="minorHAnsi"/>
          <w:sz w:val="22"/>
          <w:szCs w:val="22"/>
          <w:lang w:val="mi-NZ"/>
        </w:rPr>
      </w:pPr>
    </w:p>
    <w:p w14:paraId="1E10BDCA" w14:textId="79ED257D" w:rsidR="00970A6D" w:rsidRPr="00660FDB" w:rsidRDefault="00660FDB" w:rsidP="00660FDB">
      <w:pPr>
        <w:pStyle w:val="ListParagraph"/>
        <w:numPr>
          <w:ilvl w:val="0"/>
          <w:numId w:val="9"/>
        </w:numPr>
        <w:ind w:hanging="720"/>
        <w:rPr>
          <w:rFonts w:cstheme="minorHAnsi"/>
          <w:sz w:val="22"/>
          <w:szCs w:val="22"/>
          <w:lang w:val="en-NZ"/>
        </w:rPr>
      </w:pPr>
      <w:r w:rsidRPr="00660FDB">
        <w:rPr>
          <w:rFonts w:cstheme="minorHAnsi"/>
          <w:sz w:val="22"/>
          <w:szCs w:val="22"/>
          <w:lang w:val="en-NZ"/>
        </w:rPr>
        <w:t>The lack of a legal requirement for affirmative consent to sexual intercourse means people charged with the sexual violation (rape) of children can argue it was consensual. In a recent case it was argued a 12-year-old consented.</w:t>
      </w:r>
      <w:r w:rsidRPr="00660FDB">
        <w:rPr>
          <w:rFonts w:cstheme="minorHAnsi"/>
          <w:sz w:val="22"/>
          <w:szCs w:val="22"/>
          <w:vertAlign w:val="superscript"/>
          <w:lang w:val="en-NZ"/>
        </w:rPr>
        <w:footnoteReference w:id="138"/>
      </w:r>
      <w:r w:rsidRPr="00660FDB">
        <w:rPr>
          <w:rFonts w:cstheme="minorHAnsi"/>
          <w:sz w:val="22"/>
          <w:szCs w:val="22"/>
          <w:lang w:val="en-NZ"/>
        </w:rPr>
        <w:t xml:space="preserve"> A petition to reform consent law has been lodged with Parliament.</w:t>
      </w:r>
      <w:r w:rsidRPr="00660FDB">
        <w:rPr>
          <w:rFonts w:cstheme="minorHAnsi"/>
          <w:sz w:val="22"/>
          <w:szCs w:val="22"/>
          <w:vertAlign w:val="superscript"/>
          <w:lang w:val="en-NZ"/>
        </w:rPr>
        <w:footnoteReference w:id="139"/>
      </w:r>
    </w:p>
    <w:p w14:paraId="2093E4E2" w14:textId="19C42E0A" w:rsidR="00660FDB" w:rsidRPr="00660FDB" w:rsidRDefault="00660FDB" w:rsidP="00660FDB">
      <w:pPr>
        <w:pStyle w:val="IntenseQuote"/>
        <w:ind w:left="720"/>
        <w:jc w:val="left"/>
        <w:rPr>
          <w:b/>
          <w:bCs/>
          <w:i w:val="0"/>
          <w:iCs w:val="0"/>
          <w:sz w:val="24"/>
          <w:szCs w:val="24"/>
          <w:lang w:val="mi-NZ"/>
        </w:rPr>
      </w:pPr>
      <w:r w:rsidRPr="00660FDB">
        <w:rPr>
          <w:b/>
          <w:bCs/>
          <w:i w:val="0"/>
          <w:iCs w:val="0"/>
          <w:sz w:val="24"/>
          <w:szCs w:val="24"/>
          <w:lang w:val="mi-NZ"/>
        </w:rPr>
        <w:t>Recommendations</w:t>
      </w:r>
    </w:p>
    <w:p w14:paraId="64C067F9" w14:textId="77777777" w:rsidR="00660FDB" w:rsidRPr="005964D5" w:rsidRDefault="00660FDB" w:rsidP="00916EA3">
      <w:pPr>
        <w:pStyle w:val="IntenseQuote"/>
        <w:numPr>
          <w:ilvl w:val="0"/>
          <w:numId w:val="11"/>
        </w:numPr>
        <w:jc w:val="left"/>
        <w:rPr>
          <w:i w:val="0"/>
          <w:iCs w:val="0"/>
          <w:sz w:val="22"/>
          <w:szCs w:val="22"/>
          <w:lang w:val="mi-NZ"/>
        </w:rPr>
      </w:pPr>
      <w:r w:rsidRPr="005964D5">
        <w:rPr>
          <w:i w:val="0"/>
          <w:iCs w:val="0"/>
          <w:sz w:val="22"/>
          <w:szCs w:val="22"/>
          <w:lang w:val="mi-NZ"/>
        </w:rPr>
        <w:t>Include all 17-year-olds in the youth justice system.</w:t>
      </w:r>
    </w:p>
    <w:p w14:paraId="4461AC4D" w14:textId="77777777" w:rsidR="00660FDB" w:rsidRPr="005964D5" w:rsidRDefault="00660FDB" w:rsidP="00916EA3">
      <w:pPr>
        <w:pStyle w:val="IntenseQuote"/>
        <w:numPr>
          <w:ilvl w:val="0"/>
          <w:numId w:val="11"/>
        </w:numPr>
        <w:jc w:val="left"/>
        <w:rPr>
          <w:i w:val="0"/>
          <w:iCs w:val="0"/>
          <w:sz w:val="22"/>
          <w:szCs w:val="22"/>
          <w:lang w:val="mi-NZ"/>
        </w:rPr>
      </w:pPr>
      <w:r w:rsidRPr="005964D5">
        <w:rPr>
          <w:i w:val="0"/>
          <w:iCs w:val="0"/>
          <w:sz w:val="22"/>
          <w:szCs w:val="22"/>
          <w:lang w:val="mi-NZ"/>
        </w:rPr>
        <w:t>Increase the minimum age of criminal responsibility to 14.</w:t>
      </w:r>
    </w:p>
    <w:p w14:paraId="721BCE93" w14:textId="77777777" w:rsidR="00660FDB" w:rsidRPr="005964D5" w:rsidRDefault="00660FDB" w:rsidP="00916EA3">
      <w:pPr>
        <w:pStyle w:val="IntenseQuote"/>
        <w:numPr>
          <w:ilvl w:val="0"/>
          <w:numId w:val="11"/>
        </w:numPr>
        <w:jc w:val="left"/>
        <w:rPr>
          <w:i w:val="0"/>
          <w:iCs w:val="0"/>
          <w:sz w:val="22"/>
          <w:szCs w:val="22"/>
          <w:lang w:val="mi-NZ"/>
        </w:rPr>
      </w:pPr>
      <w:r w:rsidRPr="005964D5">
        <w:rPr>
          <w:i w:val="0"/>
          <w:iCs w:val="0"/>
          <w:sz w:val="22"/>
          <w:szCs w:val="22"/>
          <w:lang w:val="mi-NZ"/>
        </w:rPr>
        <w:t>Make the voting age 16.</w:t>
      </w:r>
    </w:p>
    <w:p w14:paraId="1AAA988D" w14:textId="67DADCEE" w:rsidR="00077A17" w:rsidRPr="00BC4E04" w:rsidRDefault="00660FDB" w:rsidP="00750C45">
      <w:pPr>
        <w:pStyle w:val="IntenseQuote"/>
        <w:numPr>
          <w:ilvl w:val="0"/>
          <w:numId w:val="11"/>
        </w:numPr>
        <w:jc w:val="left"/>
        <w:rPr>
          <w:i w:val="0"/>
          <w:iCs w:val="0"/>
          <w:sz w:val="22"/>
          <w:szCs w:val="22"/>
          <w:lang w:val="mi-NZ"/>
        </w:rPr>
      </w:pPr>
      <w:r w:rsidRPr="005964D5">
        <w:rPr>
          <w:i w:val="0"/>
          <w:iCs w:val="0"/>
          <w:sz w:val="22"/>
          <w:szCs w:val="22"/>
          <w:lang w:val="mi-NZ"/>
        </w:rPr>
        <w:t xml:space="preserve">Reform consent law. </w:t>
      </w:r>
      <w:bookmarkStart w:id="20" w:name="_Hlk111384550"/>
    </w:p>
    <w:p w14:paraId="1111E9E5" w14:textId="50BDC139" w:rsidR="00E07B2C" w:rsidRPr="00750C45" w:rsidRDefault="00E07B2C" w:rsidP="00750C45">
      <w:pPr>
        <w:pStyle w:val="Heading1"/>
      </w:pPr>
      <w:bookmarkStart w:id="21" w:name="_Toc111485448"/>
      <w:r w:rsidRPr="00750C45">
        <w:t>General Principles – LOIPR 9-12</w:t>
      </w:r>
      <w:bookmarkEnd w:id="21"/>
    </w:p>
    <w:bookmarkEnd w:id="20"/>
    <w:p w14:paraId="4163D9D7" w14:textId="77777777" w:rsidR="00660FDB" w:rsidRPr="00660FDB" w:rsidRDefault="00660FDB" w:rsidP="00660FDB">
      <w:pPr>
        <w:rPr>
          <w:rFonts w:cstheme="minorHAnsi"/>
          <w:sz w:val="22"/>
          <w:szCs w:val="22"/>
          <w:lang w:val="mi-NZ"/>
        </w:rPr>
      </w:pPr>
    </w:p>
    <w:p w14:paraId="7028A800" w14:textId="3324D408" w:rsidR="00750C45" w:rsidRPr="00750C45" w:rsidRDefault="00750C45" w:rsidP="00750C45">
      <w:pPr>
        <w:pStyle w:val="ListParagraph"/>
        <w:numPr>
          <w:ilvl w:val="0"/>
          <w:numId w:val="9"/>
        </w:numPr>
        <w:ind w:hanging="720"/>
        <w:rPr>
          <w:rFonts w:cstheme="minorHAnsi"/>
          <w:sz w:val="22"/>
          <w:szCs w:val="22"/>
          <w:lang w:val="mi-NZ"/>
        </w:rPr>
      </w:pPr>
      <w:r w:rsidRPr="00750C45">
        <w:rPr>
          <w:rFonts w:cstheme="minorHAnsi"/>
          <w:sz w:val="22"/>
          <w:szCs w:val="22"/>
          <w:lang w:val="mi-NZ"/>
        </w:rPr>
        <w:t>The general principles are key to maximising the wellbeing of all children. Currently, they are not systematically or consistently applied in Aotearoa.</w:t>
      </w:r>
    </w:p>
    <w:p w14:paraId="4759DE56" w14:textId="77777777" w:rsidR="00077A17" w:rsidRDefault="00077A17" w:rsidP="00750C45">
      <w:pPr>
        <w:pStyle w:val="Heading2"/>
      </w:pPr>
    </w:p>
    <w:p w14:paraId="2A7A6237" w14:textId="3022EFE5" w:rsidR="00750C45" w:rsidRPr="00750C45" w:rsidRDefault="00750C45" w:rsidP="00750C45">
      <w:pPr>
        <w:pStyle w:val="Heading2"/>
      </w:pPr>
      <w:bookmarkStart w:id="22" w:name="_Toc111485449"/>
      <w:r w:rsidRPr="00750C45">
        <w:t>Non-discrimination – LOIPR 9</w:t>
      </w:r>
      <w:bookmarkEnd w:id="22"/>
    </w:p>
    <w:p w14:paraId="0596EF6F" w14:textId="6889AE97" w:rsidR="00970A6D" w:rsidRDefault="00970A6D" w:rsidP="00750C45">
      <w:pPr>
        <w:rPr>
          <w:rFonts w:cstheme="minorHAnsi"/>
          <w:sz w:val="22"/>
          <w:szCs w:val="22"/>
          <w:lang w:val="mi-NZ"/>
        </w:rPr>
      </w:pPr>
    </w:p>
    <w:p w14:paraId="04FBC1DB" w14:textId="50623530" w:rsidR="00750C45" w:rsidRPr="00077A17" w:rsidRDefault="00750C45" w:rsidP="00077A17">
      <w:pPr>
        <w:ind w:left="720"/>
        <w:rPr>
          <w:rFonts w:eastAsia="Calibri" w:cstheme="minorHAnsi"/>
          <w:i/>
          <w:iCs/>
          <w:color w:val="000000" w:themeColor="text1"/>
          <w:sz w:val="22"/>
          <w:szCs w:val="22"/>
        </w:rPr>
      </w:pPr>
      <w:r w:rsidRPr="00077A17">
        <w:rPr>
          <w:rFonts w:eastAsia="Calibri" w:cstheme="minorHAnsi"/>
          <w:i/>
          <w:iCs/>
          <w:color w:val="000000" w:themeColor="text1"/>
          <w:sz w:val="22"/>
          <w:szCs w:val="22"/>
        </w:rPr>
        <w:t>As a community, we are constantly having to fight for our basic needs to be fulfilled, we are having to fight to be acknowledged as people who deserve the bare minimum.</w:t>
      </w:r>
      <w:r w:rsidRPr="00077A17">
        <w:rPr>
          <w:rStyle w:val="FootnoteReference"/>
          <w:rFonts w:eastAsia="Calibri" w:cstheme="minorHAnsi"/>
          <w:i/>
          <w:iCs/>
          <w:color w:val="000000" w:themeColor="text1"/>
          <w:sz w:val="22"/>
          <w:szCs w:val="22"/>
        </w:rPr>
        <w:footnoteReference w:id="140"/>
      </w:r>
    </w:p>
    <w:p w14:paraId="4D3D9FE2" w14:textId="16DC6101" w:rsidR="00750C45" w:rsidRPr="00750C45" w:rsidRDefault="00750C45" w:rsidP="00750C45">
      <w:pPr>
        <w:pStyle w:val="ListParagraph"/>
        <w:numPr>
          <w:ilvl w:val="0"/>
          <w:numId w:val="9"/>
        </w:numPr>
        <w:ind w:hanging="720"/>
        <w:rPr>
          <w:rFonts w:cstheme="minorHAnsi"/>
          <w:sz w:val="22"/>
          <w:szCs w:val="22"/>
          <w:lang w:val="mi-NZ"/>
        </w:rPr>
      </w:pPr>
      <w:r w:rsidRPr="00750C45">
        <w:rPr>
          <w:rFonts w:cstheme="minorHAnsi"/>
          <w:sz w:val="22"/>
          <w:szCs w:val="22"/>
          <w:lang w:val="mi-NZ"/>
        </w:rPr>
        <w:t xml:space="preserve">Inequity in realisation of rights continues to be a significant concern. Persistent disparities remain in the experiences and outcomes in health, education and welfare for tamariki Maori, Pacific children, rainbow and </w:t>
      </w:r>
      <w:r w:rsidRPr="00750C45">
        <w:rPr>
          <w:rFonts w:cstheme="minorHAnsi"/>
          <w:sz w:val="22"/>
          <w:szCs w:val="22"/>
          <w:lang w:val="mi-NZ"/>
        </w:rPr>
        <w:lastRenderedPageBreak/>
        <w:t>disabled children.</w:t>
      </w:r>
      <w:r w:rsidRPr="00750C45">
        <w:rPr>
          <w:rFonts w:cstheme="minorHAnsi"/>
          <w:sz w:val="22"/>
          <w:szCs w:val="22"/>
          <w:vertAlign w:val="superscript"/>
          <w:lang w:val="mi-NZ"/>
        </w:rPr>
        <w:footnoteReference w:id="141"/>
      </w:r>
      <w:r w:rsidRPr="00750C45">
        <w:rPr>
          <w:rFonts w:cstheme="minorHAnsi"/>
          <w:sz w:val="22"/>
          <w:szCs w:val="22"/>
          <w:lang w:val="mi-NZ"/>
        </w:rPr>
        <w:t xml:space="preserve"> </w:t>
      </w:r>
      <w:r w:rsidRPr="00750C45">
        <w:rPr>
          <w:rFonts w:cstheme="minorHAnsi"/>
          <w:sz w:val="22"/>
          <w:szCs w:val="22"/>
          <w:vertAlign w:val="superscript"/>
          <w:lang w:val="mi-NZ"/>
        </w:rPr>
        <w:footnoteReference w:id="142"/>
      </w:r>
      <w:r w:rsidRPr="00750C45">
        <w:rPr>
          <w:rFonts w:cstheme="minorHAnsi"/>
          <w:sz w:val="22"/>
          <w:szCs w:val="22"/>
          <w:lang w:val="mi-NZ"/>
        </w:rPr>
        <w:t xml:space="preserve"> These disparities are likely to be compounded by climate change.</w:t>
      </w:r>
      <w:r w:rsidRPr="00750C45">
        <w:rPr>
          <w:rFonts w:cstheme="minorHAnsi"/>
          <w:sz w:val="22"/>
          <w:szCs w:val="22"/>
          <w:vertAlign w:val="superscript"/>
          <w:lang w:val="mi-NZ"/>
        </w:rPr>
        <w:footnoteReference w:id="143"/>
      </w:r>
    </w:p>
    <w:p w14:paraId="502B801C" w14:textId="77777777" w:rsidR="00750C45" w:rsidRPr="00750C45" w:rsidRDefault="00750C45" w:rsidP="00750C45">
      <w:pPr>
        <w:pStyle w:val="ListParagraph"/>
        <w:rPr>
          <w:rFonts w:cstheme="minorHAnsi"/>
          <w:sz w:val="22"/>
          <w:szCs w:val="22"/>
          <w:lang w:val="mi-NZ"/>
        </w:rPr>
      </w:pPr>
    </w:p>
    <w:p w14:paraId="2FDE984D" w14:textId="07131B59" w:rsidR="00750C45" w:rsidRDefault="00750C45" w:rsidP="00750C45">
      <w:pPr>
        <w:pStyle w:val="ListParagraph"/>
        <w:numPr>
          <w:ilvl w:val="0"/>
          <w:numId w:val="9"/>
        </w:numPr>
        <w:ind w:hanging="720"/>
        <w:rPr>
          <w:rFonts w:cstheme="minorHAnsi"/>
          <w:sz w:val="22"/>
          <w:szCs w:val="22"/>
          <w:lang w:val="en-NZ"/>
        </w:rPr>
      </w:pPr>
      <w:r w:rsidRPr="00750C45">
        <w:rPr>
          <w:rFonts w:cstheme="minorHAnsi"/>
          <w:sz w:val="22"/>
          <w:szCs w:val="22"/>
          <w:lang w:val="en-NZ"/>
        </w:rPr>
        <w:t xml:space="preserve">Giving practical effect to </w:t>
      </w:r>
      <w:proofErr w:type="spellStart"/>
      <w:r w:rsidR="00C52D88">
        <w:rPr>
          <w:rFonts w:cstheme="minorHAnsi"/>
          <w:sz w:val="22"/>
          <w:szCs w:val="22"/>
          <w:lang w:val="en-NZ"/>
        </w:rPr>
        <w:t>T</w:t>
      </w:r>
      <w:r w:rsidRPr="00750C45">
        <w:rPr>
          <w:rFonts w:cstheme="minorHAnsi"/>
          <w:sz w:val="22"/>
          <w:szCs w:val="22"/>
          <w:lang w:val="en-NZ"/>
        </w:rPr>
        <w:t>e</w:t>
      </w:r>
      <w:proofErr w:type="spellEnd"/>
      <w:r w:rsidRPr="00750C45">
        <w:rPr>
          <w:rFonts w:cstheme="minorHAnsi"/>
          <w:sz w:val="22"/>
          <w:szCs w:val="22"/>
          <w:lang w:val="en-NZ"/>
        </w:rPr>
        <w:t xml:space="preserve"> </w:t>
      </w:r>
      <w:proofErr w:type="spellStart"/>
      <w:r w:rsidRPr="00750C45">
        <w:rPr>
          <w:rFonts w:cstheme="minorHAnsi"/>
          <w:sz w:val="22"/>
          <w:szCs w:val="22"/>
          <w:lang w:val="en-NZ"/>
        </w:rPr>
        <w:t>Tiriti</w:t>
      </w:r>
      <w:proofErr w:type="spellEnd"/>
      <w:r w:rsidRPr="00750C45">
        <w:rPr>
          <w:rFonts w:cstheme="minorHAnsi"/>
          <w:sz w:val="22"/>
          <w:szCs w:val="22"/>
          <w:lang w:val="en-NZ"/>
        </w:rPr>
        <w:t xml:space="preserve"> o Waitangi and increased recognition of the intersectionality between the application of the CRC and the rights of children under other international human rights obligations, would help to address issues of discrimination and ensure equal realisation of the rights of all children.</w:t>
      </w:r>
    </w:p>
    <w:p w14:paraId="08CA71E0" w14:textId="77777777" w:rsidR="00750C45" w:rsidRPr="00750C45" w:rsidRDefault="00750C45" w:rsidP="00750C45">
      <w:pPr>
        <w:pStyle w:val="ListParagraph"/>
        <w:rPr>
          <w:rFonts w:cstheme="minorHAnsi"/>
          <w:sz w:val="22"/>
          <w:szCs w:val="22"/>
          <w:lang w:val="en-NZ"/>
        </w:rPr>
      </w:pPr>
    </w:p>
    <w:p w14:paraId="6181AA35" w14:textId="77777777" w:rsidR="00750C45" w:rsidRPr="00750C45" w:rsidRDefault="00750C45" w:rsidP="00750C45">
      <w:pPr>
        <w:pStyle w:val="Heading3"/>
      </w:pPr>
      <w:r w:rsidRPr="00750C45">
        <w:t>Muslim children</w:t>
      </w:r>
    </w:p>
    <w:p w14:paraId="043538A3" w14:textId="77777777" w:rsidR="00750C45" w:rsidRPr="00750C45" w:rsidRDefault="00750C45" w:rsidP="00750C45">
      <w:pPr>
        <w:rPr>
          <w:rFonts w:cstheme="minorHAnsi"/>
          <w:sz w:val="22"/>
          <w:szCs w:val="22"/>
          <w:lang w:val="en-NZ"/>
        </w:rPr>
      </w:pPr>
    </w:p>
    <w:p w14:paraId="04CA3025" w14:textId="1B0AD9C5" w:rsidR="00750C45" w:rsidRPr="00750C45" w:rsidRDefault="00750C45" w:rsidP="00750C45">
      <w:pPr>
        <w:pStyle w:val="ListParagraph"/>
        <w:numPr>
          <w:ilvl w:val="0"/>
          <w:numId w:val="9"/>
        </w:numPr>
        <w:ind w:hanging="720"/>
        <w:rPr>
          <w:rFonts w:cstheme="minorHAnsi"/>
          <w:sz w:val="22"/>
          <w:szCs w:val="22"/>
          <w:lang w:val="mi-NZ"/>
        </w:rPr>
      </w:pPr>
      <w:r w:rsidRPr="00750C45">
        <w:rPr>
          <w:rFonts w:cstheme="minorHAnsi"/>
          <w:sz w:val="22"/>
          <w:szCs w:val="22"/>
          <w:lang w:val="mi-NZ"/>
        </w:rPr>
        <w:t>Despite many years of calls for action from the Muslim community, discrimination against Muslim children and their families was more publicly exposed following the Christchurch and New Lynn terror attacks in 2019 and 2021. In 2021, a National Islamic Youth Association formed to provide a platform for Muslim Youth and be a unified voice speaking out on issues of social and political injustice.</w:t>
      </w:r>
      <w:r w:rsidRPr="00750C45">
        <w:rPr>
          <w:rFonts w:cstheme="minorHAnsi"/>
          <w:sz w:val="22"/>
          <w:szCs w:val="22"/>
          <w:vertAlign w:val="superscript"/>
          <w:lang w:val="mi-NZ"/>
        </w:rPr>
        <w:footnoteReference w:id="144"/>
      </w:r>
    </w:p>
    <w:p w14:paraId="5BA5B91B" w14:textId="77777777" w:rsidR="00750C45" w:rsidRPr="00750C45" w:rsidRDefault="00750C45" w:rsidP="00750C45">
      <w:pPr>
        <w:pStyle w:val="ListParagraph"/>
        <w:rPr>
          <w:rFonts w:cstheme="minorHAnsi"/>
          <w:sz w:val="22"/>
          <w:szCs w:val="22"/>
          <w:lang w:val="mi-NZ"/>
        </w:rPr>
      </w:pPr>
    </w:p>
    <w:p w14:paraId="7FBB2D73" w14:textId="77777777" w:rsidR="00750C45" w:rsidRPr="00750C45" w:rsidRDefault="00750C45" w:rsidP="00750C45">
      <w:pPr>
        <w:pStyle w:val="ListParagraph"/>
        <w:numPr>
          <w:ilvl w:val="0"/>
          <w:numId w:val="9"/>
        </w:numPr>
        <w:ind w:hanging="720"/>
        <w:rPr>
          <w:rFonts w:cstheme="minorHAnsi"/>
          <w:sz w:val="22"/>
          <w:szCs w:val="22"/>
          <w:lang w:val="mi-NZ"/>
        </w:rPr>
      </w:pPr>
      <w:r w:rsidRPr="00750C45">
        <w:rPr>
          <w:rFonts w:cstheme="minorHAnsi"/>
          <w:sz w:val="22"/>
          <w:szCs w:val="22"/>
          <w:lang w:val="mi-NZ"/>
        </w:rPr>
        <w:t>Humairaa Saheb, a youth MP in the 2022 Youth Parliament, spoke about school inaction on racism and religious intolerance:</w:t>
      </w:r>
    </w:p>
    <w:p w14:paraId="13DEEB19" w14:textId="77777777" w:rsidR="003A5383" w:rsidRDefault="003A5383" w:rsidP="003A5383">
      <w:pPr>
        <w:pStyle w:val="ListParagraph"/>
        <w:spacing w:before="180" w:after="180"/>
        <w:textAlignment w:val="baseline"/>
        <w:rPr>
          <w:rFonts w:cstheme="minorHAnsi"/>
          <w:i/>
          <w:iCs/>
          <w:color w:val="404441"/>
          <w:spacing w:val="1"/>
        </w:rPr>
      </w:pPr>
    </w:p>
    <w:p w14:paraId="3A963CC4" w14:textId="41185C87" w:rsidR="00970A6D" w:rsidRDefault="00750C45" w:rsidP="003A5383">
      <w:pPr>
        <w:pStyle w:val="ListParagraph"/>
        <w:spacing w:before="180" w:after="180"/>
        <w:textAlignment w:val="baseline"/>
        <w:rPr>
          <w:rFonts w:cstheme="minorHAnsi"/>
          <w:i/>
          <w:iCs/>
          <w:spacing w:val="1"/>
        </w:rPr>
      </w:pPr>
      <w:r w:rsidRPr="003A5383">
        <w:rPr>
          <w:rFonts w:cstheme="minorHAnsi"/>
          <w:i/>
          <w:iCs/>
          <w:spacing w:val="1"/>
        </w:rPr>
        <w:t>I come from South Auckland. I come representing my religion, wearing my hijab, which I am attacked for. On 9 February, there was an Islamophobic attack at Otago Girls’ High School where a student was beaten up and her hijab was ripped off. By trying to make her take off her hijab, they’re trying to make us fit into the standards that society has for us, taking away our identity, and taking away our rights.</w:t>
      </w:r>
      <w:r w:rsidRPr="003A5383">
        <w:rPr>
          <w:rStyle w:val="FootnoteReference"/>
          <w:rFonts w:cstheme="minorHAnsi"/>
          <w:i/>
          <w:iCs/>
          <w:spacing w:val="1"/>
        </w:rPr>
        <w:footnoteReference w:id="145"/>
      </w:r>
    </w:p>
    <w:p w14:paraId="1E9A819E" w14:textId="1C79214B" w:rsidR="003A5383" w:rsidRPr="003A5383" w:rsidRDefault="003A5383" w:rsidP="003A5383">
      <w:pPr>
        <w:pStyle w:val="Heading3"/>
      </w:pPr>
      <w:r>
        <w:lastRenderedPageBreak/>
        <w:t>Rainbow</w:t>
      </w:r>
      <w:r w:rsidRPr="00750C45">
        <w:t xml:space="preserve"> children</w:t>
      </w:r>
    </w:p>
    <w:p w14:paraId="67B366B9" w14:textId="77777777" w:rsidR="003A5383" w:rsidRPr="003A5383" w:rsidRDefault="003A5383" w:rsidP="003A5383">
      <w:pPr>
        <w:pStyle w:val="ListParagraph"/>
        <w:rPr>
          <w:rFonts w:cstheme="minorHAnsi"/>
          <w:sz w:val="22"/>
          <w:szCs w:val="22"/>
          <w:lang w:val="mi-NZ"/>
        </w:rPr>
      </w:pPr>
    </w:p>
    <w:p w14:paraId="5178ADA2" w14:textId="6DFEEC12" w:rsidR="003A5383" w:rsidRPr="003A5383" w:rsidRDefault="003A5383" w:rsidP="003A5383">
      <w:pPr>
        <w:pStyle w:val="ListParagraph"/>
        <w:numPr>
          <w:ilvl w:val="0"/>
          <w:numId w:val="9"/>
        </w:numPr>
        <w:ind w:hanging="720"/>
        <w:rPr>
          <w:rFonts w:cstheme="minorHAnsi"/>
          <w:sz w:val="22"/>
          <w:szCs w:val="22"/>
          <w:lang w:val="mi-NZ"/>
        </w:rPr>
      </w:pPr>
      <w:r w:rsidRPr="003A5383">
        <w:rPr>
          <w:rFonts w:cstheme="minorHAnsi"/>
          <w:sz w:val="22"/>
          <w:szCs w:val="22"/>
          <w:lang w:val="en-NZ"/>
        </w:rPr>
        <w:t>Children in Aotearoa face specific, unique barriers to the full enjoyment of human rights based on their actual or perceived SOGIESC.</w:t>
      </w:r>
      <w:r w:rsidRPr="003A5383">
        <w:rPr>
          <w:rFonts w:cstheme="minorHAnsi"/>
          <w:sz w:val="22"/>
          <w:szCs w:val="22"/>
          <w:vertAlign w:val="superscript"/>
          <w:lang w:val="en-NZ"/>
        </w:rPr>
        <w:footnoteReference w:id="146"/>
      </w:r>
      <w:r w:rsidRPr="003A5383">
        <w:rPr>
          <w:rFonts w:cstheme="minorHAnsi"/>
          <w:sz w:val="22"/>
          <w:szCs w:val="22"/>
          <w:lang w:val="en-NZ"/>
        </w:rPr>
        <w:t xml:space="preserve"> Experiences of violence, social exclusion and discrimination lead to poorer health and social outcomes, including disproportionate rates of suicidality,</w:t>
      </w:r>
      <w:r w:rsidRPr="003A5383">
        <w:rPr>
          <w:rFonts w:cstheme="minorHAnsi"/>
          <w:sz w:val="22"/>
          <w:szCs w:val="22"/>
          <w:vertAlign w:val="superscript"/>
          <w:lang w:val="en-NZ"/>
        </w:rPr>
        <w:footnoteReference w:id="147"/>
      </w:r>
      <w:r w:rsidRPr="003A5383">
        <w:rPr>
          <w:rFonts w:cstheme="minorHAnsi"/>
          <w:sz w:val="22"/>
          <w:szCs w:val="22"/>
          <w:lang w:val="en-NZ"/>
        </w:rPr>
        <w:t xml:space="preserve"> homelessness</w:t>
      </w:r>
      <w:r w:rsidRPr="003A5383">
        <w:rPr>
          <w:rFonts w:cstheme="minorHAnsi"/>
          <w:sz w:val="22"/>
          <w:szCs w:val="22"/>
          <w:vertAlign w:val="superscript"/>
          <w:lang w:val="en-NZ"/>
        </w:rPr>
        <w:footnoteReference w:id="148"/>
      </w:r>
      <w:r w:rsidRPr="003A5383">
        <w:rPr>
          <w:rFonts w:cstheme="minorHAnsi"/>
          <w:sz w:val="22"/>
          <w:szCs w:val="22"/>
          <w:lang w:val="en-NZ"/>
        </w:rPr>
        <w:t xml:space="preserve"> and poor mental health.</w:t>
      </w:r>
      <w:r w:rsidRPr="003A5383">
        <w:rPr>
          <w:rFonts w:cstheme="minorHAnsi"/>
          <w:sz w:val="22"/>
          <w:szCs w:val="22"/>
          <w:vertAlign w:val="superscript"/>
          <w:lang w:val="en-NZ"/>
        </w:rPr>
        <w:footnoteReference w:id="149"/>
      </w:r>
      <w:r w:rsidRPr="003A5383">
        <w:rPr>
          <w:rFonts w:cstheme="minorHAnsi"/>
          <w:sz w:val="22"/>
          <w:szCs w:val="22"/>
          <w:lang w:val="en-NZ"/>
        </w:rPr>
        <w:t xml:space="preserve"> </w:t>
      </w:r>
      <w:r w:rsidRPr="003A5383">
        <w:rPr>
          <w:rFonts w:cstheme="minorHAnsi"/>
          <w:sz w:val="22"/>
          <w:szCs w:val="22"/>
          <w:vertAlign w:val="superscript"/>
          <w:lang w:val="en-NZ"/>
        </w:rPr>
        <w:footnoteReference w:id="150"/>
      </w:r>
      <w:r w:rsidRPr="003A5383">
        <w:rPr>
          <w:rFonts w:cstheme="minorHAnsi"/>
          <w:sz w:val="22"/>
          <w:szCs w:val="22"/>
          <w:lang w:val="en-NZ"/>
        </w:rPr>
        <w:t xml:space="preserve"> </w:t>
      </w:r>
      <w:r w:rsidRPr="003A5383">
        <w:rPr>
          <w:rFonts w:cstheme="minorHAnsi"/>
          <w:sz w:val="22"/>
          <w:szCs w:val="22"/>
          <w:lang w:val="mi-NZ"/>
        </w:rPr>
        <w:t>These outcomes are often worse for rainbow children who are Māori, Pacific or disabled, or who have been involved with OT.</w:t>
      </w:r>
      <w:r w:rsidRPr="003A5383">
        <w:rPr>
          <w:rFonts w:cstheme="minorHAnsi"/>
          <w:sz w:val="22"/>
          <w:szCs w:val="22"/>
          <w:vertAlign w:val="superscript"/>
          <w:lang w:val="mi-NZ"/>
        </w:rPr>
        <w:footnoteReference w:id="151"/>
      </w:r>
    </w:p>
    <w:p w14:paraId="78CC83C0" w14:textId="77777777" w:rsidR="003A5383" w:rsidRDefault="003A5383" w:rsidP="003A5383">
      <w:pPr>
        <w:pStyle w:val="ListParagraph"/>
        <w:rPr>
          <w:rFonts w:cstheme="minorHAnsi"/>
          <w:sz w:val="22"/>
          <w:szCs w:val="22"/>
          <w:lang w:val="mi-NZ"/>
        </w:rPr>
      </w:pPr>
    </w:p>
    <w:p w14:paraId="1DAA0096" w14:textId="6878AE88" w:rsidR="003A5383" w:rsidRPr="003A5383" w:rsidRDefault="003A5383" w:rsidP="003A5383">
      <w:pPr>
        <w:pStyle w:val="ListParagraph"/>
        <w:numPr>
          <w:ilvl w:val="0"/>
          <w:numId w:val="9"/>
        </w:numPr>
        <w:ind w:hanging="720"/>
        <w:rPr>
          <w:rFonts w:cstheme="minorHAnsi"/>
          <w:sz w:val="22"/>
          <w:szCs w:val="22"/>
          <w:lang w:val="mi-NZ"/>
        </w:rPr>
      </w:pPr>
      <w:r w:rsidRPr="003A5383">
        <w:rPr>
          <w:rFonts w:cstheme="minorHAnsi"/>
          <w:sz w:val="22"/>
          <w:szCs w:val="22"/>
          <w:lang w:val="mi-NZ"/>
        </w:rPr>
        <w:t>There has been some progress on ensuring rainbow children’s rights. A recent law change established an administrative process to make it easier for people to change their own or their children’s registered sex to match their gender based on a statutory declaration.</w:t>
      </w:r>
      <w:r w:rsidRPr="003A5383">
        <w:rPr>
          <w:rFonts w:cstheme="minorHAnsi"/>
          <w:sz w:val="22"/>
          <w:szCs w:val="22"/>
          <w:vertAlign w:val="superscript"/>
          <w:lang w:val="mi-NZ"/>
        </w:rPr>
        <w:footnoteReference w:id="152"/>
      </w:r>
      <w:r w:rsidRPr="003A5383">
        <w:rPr>
          <w:rFonts w:cstheme="minorHAnsi"/>
          <w:sz w:val="22"/>
          <w:szCs w:val="22"/>
          <w:lang w:val="mi-NZ"/>
        </w:rPr>
        <w:t xml:space="preserve"> </w:t>
      </w:r>
      <w:r w:rsidRPr="003A5383">
        <w:rPr>
          <w:rFonts w:cstheme="minorHAnsi"/>
          <w:sz w:val="22"/>
          <w:szCs w:val="22"/>
          <w:vertAlign w:val="superscript"/>
          <w:lang w:val="mi-NZ"/>
        </w:rPr>
        <w:footnoteReference w:id="153"/>
      </w:r>
      <w:r w:rsidRPr="003A5383">
        <w:rPr>
          <w:rFonts w:cstheme="minorHAnsi"/>
          <w:sz w:val="22"/>
          <w:szCs w:val="22"/>
          <w:lang w:val="mi-NZ"/>
        </w:rPr>
        <w:t xml:space="preserve"> </w:t>
      </w:r>
      <w:r w:rsidRPr="003A5383">
        <w:rPr>
          <w:rFonts w:cstheme="minorHAnsi"/>
          <w:sz w:val="22"/>
          <w:szCs w:val="22"/>
          <w:vertAlign w:val="superscript"/>
          <w:lang w:val="mi-NZ"/>
        </w:rPr>
        <w:footnoteReference w:id="154"/>
      </w:r>
      <w:r w:rsidRPr="003A5383">
        <w:rPr>
          <w:rFonts w:cstheme="minorHAnsi"/>
          <w:sz w:val="22"/>
          <w:szCs w:val="22"/>
          <w:lang w:val="mi-NZ"/>
        </w:rPr>
        <w:t xml:space="preserve"> </w:t>
      </w:r>
      <w:r w:rsidRPr="003A5383">
        <w:rPr>
          <w:rFonts w:cstheme="minorHAnsi"/>
          <w:sz w:val="22"/>
          <w:szCs w:val="22"/>
          <w:vertAlign w:val="superscript"/>
          <w:lang w:val="mi-NZ"/>
        </w:rPr>
        <w:footnoteReference w:id="155"/>
      </w:r>
    </w:p>
    <w:p w14:paraId="3CE62568" w14:textId="77777777" w:rsidR="003A5383" w:rsidRPr="003A5383" w:rsidRDefault="003A5383" w:rsidP="003A5383">
      <w:pPr>
        <w:pStyle w:val="ListParagraph"/>
        <w:rPr>
          <w:rFonts w:cstheme="minorHAnsi"/>
          <w:sz w:val="22"/>
          <w:szCs w:val="22"/>
          <w:lang w:val="en-NZ"/>
        </w:rPr>
      </w:pPr>
    </w:p>
    <w:p w14:paraId="1DE54114" w14:textId="58E74F9D" w:rsidR="003A5383" w:rsidRPr="003A5383" w:rsidRDefault="003A5383" w:rsidP="003A5383">
      <w:pPr>
        <w:pStyle w:val="ListParagraph"/>
        <w:numPr>
          <w:ilvl w:val="0"/>
          <w:numId w:val="9"/>
        </w:numPr>
        <w:ind w:hanging="720"/>
        <w:rPr>
          <w:rFonts w:cstheme="minorHAnsi"/>
          <w:sz w:val="22"/>
          <w:szCs w:val="22"/>
          <w:lang w:val="en-NZ"/>
        </w:rPr>
      </w:pPr>
      <w:r w:rsidRPr="003A5383">
        <w:rPr>
          <w:rFonts w:cstheme="minorHAnsi"/>
          <w:sz w:val="22"/>
          <w:szCs w:val="22"/>
          <w:lang w:val="mi-NZ"/>
        </w:rPr>
        <w:t>Parliament has passed legislation to end conversion practices – attempts to change or suppress a person’s sexuality or gender.</w:t>
      </w:r>
      <w:r w:rsidRPr="003A5383">
        <w:rPr>
          <w:rFonts w:cstheme="minorHAnsi"/>
          <w:sz w:val="22"/>
          <w:szCs w:val="22"/>
          <w:vertAlign w:val="superscript"/>
          <w:lang w:val="mi-NZ"/>
        </w:rPr>
        <w:footnoteReference w:id="156"/>
      </w:r>
      <w:r w:rsidRPr="003A5383">
        <w:rPr>
          <w:rFonts w:cstheme="minorHAnsi"/>
          <w:sz w:val="22"/>
          <w:szCs w:val="22"/>
          <w:lang w:val="mi-NZ"/>
        </w:rPr>
        <w:t xml:space="preserve"> </w:t>
      </w:r>
      <w:r w:rsidRPr="003A5383">
        <w:rPr>
          <w:rFonts w:cstheme="minorHAnsi"/>
          <w:sz w:val="22"/>
          <w:szCs w:val="22"/>
          <w:vertAlign w:val="superscript"/>
          <w:lang w:val="mi-NZ"/>
        </w:rPr>
        <w:footnoteReference w:id="157"/>
      </w:r>
      <w:r w:rsidRPr="003A5383">
        <w:rPr>
          <w:rFonts w:cstheme="minorHAnsi"/>
          <w:sz w:val="22"/>
          <w:szCs w:val="22"/>
          <w:lang w:val="en-NZ"/>
        </w:rPr>
        <w:t xml:space="preserve"> </w:t>
      </w:r>
    </w:p>
    <w:p w14:paraId="03A3522B" w14:textId="77777777" w:rsidR="003A5383" w:rsidRPr="003A5383" w:rsidRDefault="003A5383" w:rsidP="003A5383">
      <w:pPr>
        <w:pStyle w:val="ListParagraph"/>
        <w:rPr>
          <w:rFonts w:cstheme="minorHAnsi"/>
          <w:sz w:val="22"/>
          <w:szCs w:val="22"/>
          <w:lang w:val="mi-NZ"/>
        </w:rPr>
      </w:pPr>
    </w:p>
    <w:p w14:paraId="7EFE53C9" w14:textId="4B816DE4" w:rsidR="003A5383" w:rsidRPr="003A5383" w:rsidRDefault="003A5383" w:rsidP="003A5383">
      <w:pPr>
        <w:pStyle w:val="ListParagraph"/>
        <w:numPr>
          <w:ilvl w:val="0"/>
          <w:numId w:val="9"/>
        </w:numPr>
        <w:ind w:hanging="720"/>
        <w:rPr>
          <w:rFonts w:cstheme="minorHAnsi"/>
          <w:sz w:val="22"/>
          <w:szCs w:val="22"/>
          <w:lang w:val="mi-NZ"/>
        </w:rPr>
      </w:pPr>
      <w:r w:rsidRPr="003A5383">
        <w:rPr>
          <w:rFonts w:cstheme="minorHAnsi"/>
          <w:sz w:val="22"/>
          <w:szCs w:val="22"/>
          <w:lang w:val="en-NZ"/>
        </w:rPr>
        <w:t>Budget 2022 committed specific funding to create a rights-based approach for intersex health</w:t>
      </w:r>
      <w:r>
        <w:rPr>
          <w:rFonts w:cstheme="minorHAnsi"/>
          <w:sz w:val="22"/>
          <w:szCs w:val="22"/>
          <w:lang w:val="en-NZ"/>
        </w:rPr>
        <w:t xml:space="preserve"> </w:t>
      </w:r>
      <w:r w:rsidRPr="003A5383">
        <w:rPr>
          <w:rFonts w:cstheme="minorHAnsi"/>
          <w:sz w:val="22"/>
          <w:szCs w:val="22"/>
          <w:lang w:val="en-NZ"/>
        </w:rPr>
        <w:t>and to improve access to gender-affirming healthcare.</w:t>
      </w:r>
      <w:r w:rsidRPr="003A5383">
        <w:rPr>
          <w:rFonts w:cstheme="minorHAnsi"/>
          <w:sz w:val="22"/>
          <w:szCs w:val="22"/>
          <w:vertAlign w:val="superscript"/>
          <w:lang w:val="en-NZ"/>
        </w:rPr>
        <w:footnoteReference w:id="158"/>
      </w:r>
    </w:p>
    <w:p w14:paraId="4EED193D" w14:textId="77777777" w:rsidR="00ED152A" w:rsidRDefault="00ED152A" w:rsidP="003A5383">
      <w:pPr>
        <w:pStyle w:val="Heading3"/>
        <w:rPr>
          <w:rStyle w:val="SubtleEmphasis"/>
          <w:color w:val="25409A" w:themeColor="text2"/>
        </w:rPr>
      </w:pPr>
    </w:p>
    <w:p w14:paraId="37F94F2D" w14:textId="2B9A0636" w:rsidR="00970A6D" w:rsidRPr="003A5383" w:rsidRDefault="003A5383" w:rsidP="003A5383">
      <w:pPr>
        <w:pStyle w:val="Heading3"/>
        <w:rPr>
          <w:i/>
          <w:iCs/>
        </w:rPr>
      </w:pPr>
      <w:r w:rsidRPr="003A5383">
        <w:rPr>
          <w:rStyle w:val="SubtleEmphasis"/>
          <w:color w:val="25409A" w:themeColor="text2"/>
        </w:rPr>
        <w:t>Access to education for rainbow children</w:t>
      </w:r>
    </w:p>
    <w:p w14:paraId="48CEC787" w14:textId="77777777" w:rsidR="003A5383" w:rsidRPr="003A5383" w:rsidRDefault="003A5383" w:rsidP="003A5383">
      <w:pPr>
        <w:pStyle w:val="ListParagraph"/>
        <w:rPr>
          <w:rFonts w:cstheme="minorHAnsi"/>
          <w:sz w:val="22"/>
          <w:szCs w:val="22"/>
          <w:lang w:val="mi-NZ"/>
        </w:rPr>
      </w:pPr>
    </w:p>
    <w:p w14:paraId="4795F9B8" w14:textId="3FC96820" w:rsidR="003A5383" w:rsidRDefault="003A5383" w:rsidP="003A5383">
      <w:pPr>
        <w:pStyle w:val="ListParagraph"/>
        <w:numPr>
          <w:ilvl w:val="0"/>
          <w:numId w:val="9"/>
        </w:numPr>
        <w:ind w:hanging="720"/>
        <w:rPr>
          <w:rFonts w:cstheme="minorHAnsi"/>
          <w:sz w:val="22"/>
          <w:szCs w:val="22"/>
          <w:lang w:val="mi-NZ"/>
        </w:rPr>
      </w:pPr>
      <w:r w:rsidRPr="003A5383">
        <w:rPr>
          <w:rFonts w:cstheme="minorHAnsi"/>
          <w:sz w:val="22"/>
          <w:szCs w:val="22"/>
          <w:lang w:val="en-NZ"/>
        </w:rPr>
        <w:t>Schools are not consistently providing safe, affirming environments for rainbow students. Rainbow students experience significant rates of school bullying, discrimination and social exclusion.</w:t>
      </w:r>
      <w:r w:rsidRPr="003A5383">
        <w:rPr>
          <w:rFonts w:cstheme="minorHAnsi"/>
          <w:sz w:val="22"/>
          <w:szCs w:val="22"/>
          <w:vertAlign w:val="superscript"/>
          <w:lang w:val="en-NZ"/>
        </w:rPr>
        <w:footnoteReference w:id="159"/>
      </w:r>
      <w:r w:rsidRPr="003A5383">
        <w:rPr>
          <w:rFonts w:cstheme="minorHAnsi"/>
          <w:sz w:val="22"/>
          <w:szCs w:val="22"/>
          <w:lang w:val="en-NZ"/>
        </w:rPr>
        <w:t xml:space="preserve"> </w:t>
      </w:r>
      <w:r w:rsidRPr="003A5383">
        <w:rPr>
          <w:rFonts w:cstheme="minorHAnsi"/>
          <w:sz w:val="22"/>
          <w:szCs w:val="22"/>
          <w:lang w:val="mi-NZ"/>
        </w:rPr>
        <w:t>Several state-funded Christian schools have policies that discriminate against rainbow children.</w:t>
      </w:r>
      <w:r w:rsidRPr="003A5383">
        <w:rPr>
          <w:rFonts w:cstheme="minorHAnsi"/>
          <w:sz w:val="22"/>
          <w:szCs w:val="22"/>
          <w:vertAlign w:val="superscript"/>
          <w:lang w:val="mi-NZ"/>
        </w:rPr>
        <w:footnoteReference w:id="160"/>
      </w:r>
    </w:p>
    <w:p w14:paraId="2CAC648D" w14:textId="77777777" w:rsidR="003A5383" w:rsidRPr="003A5383" w:rsidRDefault="003A5383" w:rsidP="003A5383">
      <w:pPr>
        <w:pStyle w:val="ListParagraph"/>
        <w:rPr>
          <w:rFonts w:cstheme="minorHAnsi"/>
          <w:sz w:val="22"/>
          <w:szCs w:val="22"/>
          <w:lang w:val="mi-NZ"/>
        </w:rPr>
      </w:pPr>
    </w:p>
    <w:p w14:paraId="5F99D35F" w14:textId="77777777" w:rsidR="003A5383" w:rsidRPr="003A5383" w:rsidRDefault="003A5383" w:rsidP="003A5383">
      <w:pPr>
        <w:pStyle w:val="ListParagraph"/>
        <w:numPr>
          <w:ilvl w:val="0"/>
          <w:numId w:val="9"/>
        </w:numPr>
        <w:ind w:hanging="720"/>
        <w:rPr>
          <w:rFonts w:cstheme="minorHAnsi"/>
          <w:sz w:val="22"/>
          <w:szCs w:val="22"/>
        </w:rPr>
      </w:pPr>
      <w:r w:rsidRPr="003A5383">
        <w:rPr>
          <w:rFonts w:cstheme="minorHAnsi"/>
          <w:sz w:val="22"/>
          <w:szCs w:val="22"/>
        </w:rPr>
        <w:t xml:space="preserve">35% of 15-19-year-old trans and non-binary participants in the 2018 Counting </w:t>
      </w:r>
      <w:proofErr w:type="gramStart"/>
      <w:r w:rsidRPr="003A5383">
        <w:rPr>
          <w:rFonts w:cstheme="minorHAnsi"/>
          <w:sz w:val="22"/>
          <w:szCs w:val="22"/>
        </w:rPr>
        <w:t>Ourselves</w:t>
      </w:r>
      <w:proofErr w:type="gramEnd"/>
      <w:r w:rsidRPr="003A5383">
        <w:rPr>
          <w:rFonts w:cstheme="minorHAnsi"/>
          <w:sz w:val="22"/>
          <w:szCs w:val="22"/>
        </w:rPr>
        <w:t xml:space="preserve"> Survey had faced discrimination at school. This rate was much higher than the 13% of 15–19-year-olds in the general population who faced such discrimination, as measured by the 2016 General Social Survey.</w:t>
      </w:r>
      <w:r w:rsidRPr="003A5383">
        <w:rPr>
          <w:rFonts w:cstheme="minorHAnsi"/>
          <w:sz w:val="22"/>
          <w:szCs w:val="22"/>
          <w:vertAlign w:val="superscript"/>
        </w:rPr>
        <w:footnoteReference w:id="161"/>
      </w:r>
      <w:r w:rsidRPr="003A5383">
        <w:rPr>
          <w:rFonts w:cstheme="minorHAnsi"/>
          <w:sz w:val="22"/>
          <w:szCs w:val="22"/>
        </w:rPr>
        <w:t xml:space="preserve"> </w:t>
      </w:r>
      <w:r w:rsidRPr="003A5383">
        <w:rPr>
          <w:rFonts w:cstheme="minorHAnsi"/>
          <w:sz w:val="22"/>
          <w:szCs w:val="22"/>
          <w:vertAlign w:val="superscript"/>
        </w:rPr>
        <w:footnoteReference w:id="162"/>
      </w:r>
    </w:p>
    <w:p w14:paraId="2B4EC0F3" w14:textId="77777777" w:rsidR="003A5383" w:rsidRPr="003A5383" w:rsidRDefault="003A5383" w:rsidP="003A5383">
      <w:pPr>
        <w:pStyle w:val="ListParagraph"/>
        <w:rPr>
          <w:rFonts w:cstheme="minorHAnsi"/>
          <w:sz w:val="22"/>
          <w:szCs w:val="22"/>
        </w:rPr>
      </w:pPr>
    </w:p>
    <w:p w14:paraId="074CF12A" w14:textId="77777777" w:rsidR="003A5383" w:rsidRPr="003A5383" w:rsidRDefault="003A5383" w:rsidP="003A5383">
      <w:pPr>
        <w:pStyle w:val="ListParagraph"/>
        <w:numPr>
          <w:ilvl w:val="0"/>
          <w:numId w:val="9"/>
        </w:numPr>
        <w:ind w:hanging="720"/>
        <w:rPr>
          <w:rFonts w:cstheme="minorHAnsi"/>
          <w:sz w:val="22"/>
          <w:szCs w:val="22"/>
          <w:lang w:val="mi-NZ"/>
        </w:rPr>
      </w:pPr>
      <w:r w:rsidRPr="003A5383">
        <w:rPr>
          <w:rFonts w:cstheme="minorHAnsi"/>
          <w:sz w:val="22"/>
          <w:szCs w:val="22"/>
          <w:lang w:val="en-NZ"/>
        </w:rPr>
        <w:lastRenderedPageBreak/>
        <w:t>The survey also asked school students about specific safety concerns for trans and non-binary students. Over half (59%) disagreed that it is safe for trans and non-binary students in their school to use a toilet or changing room that matches their gender. Less than half had access to a unisex bathroom at their school.</w:t>
      </w:r>
      <w:r w:rsidRPr="003A5383">
        <w:rPr>
          <w:rFonts w:cstheme="minorHAnsi"/>
          <w:sz w:val="22"/>
          <w:szCs w:val="22"/>
          <w:vertAlign w:val="superscript"/>
          <w:lang w:val="en-NZ"/>
        </w:rPr>
        <w:footnoteReference w:id="163"/>
      </w:r>
    </w:p>
    <w:p w14:paraId="2DCC854B" w14:textId="77777777" w:rsidR="003A5383" w:rsidRPr="003A5383" w:rsidRDefault="003A5383" w:rsidP="003A5383">
      <w:pPr>
        <w:pStyle w:val="ListParagraph"/>
        <w:rPr>
          <w:rFonts w:cstheme="minorHAnsi"/>
          <w:sz w:val="22"/>
          <w:szCs w:val="22"/>
          <w:lang w:val="mi-NZ"/>
        </w:rPr>
      </w:pPr>
    </w:p>
    <w:p w14:paraId="63EBC19B" w14:textId="3621EC8E" w:rsidR="003A5383" w:rsidRPr="00A5379C" w:rsidRDefault="003A5383" w:rsidP="003A5383">
      <w:pPr>
        <w:pStyle w:val="ListParagraph"/>
        <w:numPr>
          <w:ilvl w:val="0"/>
          <w:numId w:val="9"/>
        </w:numPr>
        <w:ind w:hanging="720"/>
        <w:rPr>
          <w:rFonts w:cstheme="minorHAnsi"/>
          <w:sz w:val="22"/>
          <w:szCs w:val="22"/>
          <w:lang w:val="mi-NZ"/>
        </w:rPr>
      </w:pPr>
      <w:r w:rsidRPr="003A5383">
        <w:rPr>
          <w:rFonts w:cstheme="minorHAnsi"/>
          <w:sz w:val="22"/>
          <w:szCs w:val="22"/>
          <w:lang w:val="mi-NZ"/>
        </w:rPr>
        <w:t>We refer the Committee to the Intersex Aotearoa Thematic Report.</w:t>
      </w:r>
    </w:p>
    <w:p w14:paraId="6407637D" w14:textId="1EC73350" w:rsidR="003A5383" w:rsidRPr="003A5383" w:rsidRDefault="003A5383" w:rsidP="003A5383">
      <w:pPr>
        <w:pStyle w:val="IntenseQuote"/>
        <w:ind w:left="720"/>
        <w:jc w:val="left"/>
        <w:rPr>
          <w:b/>
          <w:bCs/>
          <w:i w:val="0"/>
          <w:iCs w:val="0"/>
          <w:sz w:val="24"/>
          <w:szCs w:val="24"/>
          <w:lang w:val="mi-NZ"/>
        </w:rPr>
      </w:pPr>
      <w:r w:rsidRPr="003A5383">
        <w:rPr>
          <w:b/>
          <w:bCs/>
          <w:i w:val="0"/>
          <w:iCs w:val="0"/>
          <w:sz w:val="24"/>
          <w:szCs w:val="24"/>
          <w:lang w:val="mi-NZ"/>
        </w:rPr>
        <w:t xml:space="preserve">Recommendations </w:t>
      </w:r>
    </w:p>
    <w:p w14:paraId="0A80A26E" w14:textId="77777777" w:rsidR="003A5383" w:rsidRPr="003A5383" w:rsidRDefault="003A5383" w:rsidP="00916EA3">
      <w:pPr>
        <w:pStyle w:val="IntenseQuote"/>
        <w:numPr>
          <w:ilvl w:val="0"/>
          <w:numId w:val="11"/>
        </w:numPr>
        <w:jc w:val="left"/>
        <w:rPr>
          <w:i w:val="0"/>
          <w:iCs w:val="0"/>
          <w:sz w:val="22"/>
          <w:szCs w:val="22"/>
          <w:lang w:val="mi-NZ"/>
        </w:rPr>
      </w:pPr>
      <w:r w:rsidRPr="003A5383">
        <w:rPr>
          <w:i w:val="0"/>
          <w:iCs w:val="0"/>
          <w:sz w:val="22"/>
          <w:szCs w:val="22"/>
          <w:lang w:val="mi-NZ"/>
        </w:rPr>
        <w:t>To ensure that all children experience all their rights without discrimination, prioritise:</w:t>
      </w:r>
    </w:p>
    <w:p w14:paraId="03E41EA5" w14:textId="77777777" w:rsidR="003A5383" w:rsidRPr="003A5383" w:rsidRDefault="003A5383" w:rsidP="007A7EB8">
      <w:pPr>
        <w:pStyle w:val="IntenseQuote"/>
        <w:numPr>
          <w:ilvl w:val="0"/>
          <w:numId w:val="56"/>
        </w:numPr>
        <w:jc w:val="left"/>
        <w:rPr>
          <w:i w:val="0"/>
          <w:iCs w:val="0"/>
          <w:sz w:val="22"/>
          <w:szCs w:val="22"/>
          <w:lang w:val="mi-NZ"/>
        </w:rPr>
      </w:pPr>
      <w:r w:rsidRPr="003A5383">
        <w:rPr>
          <w:i w:val="0"/>
          <w:iCs w:val="0"/>
          <w:sz w:val="22"/>
          <w:szCs w:val="22"/>
          <w:lang w:val="mi-NZ"/>
        </w:rPr>
        <w:t>Education and awareness-raising for children and the wider public that supports and promotes diversity, inclusion and anti-racism.</w:t>
      </w:r>
      <w:r w:rsidRPr="003A5383">
        <w:rPr>
          <w:rFonts w:cstheme="minorHAnsi"/>
          <w:i w:val="0"/>
          <w:iCs w:val="0"/>
          <w:color w:val="00AE6D" w:themeColor="accent6"/>
          <w:sz w:val="22"/>
          <w:szCs w:val="22"/>
          <w:vertAlign w:val="superscript"/>
          <w:lang w:val="mi-NZ"/>
        </w:rPr>
        <w:footnoteReference w:id="164"/>
      </w:r>
      <w:r w:rsidRPr="003A5383">
        <w:rPr>
          <w:rFonts w:cstheme="minorHAnsi"/>
          <w:i w:val="0"/>
          <w:iCs w:val="0"/>
          <w:color w:val="00AE6D" w:themeColor="accent6"/>
          <w:sz w:val="22"/>
          <w:szCs w:val="22"/>
          <w:vertAlign w:val="superscript"/>
          <w:lang w:val="mi-NZ"/>
        </w:rPr>
        <w:t xml:space="preserve"> </w:t>
      </w:r>
      <w:r w:rsidRPr="003A5383">
        <w:rPr>
          <w:rFonts w:cstheme="minorHAnsi"/>
          <w:i w:val="0"/>
          <w:iCs w:val="0"/>
          <w:color w:val="00AE6D" w:themeColor="accent6"/>
          <w:sz w:val="22"/>
          <w:szCs w:val="22"/>
          <w:vertAlign w:val="superscript"/>
          <w:lang w:val="mi-NZ"/>
        </w:rPr>
        <w:footnoteReference w:id="165"/>
      </w:r>
    </w:p>
    <w:p w14:paraId="61785AC2" w14:textId="77777777" w:rsidR="003A5383" w:rsidRPr="003A5383" w:rsidRDefault="003A5383" w:rsidP="007A7EB8">
      <w:pPr>
        <w:pStyle w:val="IntenseQuote"/>
        <w:numPr>
          <w:ilvl w:val="0"/>
          <w:numId w:val="56"/>
        </w:numPr>
        <w:jc w:val="left"/>
        <w:rPr>
          <w:i w:val="0"/>
          <w:iCs w:val="0"/>
          <w:sz w:val="22"/>
          <w:szCs w:val="22"/>
          <w:lang w:val="mi-NZ"/>
        </w:rPr>
      </w:pPr>
      <w:r w:rsidRPr="003A5383">
        <w:rPr>
          <w:i w:val="0"/>
          <w:iCs w:val="0"/>
          <w:sz w:val="22"/>
          <w:szCs w:val="22"/>
          <w:lang w:val="mi-NZ"/>
        </w:rPr>
        <w:t>Implementation of policies and practices that prevent discrimination and racism and support the development of an inclusive society and elimination of disparities.</w:t>
      </w:r>
    </w:p>
    <w:p w14:paraId="613EB4DE" w14:textId="77777777" w:rsidR="003A5383" w:rsidRPr="003A5383" w:rsidRDefault="003A5383" w:rsidP="007A7EB8">
      <w:pPr>
        <w:pStyle w:val="IntenseQuote"/>
        <w:numPr>
          <w:ilvl w:val="0"/>
          <w:numId w:val="56"/>
        </w:numPr>
        <w:jc w:val="left"/>
        <w:rPr>
          <w:i w:val="0"/>
          <w:iCs w:val="0"/>
          <w:sz w:val="22"/>
          <w:szCs w:val="22"/>
          <w:lang w:val="mi-NZ"/>
        </w:rPr>
      </w:pPr>
      <w:r w:rsidRPr="003A5383">
        <w:rPr>
          <w:i w:val="0"/>
          <w:iCs w:val="0"/>
          <w:sz w:val="22"/>
          <w:szCs w:val="22"/>
          <w:lang w:val="mi-NZ"/>
        </w:rPr>
        <w:t>Establishment and resourcing of effective, accessible mechanisms for complaints and concerns about discrimination, racism and hatred to be heard and acted on.</w:t>
      </w:r>
    </w:p>
    <w:p w14:paraId="1490744C" w14:textId="37FA5461" w:rsidR="00A5379C" w:rsidRPr="00BC4E04" w:rsidRDefault="003A5383" w:rsidP="007A7EB8">
      <w:pPr>
        <w:pStyle w:val="IntenseQuote"/>
        <w:numPr>
          <w:ilvl w:val="0"/>
          <w:numId w:val="56"/>
        </w:numPr>
        <w:jc w:val="left"/>
        <w:rPr>
          <w:i w:val="0"/>
          <w:iCs w:val="0"/>
          <w:sz w:val="22"/>
          <w:szCs w:val="22"/>
          <w:lang w:val="mi-NZ"/>
        </w:rPr>
      </w:pPr>
      <w:r w:rsidRPr="003A5383">
        <w:rPr>
          <w:i w:val="0"/>
          <w:iCs w:val="0"/>
          <w:sz w:val="22"/>
          <w:szCs w:val="22"/>
          <w:lang w:val="mi-NZ"/>
        </w:rPr>
        <w:t>Resourcing specific initiatives to address rainbow-targeted discrimination in schools and communities.</w:t>
      </w:r>
    </w:p>
    <w:p w14:paraId="61F2C997" w14:textId="77777777" w:rsidR="00ED152A" w:rsidRDefault="00ED152A">
      <w:pPr>
        <w:rPr>
          <w:rFonts w:asciiTheme="majorHAnsi" w:eastAsiaTheme="majorEastAsia" w:hAnsiTheme="majorHAnsi" w:cstheme="majorBidi"/>
          <w:b/>
          <w:bCs/>
          <w:color w:val="25409A" w:themeColor="text2"/>
          <w:sz w:val="28"/>
          <w:szCs w:val="28"/>
          <w:lang w:val="mi-NZ"/>
        </w:rPr>
      </w:pPr>
      <w:r>
        <w:rPr>
          <w:lang w:val="mi-NZ"/>
        </w:rPr>
        <w:br w:type="page"/>
      </w:r>
    </w:p>
    <w:p w14:paraId="745F89A9" w14:textId="77A722E6" w:rsidR="003A5383" w:rsidRPr="00F240E3" w:rsidRDefault="003A5383" w:rsidP="00F240E3">
      <w:pPr>
        <w:pStyle w:val="Heading1"/>
        <w:rPr>
          <w:lang w:val="mi-NZ"/>
        </w:rPr>
      </w:pPr>
      <w:bookmarkStart w:id="23" w:name="_Toc111485450"/>
      <w:r w:rsidRPr="00E7687D">
        <w:rPr>
          <w:lang w:val="mi-NZ"/>
        </w:rPr>
        <w:lastRenderedPageBreak/>
        <w:t>Best Interests – LOIPR 10</w:t>
      </w:r>
      <w:bookmarkEnd w:id="23"/>
    </w:p>
    <w:p w14:paraId="51DA5D24" w14:textId="30347CE3" w:rsidR="00970A6D" w:rsidRPr="003A5383" w:rsidRDefault="00970A6D" w:rsidP="003A5383">
      <w:pPr>
        <w:rPr>
          <w:rFonts w:cstheme="minorHAnsi"/>
          <w:sz w:val="22"/>
          <w:szCs w:val="22"/>
          <w:lang w:val="mi-NZ"/>
        </w:rPr>
      </w:pPr>
    </w:p>
    <w:p w14:paraId="7F3AB79A" w14:textId="3AE3BD8E" w:rsidR="003A5383" w:rsidRPr="003A5383" w:rsidRDefault="003A5383" w:rsidP="003A5383">
      <w:pPr>
        <w:pStyle w:val="ListParagraph"/>
        <w:numPr>
          <w:ilvl w:val="0"/>
          <w:numId w:val="9"/>
        </w:numPr>
        <w:ind w:hanging="720"/>
        <w:rPr>
          <w:rFonts w:cstheme="minorHAnsi"/>
          <w:sz w:val="22"/>
          <w:szCs w:val="22"/>
          <w:lang w:val="mi-NZ"/>
        </w:rPr>
      </w:pPr>
      <w:r w:rsidRPr="003A5383">
        <w:rPr>
          <w:rFonts w:cstheme="minorHAnsi"/>
          <w:sz w:val="22"/>
          <w:szCs w:val="22"/>
          <w:lang w:val="mi-NZ"/>
        </w:rPr>
        <w:t>The best interests principle is discussed in the public domain.</w:t>
      </w:r>
      <w:r w:rsidRPr="003A5383">
        <w:rPr>
          <w:rFonts w:cstheme="minorHAnsi"/>
          <w:sz w:val="22"/>
          <w:szCs w:val="22"/>
          <w:vertAlign w:val="superscript"/>
          <w:lang w:val="mi-NZ"/>
        </w:rPr>
        <w:footnoteReference w:id="166"/>
      </w:r>
      <w:r w:rsidRPr="003A5383">
        <w:rPr>
          <w:rFonts w:cstheme="minorHAnsi"/>
          <w:sz w:val="22"/>
          <w:szCs w:val="22"/>
          <w:lang w:val="mi-NZ"/>
        </w:rPr>
        <w:t xml:space="preserve"> However, little progress has been made on the Committee’s 2016 recommendation and there remains a need for consistent application and transparent processes for ensuring decisions regarding a child’s best interests are based on good information, it is clear who decides what is in a child’s best interests, and what factors need to be taken into account.</w:t>
      </w:r>
      <w:r w:rsidRPr="003A5383">
        <w:rPr>
          <w:rFonts w:cstheme="minorHAnsi"/>
          <w:sz w:val="22"/>
          <w:szCs w:val="22"/>
          <w:vertAlign w:val="superscript"/>
          <w:lang w:val="en-NZ"/>
        </w:rPr>
        <w:footnoteReference w:id="167"/>
      </w:r>
    </w:p>
    <w:p w14:paraId="0AA28EDA" w14:textId="77777777" w:rsidR="003A5383" w:rsidRPr="003A5383" w:rsidRDefault="003A5383" w:rsidP="00CA6A35">
      <w:pPr>
        <w:pStyle w:val="ListParagraph"/>
        <w:rPr>
          <w:rFonts w:cstheme="minorHAnsi"/>
          <w:sz w:val="22"/>
          <w:szCs w:val="22"/>
          <w:lang w:val="mi-NZ"/>
        </w:rPr>
      </w:pPr>
    </w:p>
    <w:p w14:paraId="35624B31" w14:textId="2BBD04FD" w:rsidR="00CA6A35" w:rsidRPr="00A5379C" w:rsidRDefault="003A5383" w:rsidP="00CA6A35">
      <w:pPr>
        <w:pStyle w:val="ListParagraph"/>
        <w:numPr>
          <w:ilvl w:val="0"/>
          <w:numId w:val="9"/>
        </w:numPr>
        <w:ind w:hanging="720"/>
        <w:rPr>
          <w:rFonts w:cstheme="minorHAnsi"/>
          <w:sz w:val="22"/>
          <w:szCs w:val="22"/>
          <w:lang w:val="mi-NZ"/>
        </w:rPr>
      </w:pPr>
      <w:r w:rsidRPr="003A5383">
        <w:rPr>
          <w:rFonts w:cstheme="minorHAnsi"/>
          <w:sz w:val="22"/>
          <w:szCs w:val="22"/>
          <w:lang w:val="mi-NZ"/>
        </w:rPr>
        <w:t xml:space="preserve">We note recent missed opportunities to include the best interests principle in legislation, including in the Education and Training Act 2020 and Privacy Act 2020. </w:t>
      </w:r>
    </w:p>
    <w:p w14:paraId="451B931D" w14:textId="7759E53C" w:rsidR="00CA6A35" w:rsidRPr="00CA6A35" w:rsidRDefault="00CA6A35" w:rsidP="00CA6A35">
      <w:pPr>
        <w:pStyle w:val="IntenseQuote"/>
        <w:ind w:left="720"/>
        <w:jc w:val="left"/>
        <w:rPr>
          <w:b/>
          <w:bCs/>
          <w:i w:val="0"/>
          <w:iCs w:val="0"/>
          <w:sz w:val="24"/>
          <w:szCs w:val="24"/>
          <w:lang w:val="mi-NZ"/>
        </w:rPr>
      </w:pPr>
      <w:r w:rsidRPr="00CA6A35">
        <w:rPr>
          <w:b/>
          <w:bCs/>
          <w:i w:val="0"/>
          <w:iCs w:val="0"/>
          <w:sz w:val="24"/>
          <w:szCs w:val="24"/>
          <w:lang w:val="mi-NZ"/>
        </w:rPr>
        <w:t>Recommendation</w:t>
      </w:r>
    </w:p>
    <w:p w14:paraId="4DE79BEC" w14:textId="77777777" w:rsidR="00CA6A35" w:rsidRPr="00CA6A35" w:rsidRDefault="00CA6A35" w:rsidP="00916EA3">
      <w:pPr>
        <w:pStyle w:val="IntenseQuote"/>
        <w:numPr>
          <w:ilvl w:val="0"/>
          <w:numId w:val="11"/>
        </w:numPr>
        <w:jc w:val="left"/>
        <w:rPr>
          <w:i w:val="0"/>
          <w:iCs w:val="0"/>
          <w:sz w:val="22"/>
          <w:szCs w:val="22"/>
          <w:lang w:val="mi-NZ"/>
        </w:rPr>
      </w:pPr>
      <w:r w:rsidRPr="00CA6A35">
        <w:rPr>
          <w:i w:val="0"/>
          <w:iCs w:val="0"/>
          <w:sz w:val="22"/>
          <w:szCs w:val="22"/>
          <w:lang w:val="mi-NZ"/>
        </w:rPr>
        <w:t>Establish processes and criteria to ensure the bests interests principle is properly applied and given due weight, consistent with the Committee’s 2016 recommendation.</w:t>
      </w:r>
    </w:p>
    <w:p w14:paraId="34ADB7B4" w14:textId="77777777" w:rsidR="00CA6A35" w:rsidRPr="00D22299" w:rsidRDefault="00CA6A35" w:rsidP="00CA6A35">
      <w:pPr>
        <w:pStyle w:val="Heading1"/>
        <w:rPr>
          <w:lang w:val="mi-NZ"/>
        </w:rPr>
      </w:pPr>
      <w:bookmarkStart w:id="24" w:name="_Toc111485451"/>
      <w:r w:rsidRPr="00E7687D">
        <w:rPr>
          <w:lang w:val="mi-NZ"/>
        </w:rPr>
        <w:t>Life, Survival and Development – LOIPR 11</w:t>
      </w:r>
      <w:bookmarkEnd w:id="24"/>
      <w:r w:rsidRPr="00E7687D">
        <w:rPr>
          <w:lang w:val="mi-NZ"/>
        </w:rPr>
        <w:t xml:space="preserve"> </w:t>
      </w:r>
    </w:p>
    <w:p w14:paraId="3C23683A" w14:textId="77777777" w:rsidR="00CA6A35" w:rsidRPr="00CA6A35" w:rsidRDefault="00CA6A35" w:rsidP="00CA6A35">
      <w:pPr>
        <w:rPr>
          <w:rFonts w:cstheme="minorHAnsi"/>
          <w:sz w:val="22"/>
          <w:szCs w:val="22"/>
          <w:lang w:val="mi-NZ"/>
        </w:rPr>
      </w:pPr>
    </w:p>
    <w:p w14:paraId="6722716C" w14:textId="6F9BC26B" w:rsidR="00CA6A35" w:rsidRPr="0074241E" w:rsidRDefault="00CA6A35" w:rsidP="007370F0">
      <w:pPr>
        <w:pStyle w:val="ListParagraph"/>
        <w:numPr>
          <w:ilvl w:val="0"/>
          <w:numId w:val="9"/>
        </w:numPr>
        <w:ind w:hanging="720"/>
        <w:rPr>
          <w:rFonts w:cstheme="minorHAnsi"/>
          <w:sz w:val="22"/>
          <w:szCs w:val="22"/>
          <w:lang w:val="en-NZ"/>
        </w:rPr>
      </w:pPr>
      <w:r w:rsidRPr="0074241E">
        <w:rPr>
          <w:rFonts w:cstheme="minorHAnsi"/>
          <w:sz w:val="22"/>
          <w:szCs w:val="22"/>
          <w:lang w:val="mi-NZ"/>
        </w:rPr>
        <w:t xml:space="preserve">During the period 2015-2019, 2,666 </w:t>
      </w:r>
      <w:r w:rsidRPr="0074241E">
        <w:rPr>
          <w:rFonts w:cstheme="minorHAnsi"/>
          <w:sz w:val="22"/>
          <w:szCs w:val="22"/>
          <w:lang w:val="en-AU"/>
        </w:rPr>
        <w:t>children aged 28 days to 24 years died in Aotearoa, most commonly due to suicide, transport incidents, cancers and sudden unexpected death in infancy (SUDI).</w:t>
      </w:r>
      <w:r w:rsidR="0074241E" w:rsidRPr="0074241E">
        <w:rPr>
          <w:rFonts w:cstheme="minorHAnsi"/>
          <w:sz w:val="22"/>
          <w:szCs w:val="22"/>
          <w:lang w:val="en-AU"/>
        </w:rPr>
        <w:t xml:space="preserve"> </w:t>
      </w:r>
      <w:r w:rsidR="0074241E" w:rsidRPr="0074241E">
        <w:rPr>
          <w:rFonts w:cstheme="minorHAnsi"/>
          <w:color w:val="333333"/>
          <w:sz w:val="22"/>
          <w:szCs w:val="22"/>
        </w:rPr>
        <w:t xml:space="preserve">1,012 of those deaths were in </w:t>
      </w:r>
      <w:proofErr w:type="spellStart"/>
      <w:r w:rsidR="0074241E" w:rsidRPr="0074241E">
        <w:rPr>
          <w:rFonts w:cstheme="minorHAnsi"/>
          <w:color w:val="333333"/>
          <w:sz w:val="22"/>
          <w:szCs w:val="22"/>
        </w:rPr>
        <w:t>tamariki</w:t>
      </w:r>
      <w:proofErr w:type="spellEnd"/>
      <w:r w:rsidR="0074241E" w:rsidRPr="0074241E">
        <w:rPr>
          <w:rFonts w:cstheme="minorHAnsi"/>
          <w:color w:val="333333"/>
          <w:sz w:val="22"/>
          <w:szCs w:val="22"/>
        </w:rPr>
        <w:t xml:space="preserve"> and </w:t>
      </w:r>
      <w:proofErr w:type="spellStart"/>
      <w:r w:rsidR="0074241E" w:rsidRPr="0074241E">
        <w:rPr>
          <w:rFonts w:cstheme="minorHAnsi"/>
          <w:color w:val="333333"/>
          <w:sz w:val="22"/>
          <w:szCs w:val="22"/>
        </w:rPr>
        <w:t>rangatahi</w:t>
      </w:r>
      <w:proofErr w:type="spellEnd"/>
      <w:r w:rsidR="0074241E" w:rsidRPr="0074241E">
        <w:rPr>
          <w:rFonts w:cstheme="minorHAnsi"/>
          <w:color w:val="333333"/>
          <w:sz w:val="22"/>
          <w:szCs w:val="22"/>
        </w:rPr>
        <w:t xml:space="preserve"> Māori, </w:t>
      </w:r>
      <w:r w:rsidR="0074241E" w:rsidRPr="0074241E">
        <w:rPr>
          <w:rFonts w:cstheme="minorHAnsi"/>
          <w:color w:val="333333"/>
          <w:sz w:val="22"/>
          <w:szCs w:val="22"/>
          <w:shd w:val="clear" w:color="auto" w:fill="FFFFFF"/>
        </w:rPr>
        <w:t>390 were in Pacific children and young people.</w:t>
      </w:r>
      <w:r w:rsidR="0074241E" w:rsidRPr="0074241E">
        <w:rPr>
          <w:rFonts w:cstheme="minorHAnsi"/>
          <w:sz w:val="22"/>
          <w:szCs w:val="22"/>
        </w:rPr>
        <w:t xml:space="preserve"> </w:t>
      </w:r>
      <w:r w:rsidRPr="00CA6A35">
        <w:rPr>
          <w:rFonts w:cstheme="minorHAnsi"/>
          <w:sz w:val="22"/>
          <w:szCs w:val="22"/>
          <w:vertAlign w:val="superscript"/>
          <w:lang w:val="en-AU"/>
        </w:rPr>
        <w:footnoteReference w:id="168"/>
      </w:r>
      <w:r w:rsidRPr="0074241E">
        <w:rPr>
          <w:rFonts w:cstheme="minorHAnsi"/>
          <w:sz w:val="22"/>
          <w:szCs w:val="22"/>
          <w:lang w:val="en-AU"/>
        </w:rPr>
        <w:t xml:space="preserve"> </w:t>
      </w:r>
    </w:p>
    <w:p w14:paraId="2F662283" w14:textId="77777777" w:rsidR="00CA6A35" w:rsidRPr="00CA6A35" w:rsidRDefault="00CA6A35" w:rsidP="00CA6A35">
      <w:pPr>
        <w:pStyle w:val="ListParagraph"/>
        <w:numPr>
          <w:ilvl w:val="0"/>
          <w:numId w:val="9"/>
        </w:numPr>
        <w:ind w:hanging="720"/>
        <w:rPr>
          <w:rFonts w:cstheme="minorHAnsi"/>
          <w:sz w:val="22"/>
          <w:szCs w:val="22"/>
          <w:lang w:val="mi-NZ"/>
        </w:rPr>
      </w:pPr>
      <w:r w:rsidRPr="00CA6A35">
        <w:rPr>
          <w:rFonts w:cstheme="minorHAnsi"/>
          <w:sz w:val="22"/>
          <w:szCs w:val="22"/>
          <w:lang w:val="en-NZ"/>
        </w:rPr>
        <w:lastRenderedPageBreak/>
        <w:t xml:space="preserve">There were large inequities in mortality, with a disproportionate impact of deprivation in Māori mortality, and higher mortality rates overall for </w:t>
      </w:r>
      <w:proofErr w:type="spellStart"/>
      <w:r w:rsidRPr="00CA6A35">
        <w:rPr>
          <w:rFonts w:cstheme="minorHAnsi"/>
          <w:sz w:val="22"/>
          <w:szCs w:val="22"/>
          <w:lang w:val="en-NZ"/>
        </w:rPr>
        <w:t>tamariki</w:t>
      </w:r>
      <w:proofErr w:type="spellEnd"/>
      <w:r w:rsidRPr="00CA6A35">
        <w:rPr>
          <w:rFonts w:cstheme="minorHAnsi"/>
          <w:sz w:val="22"/>
          <w:szCs w:val="22"/>
          <w:lang w:val="en-NZ"/>
        </w:rPr>
        <w:t xml:space="preserve"> and </w:t>
      </w:r>
      <w:proofErr w:type="spellStart"/>
      <w:r w:rsidRPr="00CA6A35">
        <w:rPr>
          <w:rFonts w:cstheme="minorHAnsi"/>
          <w:sz w:val="22"/>
          <w:szCs w:val="22"/>
          <w:lang w:val="en-NZ"/>
        </w:rPr>
        <w:t>rangatahi</w:t>
      </w:r>
      <w:proofErr w:type="spellEnd"/>
      <w:r w:rsidRPr="00CA6A35">
        <w:rPr>
          <w:rFonts w:cstheme="minorHAnsi"/>
          <w:sz w:val="22"/>
          <w:szCs w:val="22"/>
          <w:lang w:val="en-NZ"/>
        </w:rPr>
        <w:t xml:space="preserve"> Māori compared with non-Māori non-Pacific children.</w:t>
      </w:r>
      <w:r w:rsidRPr="00CA6A35">
        <w:rPr>
          <w:rFonts w:cstheme="minorHAnsi"/>
          <w:sz w:val="22"/>
          <w:szCs w:val="22"/>
          <w:vertAlign w:val="superscript"/>
          <w:lang w:val="en-NZ"/>
        </w:rPr>
        <w:footnoteReference w:id="169"/>
      </w:r>
    </w:p>
    <w:p w14:paraId="7C46D31A" w14:textId="77777777" w:rsidR="00CA6A35" w:rsidRPr="00CA6A35" w:rsidRDefault="00CA6A35" w:rsidP="00CA6A35">
      <w:pPr>
        <w:pStyle w:val="ListParagraph"/>
        <w:rPr>
          <w:rFonts w:cstheme="minorHAnsi"/>
          <w:sz w:val="22"/>
          <w:szCs w:val="22"/>
          <w:lang w:val="en-NZ"/>
        </w:rPr>
      </w:pPr>
    </w:p>
    <w:p w14:paraId="441D92A4" w14:textId="77777777" w:rsidR="00CA6A35" w:rsidRPr="00CA6A35" w:rsidRDefault="00CA6A35" w:rsidP="00CA6A35">
      <w:pPr>
        <w:pStyle w:val="ListParagraph"/>
        <w:numPr>
          <w:ilvl w:val="0"/>
          <w:numId w:val="9"/>
        </w:numPr>
        <w:ind w:hanging="720"/>
        <w:rPr>
          <w:rFonts w:cstheme="minorHAnsi"/>
          <w:sz w:val="22"/>
          <w:szCs w:val="22"/>
          <w:lang w:val="mi-NZ"/>
        </w:rPr>
      </w:pPr>
      <w:proofErr w:type="spellStart"/>
      <w:r w:rsidRPr="00CA6A35">
        <w:rPr>
          <w:rFonts w:cstheme="minorHAnsi"/>
          <w:sz w:val="22"/>
          <w:szCs w:val="22"/>
          <w:lang w:val="en-NZ"/>
        </w:rPr>
        <w:t>Pēpē</w:t>
      </w:r>
      <w:proofErr w:type="spellEnd"/>
      <w:r w:rsidRPr="00CA6A35">
        <w:rPr>
          <w:rFonts w:cstheme="minorHAnsi"/>
          <w:sz w:val="22"/>
          <w:szCs w:val="22"/>
          <w:lang w:val="en-NZ"/>
        </w:rPr>
        <w:t xml:space="preserve"> Māori were three times more likely to die than non-Māori non-Pacific infants. The most common cause of death was SUDI, with 114 deaths.</w:t>
      </w:r>
      <w:r w:rsidRPr="00CA6A35">
        <w:rPr>
          <w:rFonts w:cstheme="minorHAnsi"/>
          <w:sz w:val="22"/>
          <w:szCs w:val="22"/>
          <w:vertAlign w:val="superscript"/>
          <w:lang w:val="en-NZ"/>
        </w:rPr>
        <w:footnoteReference w:id="170"/>
      </w:r>
    </w:p>
    <w:p w14:paraId="3D8F83B5" w14:textId="77777777" w:rsidR="00CA6A35" w:rsidRPr="00CA6A35" w:rsidRDefault="00CA6A35" w:rsidP="00CA6A35">
      <w:pPr>
        <w:pStyle w:val="ListParagraph"/>
        <w:rPr>
          <w:rFonts w:cstheme="minorHAnsi"/>
          <w:sz w:val="22"/>
          <w:szCs w:val="22"/>
          <w:lang w:val="en-NZ"/>
        </w:rPr>
      </w:pPr>
    </w:p>
    <w:p w14:paraId="26D1D4D3" w14:textId="77777777" w:rsidR="00CA6A35" w:rsidRPr="00CA6A35" w:rsidRDefault="00CA6A35" w:rsidP="00CA6A35">
      <w:pPr>
        <w:pStyle w:val="ListParagraph"/>
        <w:numPr>
          <w:ilvl w:val="0"/>
          <w:numId w:val="9"/>
        </w:numPr>
        <w:ind w:hanging="720"/>
        <w:rPr>
          <w:rFonts w:cstheme="minorHAnsi"/>
          <w:sz w:val="22"/>
          <w:szCs w:val="22"/>
          <w:lang w:val="mi-NZ"/>
        </w:rPr>
      </w:pPr>
      <w:r w:rsidRPr="00CA6A35">
        <w:rPr>
          <w:rFonts w:cstheme="minorHAnsi"/>
          <w:sz w:val="22"/>
          <w:szCs w:val="22"/>
          <w:lang w:val="en-NZ"/>
        </w:rPr>
        <w:t xml:space="preserve">For </w:t>
      </w:r>
      <w:proofErr w:type="spellStart"/>
      <w:r w:rsidRPr="00CA6A35">
        <w:rPr>
          <w:rFonts w:cstheme="minorHAnsi"/>
          <w:sz w:val="22"/>
          <w:szCs w:val="22"/>
          <w:lang w:val="en-NZ"/>
        </w:rPr>
        <w:t>rangatahi</w:t>
      </w:r>
      <w:proofErr w:type="spellEnd"/>
      <w:r w:rsidRPr="00CA6A35">
        <w:rPr>
          <w:rFonts w:cstheme="minorHAnsi"/>
          <w:sz w:val="22"/>
          <w:szCs w:val="22"/>
          <w:lang w:val="en-NZ"/>
        </w:rPr>
        <w:t xml:space="preserve"> Māori aged 15–19 years, the leading cause of death was suicide at 46 percent in this age group.</w:t>
      </w:r>
      <w:r w:rsidRPr="00CA6A35">
        <w:rPr>
          <w:rFonts w:cstheme="minorHAnsi"/>
          <w:sz w:val="22"/>
          <w:szCs w:val="22"/>
          <w:vertAlign w:val="superscript"/>
          <w:lang w:val="en-NZ"/>
        </w:rPr>
        <w:footnoteReference w:id="171"/>
      </w:r>
      <w:r w:rsidRPr="00CA6A35">
        <w:rPr>
          <w:rFonts w:cstheme="minorHAnsi"/>
          <w:sz w:val="22"/>
          <w:szCs w:val="22"/>
          <w:lang w:val="en-NZ"/>
        </w:rPr>
        <w:t xml:space="preserve"> </w:t>
      </w:r>
    </w:p>
    <w:p w14:paraId="5ADE79DE" w14:textId="77777777" w:rsidR="00CA6A35" w:rsidRPr="00CA6A35" w:rsidRDefault="00CA6A35" w:rsidP="00CA6A35">
      <w:pPr>
        <w:pStyle w:val="ListParagraph"/>
        <w:rPr>
          <w:rFonts w:cstheme="minorHAnsi"/>
          <w:sz w:val="22"/>
          <w:szCs w:val="22"/>
          <w:lang w:val="en-AU"/>
        </w:rPr>
      </w:pPr>
    </w:p>
    <w:p w14:paraId="6B9424F4" w14:textId="37EDB985" w:rsidR="00CA6A35" w:rsidRPr="00CA6A35" w:rsidRDefault="00CA6A35" w:rsidP="00CA6A35">
      <w:pPr>
        <w:pStyle w:val="ListParagraph"/>
        <w:numPr>
          <w:ilvl w:val="0"/>
          <w:numId w:val="9"/>
        </w:numPr>
        <w:ind w:hanging="720"/>
        <w:rPr>
          <w:rFonts w:cstheme="minorHAnsi"/>
          <w:sz w:val="22"/>
          <w:szCs w:val="22"/>
          <w:lang w:val="mi-NZ"/>
        </w:rPr>
      </w:pPr>
      <w:r w:rsidRPr="00CA6A35">
        <w:rPr>
          <w:rFonts w:cstheme="minorHAnsi"/>
          <w:sz w:val="22"/>
          <w:szCs w:val="22"/>
          <w:lang w:val="en-AU"/>
        </w:rPr>
        <w:t xml:space="preserve">We strongly support </w:t>
      </w:r>
      <w:r w:rsidRPr="00CA6A35">
        <w:rPr>
          <w:rFonts w:cstheme="minorHAnsi"/>
          <w:sz w:val="22"/>
          <w:szCs w:val="22"/>
          <w:lang w:val="en-NZ"/>
        </w:rPr>
        <w:t>calls for an end to tolerance for the suffering represented by these figures.</w:t>
      </w:r>
      <w:r w:rsidRPr="00CA6A35">
        <w:rPr>
          <w:vertAlign w:val="superscript"/>
          <w:lang w:val="en-NZ"/>
        </w:rPr>
        <w:footnoteReference w:id="172"/>
      </w:r>
    </w:p>
    <w:p w14:paraId="2076A16F" w14:textId="77777777" w:rsidR="00CA6A35" w:rsidRDefault="00CA6A35" w:rsidP="00CA6A35">
      <w:pPr>
        <w:pStyle w:val="ListParagraph"/>
        <w:rPr>
          <w:rFonts w:cstheme="minorHAnsi"/>
          <w:sz w:val="22"/>
          <w:szCs w:val="22"/>
          <w:lang w:val="mi-NZ"/>
        </w:rPr>
      </w:pPr>
    </w:p>
    <w:p w14:paraId="0A9F9F48" w14:textId="77777777" w:rsidR="00CA6A35" w:rsidRDefault="00CA6A35" w:rsidP="00CA6A35">
      <w:pPr>
        <w:pStyle w:val="ListParagraph"/>
        <w:numPr>
          <w:ilvl w:val="0"/>
          <w:numId w:val="9"/>
        </w:numPr>
        <w:ind w:hanging="720"/>
        <w:rPr>
          <w:rFonts w:cstheme="minorHAnsi"/>
          <w:sz w:val="22"/>
          <w:szCs w:val="22"/>
          <w:lang w:val="mi-NZ"/>
        </w:rPr>
      </w:pPr>
      <w:r w:rsidRPr="00CA6A35">
        <w:rPr>
          <w:rFonts w:cstheme="minorHAnsi"/>
          <w:sz w:val="22"/>
          <w:szCs w:val="22"/>
          <w:lang w:val="mi-NZ"/>
        </w:rPr>
        <w:t>Those working in child and youth mental health and wellbeing, report increased suicidality presentation, including presentation by younger age groups and with increasingly sophisticated planning.</w:t>
      </w:r>
      <w:r w:rsidRPr="00CA6A35">
        <w:rPr>
          <w:rFonts w:cstheme="minorHAnsi"/>
          <w:sz w:val="22"/>
          <w:szCs w:val="22"/>
          <w:vertAlign w:val="superscript"/>
          <w:lang w:val="mi-NZ"/>
        </w:rPr>
        <w:footnoteReference w:id="173"/>
      </w:r>
      <w:r w:rsidRPr="00CA6A35">
        <w:rPr>
          <w:rFonts w:cstheme="minorHAnsi"/>
          <w:sz w:val="22"/>
          <w:szCs w:val="22"/>
          <w:lang w:val="mi-NZ"/>
        </w:rPr>
        <w:t xml:space="preserve"> </w:t>
      </w:r>
    </w:p>
    <w:p w14:paraId="28AE4355" w14:textId="77777777" w:rsidR="00CA6A35" w:rsidRPr="00CA6A35" w:rsidRDefault="00CA6A35" w:rsidP="00CA6A35">
      <w:pPr>
        <w:pStyle w:val="ListParagraph"/>
        <w:rPr>
          <w:rFonts w:cstheme="minorHAnsi"/>
          <w:sz w:val="22"/>
          <w:szCs w:val="22"/>
          <w:lang w:val="mi-NZ"/>
        </w:rPr>
      </w:pPr>
    </w:p>
    <w:p w14:paraId="320B0529" w14:textId="4BC0A102" w:rsidR="00CA6A35" w:rsidRPr="00CA6A35" w:rsidRDefault="00CA6A35" w:rsidP="00CA6A35">
      <w:pPr>
        <w:pStyle w:val="ListParagraph"/>
        <w:numPr>
          <w:ilvl w:val="0"/>
          <w:numId w:val="9"/>
        </w:numPr>
        <w:ind w:hanging="720"/>
        <w:rPr>
          <w:rFonts w:cstheme="minorHAnsi"/>
          <w:sz w:val="22"/>
          <w:szCs w:val="22"/>
          <w:lang w:val="mi-NZ"/>
        </w:rPr>
      </w:pPr>
      <w:r w:rsidRPr="00CA6A35">
        <w:rPr>
          <w:rFonts w:cstheme="minorHAnsi"/>
          <w:sz w:val="22"/>
          <w:szCs w:val="22"/>
          <w:lang w:val="mi-NZ"/>
        </w:rPr>
        <w:t>Young people who are exposed to violence at home are twice as likely to attempt suicide as those who are not so exposed.</w:t>
      </w:r>
      <w:r w:rsidRPr="00CA6A35">
        <w:rPr>
          <w:vertAlign w:val="superscript"/>
          <w:lang w:val="mi-NZ"/>
        </w:rPr>
        <w:footnoteReference w:id="174"/>
      </w:r>
      <w:r w:rsidRPr="00CA6A35">
        <w:rPr>
          <w:rFonts w:cstheme="minorHAnsi"/>
          <w:sz w:val="22"/>
          <w:szCs w:val="22"/>
          <w:lang w:val="mi-NZ"/>
        </w:rPr>
        <w:t xml:space="preserve"> </w:t>
      </w:r>
      <w:r w:rsidRPr="00CA6A35">
        <w:rPr>
          <w:rFonts w:cstheme="minorHAnsi"/>
          <w:sz w:val="22"/>
          <w:szCs w:val="22"/>
          <w:lang w:val="en-NZ"/>
        </w:rPr>
        <w:t>Rainbow children are more like to be negatively affected by suicide.</w:t>
      </w:r>
      <w:r w:rsidRPr="00CA6A35">
        <w:rPr>
          <w:vertAlign w:val="superscript"/>
          <w:lang w:val="en-NZ"/>
        </w:rPr>
        <w:footnoteReference w:id="175"/>
      </w:r>
    </w:p>
    <w:p w14:paraId="23B89803" w14:textId="77777777" w:rsidR="00CA6A35" w:rsidRDefault="00CA6A35" w:rsidP="00CA6A35">
      <w:pPr>
        <w:pStyle w:val="ListParagraph"/>
        <w:rPr>
          <w:rFonts w:cstheme="minorHAnsi"/>
          <w:sz w:val="22"/>
          <w:szCs w:val="22"/>
          <w:lang w:val="mi-NZ"/>
        </w:rPr>
      </w:pPr>
    </w:p>
    <w:p w14:paraId="30E69171" w14:textId="28641CFB" w:rsidR="00CA6A35" w:rsidRPr="00CA6A35" w:rsidRDefault="00CA6A35" w:rsidP="00CA6A35">
      <w:pPr>
        <w:pStyle w:val="ListParagraph"/>
        <w:numPr>
          <w:ilvl w:val="0"/>
          <w:numId w:val="9"/>
        </w:numPr>
        <w:ind w:hanging="720"/>
        <w:rPr>
          <w:rFonts w:cstheme="minorHAnsi"/>
          <w:sz w:val="22"/>
          <w:szCs w:val="22"/>
          <w:lang w:val="mi-NZ"/>
        </w:rPr>
      </w:pPr>
      <w:r w:rsidRPr="00CA6A35">
        <w:rPr>
          <w:rFonts w:cstheme="minorHAnsi"/>
          <w:sz w:val="22"/>
          <w:szCs w:val="22"/>
          <w:lang w:val="mi-NZ"/>
        </w:rPr>
        <w:t xml:space="preserve">Despite suicide being a leading cause of death in children, there does not appear to be an explicit focus on children within the Mental Health and Wellbeing Commission,  the Suicide Prevention Office, or the Every Life Matters Strategy and Action Plan: a missed opportunity to take a </w:t>
      </w:r>
      <w:r w:rsidRPr="00CA6A35">
        <w:rPr>
          <w:rFonts w:cstheme="minorHAnsi"/>
          <w:sz w:val="22"/>
          <w:szCs w:val="22"/>
          <w:lang w:val="mi-NZ"/>
        </w:rPr>
        <w:lastRenderedPageBreak/>
        <w:t>comprehensive and co-ordinated approach to establishing child and youth specific suicide prevention measures.</w:t>
      </w:r>
      <w:r w:rsidRPr="00CA6A35">
        <w:rPr>
          <w:rFonts w:cstheme="minorHAnsi"/>
          <w:sz w:val="22"/>
          <w:szCs w:val="22"/>
          <w:vertAlign w:val="superscript"/>
          <w:lang w:val="mi-NZ"/>
        </w:rPr>
        <w:footnoteReference w:id="176"/>
      </w:r>
      <w:r w:rsidRPr="00CA6A35">
        <w:rPr>
          <w:rFonts w:cstheme="minorHAnsi"/>
          <w:sz w:val="22"/>
          <w:szCs w:val="22"/>
          <w:lang w:val="mi-NZ"/>
        </w:rPr>
        <w:t xml:space="preserve"> </w:t>
      </w:r>
      <w:r w:rsidRPr="00CA6A35">
        <w:rPr>
          <w:rFonts w:cstheme="minorHAnsi"/>
          <w:sz w:val="22"/>
          <w:szCs w:val="22"/>
          <w:vertAlign w:val="superscript"/>
          <w:lang w:val="mi-NZ"/>
        </w:rPr>
        <w:footnoteReference w:id="177"/>
      </w:r>
      <w:r w:rsidRPr="00CA6A35">
        <w:rPr>
          <w:rFonts w:cstheme="minorHAnsi"/>
          <w:sz w:val="22"/>
          <w:szCs w:val="22"/>
          <w:lang w:val="mi-NZ"/>
        </w:rPr>
        <w:t xml:space="preserve"> </w:t>
      </w:r>
      <w:r w:rsidRPr="00CA6A35">
        <w:rPr>
          <w:rFonts w:cstheme="minorHAnsi"/>
          <w:sz w:val="22"/>
          <w:szCs w:val="22"/>
          <w:vertAlign w:val="superscript"/>
          <w:lang w:val="mi-NZ"/>
        </w:rPr>
        <w:footnoteReference w:id="178"/>
      </w:r>
    </w:p>
    <w:p w14:paraId="18667C90" w14:textId="77777777" w:rsidR="00CA6A35" w:rsidRPr="00CA6A35" w:rsidRDefault="00CA6A35" w:rsidP="00CA6A35">
      <w:pPr>
        <w:pStyle w:val="ListParagraph"/>
        <w:rPr>
          <w:rFonts w:cstheme="minorHAnsi"/>
          <w:sz w:val="22"/>
          <w:szCs w:val="22"/>
          <w:lang w:val="mi-NZ"/>
        </w:rPr>
      </w:pPr>
    </w:p>
    <w:p w14:paraId="2EC551FE" w14:textId="77777777" w:rsidR="00CA6A35" w:rsidRPr="00CA6A35" w:rsidRDefault="00CA6A35" w:rsidP="00CA6A35">
      <w:pPr>
        <w:pStyle w:val="ListParagraph"/>
        <w:numPr>
          <w:ilvl w:val="0"/>
          <w:numId w:val="9"/>
        </w:numPr>
        <w:ind w:hanging="720"/>
        <w:rPr>
          <w:rFonts w:cstheme="minorHAnsi"/>
          <w:sz w:val="22"/>
          <w:szCs w:val="22"/>
          <w:lang w:val="mi-NZ"/>
        </w:rPr>
      </w:pPr>
      <w:r w:rsidRPr="00CA6A35">
        <w:rPr>
          <w:rFonts w:cstheme="minorHAnsi"/>
          <w:sz w:val="22"/>
          <w:szCs w:val="22"/>
          <w:lang w:val="mi-NZ"/>
        </w:rPr>
        <w:t>In 2018, 31,300 children (2.8% of the child population) had a potentially avoidable hospitalisation (treatment for illnesses arising from poor environmental factors such as nutrition, housing, timely treatment, and which are considered preventable).</w:t>
      </w:r>
      <w:r w:rsidRPr="00CA6A35">
        <w:rPr>
          <w:rFonts w:cstheme="minorHAnsi"/>
          <w:sz w:val="22"/>
          <w:szCs w:val="22"/>
          <w:vertAlign w:val="superscript"/>
          <w:lang w:val="mi-NZ"/>
        </w:rPr>
        <w:footnoteReference w:id="179"/>
      </w:r>
      <w:r w:rsidRPr="00CA6A35">
        <w:rPr>
          <w:rFonts w:cstheme="minorHAnsi"/>
          <w:sz w:val="22"/>
          <w:szCs w:val="22"/>
          <w:lang w:val="mi-NZ"/>
        </w:rPr>
        <w:t xml:space="preserve"> </w:t>
      </w:r>
      <w:r w:rsidRPr="00CA6A35">
        <w:rPr>
          <w:rFonts w:cstheme="minorHAnsi"/>
          <w:sz w:val="22"/>
          <w:szCs w:val="22"/>
          <w:vertAlign w:val="superscript"/>
          <w:lang w:val="mi-NZ"/>
        </w:rPr>
        <w:footnoteReference w:id="180"/>
      </w:r>
      <w:r w:rsidRPr="00CA6A35">
        <w:rPr>
          <w:rFonts w:cstheme="minorHAnsi"/>
          <w:sz w:val="22"/>
          <w:szCs w:val="22"/>
          <w:lang w:val="mi-NZ"/>
        </w:rPr>
        <w:t xml:space="preserve">  </w:t>
      </w:r>
    </w:p>
    <w:p w14:paraId="62E74128" w14:textId="77777777" w:rsidR="00CA6A35" w:rsidRPr="00CA6A35" w:rsidRDefault="00CA6A35" w:rsidP="00CA6A35">
      <w:pPr>
        <w:pStyle w:val="ListParagraph"/>
        <w:rPr>
          <w:rFonts w:cstheme="minorHAnsi"/>
          <w:sz w:val="22"/>
          <w:szCs w:val="22"/>
          <w:lang w:val="mi-NZ"/>
        </w:rPr>
      </w:pPr>
    </w:p>
    <w:p w14:paraId="311B921D" w14:textId="080ABE36" w:rsidR="00970A6D" w:rsidRPr="00F240E3" w:rsidRDefault="00CA6A35" w:rsidP="00CA6A35">
      <w:pPr>
        <w:pStyle w:val="ListParagraph"/>
        <w:numPr>
          <w:ilvl w:val="0"/>
          <w:numId w:val="9"/>
        </w:numPr>
        <w:ind w:hanging="720"/>
        <w:rPr>
          <w:rFonts w:cstheme="minorHAnsi"/>
          <w:sz w:val="22"/>
          <w:szCs w:val="22"/>
          <w:lang w:val="mi-NZ"/>
        </w:rPr>
      </w:pPr>
      <w:r w:rsidRPr="00CA6A35">
        <w:rPr>
          <w:rFonts w:cstheme="minorHAnsi"/>
          <w:sz w:val="22"/>
          <w:szCs w:val="22"/>
          <w:lang w:val="mi-NZ"/>
        </w:rPr>
        <w:t xml:space="preserve">The impact of climate change and environmental degradation, including air and water pollution, on children’s survival and development is of </w:t>
      </w:r>
      <w:r w:rsidR="00A5379C">
        <w:rPr>
          <w:rFonts w:cstheme="minorHAnsi"/>
          <w:sz w:val="22"/>
          <w:szCs w:val="22"/>
          <w:lang w:val="mi-NZ"/>
        </w:rPr>
        <w:t>urgent</w:t>
      </w:r>
      <w:r w:rsidR="00A5379C" w:rsidRPr="00CA6A35">
        <w:rPr>
          <w:rFonts w:cstheme="minorHAnsi"/>
          <w:sz w:val="22"/>
          <w:szCs w:val="22"/>
          <w:lang w:val="mi-NZ"/>
        </w:rPr>
        <w:t xml:space="preserve"> </w:t>
      </w:r>
      <w:r w:rsidRPr="00CA6A35">
        <w:rPr>
          <w:rFonts w:cstheme="minorHAnsi"/>
          <w:sz w:val="22"/>
          <w:szCs w:val="22"/>
          <w:lang w:val="mi-NZ"/>
        </w:rPr>
        <w:t>concern.</w:t>
      </w:r>
      <w:r w:rsidRPr="00CA6A35">
        <w:rPr>
          <w:rFonts w:cstheme="minorHAnsi"/>
          <w:sz w:val="22"/>
          <w:szCs w:val="22"/>
          <w:vertAlign w:val="superscript"/>
          <w:lang w:val="mi-NZ"/>
        </w:rPr>
        <w:footnoteReference w:id="181"/>
      </w:r>
      <w:r w:rsidRPr="00CA6A35">
        <w:rPr>
          <w:rFonts w:cstheme="minorHAnsi"/>
          <w:sz w:val="22"/>
          <w:szCs w:val="22"/>
          <w:lang w:val="mi-NZ"/>
        </w:rPr>
        <w:t xml:space="preserve"> </w:t>
      </w:r>
      <w:r w:rsidRPr="00CA6A35">
        <w:rPr>
          <w:rFonts w:cstheme="minorHAnsi"/>
          <w:sz w:val="22"/>
          <w:szCs w:val="22"/>
          <w:vertAlign w:val="superscript"/>
          <w:lang w:val="mi-NZ"/>
        </w:rPr>
        <w:footnoteReference w:id="182"/>
      </w:r>
    </w:p>
    <w:p w14:paraId="67B86C08" w14:textId="3F13A678" w:rsidR="00CA6A35" w:rsidRPr="00CA6A35" w:rsidRDefault="00CA6A35" w:rsidP="00CA6A35">
      <w:pPr>
        <w:pStyle w:val="IntenseQuote"/>
        <w:ind w:left="720"/>
        <w:jc w:val="left"/>
        <w:rPr>
          <w:b/>
          <w:bCs/>
          <w:i w:val="0"/>
          <w:iCs w:val="0"/>
          <w:sz w:val="24"/>
          <w:szCs w:val="24"/>
          <w:lang w:val="mi-NZ"/>
        </w:rPr>
      </w:pPr>
      <w:r w:rsidRPr="00CA6A35">
        <w:rPr>
          <w:b/>
          <w:bCs/>
          <w:i w:val="0"/>
          <w:iCs w:val="0"/>
          <w:sz w:val="24"/>
          <w:szCs w:val="24"/>
          <w:lang w:val="mi-NZ"/>
        </w:rPr>
        <w:t>Recommendations</w:t>
      </w:r>
    </w:p>
    <w:p w14:paraId="29156D16" w14:textId="1F5680D3" w:rsidR="00CA6A35" w:rsidRPr="00CA6A35" w:rsidRDefault="00CA6A35" w:rsidP="00916EA3">
      <w:pPr>
        <w:pStyle w:val="IntenseQuote"/>
        <w:numPr>
          <w:ilvl w:val="0"/>
          <w:numId w:val="11"/>
        </w:numPr>
        <w:jc w:val="left"/>
        <w:rPr>
          <w:i w:val="0"/>
          <w:iCs w:val="0"/>
          <w:sz w:val="22"/>
          <w:szCs w:val="22"/>
          <w:lang w:val="mi-NZ"/>
        </w:rPr>
      </w:pPr>
      <w:r w:rsidRPr="00CA6A35">
        <w:rPr>
          <w:i w:val="0"/>
          <w:iCs w:val="0"/>
          <w:sz w:val="22"/>
          <w:szCs w:val="22"/>
          <w:lang w:val="mi-NZ"/>
        </w:rPr>
        <w:t xml:space="preserve">Embed a children’s-rights approach across Government, consistent with the CRC, </w:t>
      </w:r>
      <w:r w:rsidR="00C52D88">
        <w:rPr>
          <w:i w:val="0"/>
          <w:iCs w:val="0"/>
          <w:sz w:val="22"/>
          <w:szCs w:val="22"/>
          <w:lang w:val="mi-NZ"/>
        </w:rPr>
        <w:t>T</w:t>
      </w:r>
      <w:r w:rsidRPr="00CA6A35">
        <w:rPr>
          <w:i w:val="0"/>
          <w:iCs w:val="0"/>
          <w:sz w:val="22"/>
          <w:szCs w:val="22"/>
          <w:lang w:val="mi-NZ"/>
        </w:rPr>
        <w:t>e Tiriti o Waitangi and other relevant international human rights obligations, to ensure all children:</w:t>
      </w:r>
    </w:p>
    <w:p w14:paraId="333B7145" w14:textId="77777777" w:rsidR="00CA7C26" w:rsidRPr="00101FF7" w:rsidRDefault="00CA6A35" w:rsidP="00916EA3">
      <w:pPr>
        <w:pStyle w:val="IntenseQuote"/>
        <w:numPr>
          <w:ilvl w:val="0"/>
          <w:numId w:val="25"/>
        </w:numPr>
        <w:jc w:val="left"/>
        <w:rPr>
          <w:i w:val="0"/>
          <w:iCs w:val="0"/>
          <w:sz w:val="22"/>
          <w:szCs w:val="22"/>
          <w:lang w:val="mi-NZ"/>
        </w:rPr>
      </w:pPr>
      <w:r w:rsidRPr="00101FF7">
        <w:rPr>
          <w:i w:val="0"/>
          <w:iCs w:val="0"/>
          <w:sz w:val="22"/>
          <w:szCs w:val="22"/>
          <w:lang w:val="mi-NZ"/>
        </w:rPr>
        <w:t>have an adequate standard of living, a healthy home, nutritous food and clean water;</w:t>
      </w:r>
    </w:p>
    <w:p w14:paraId="3B274AD0" w14:textId="2E740047" w:rsidR="00CA6A35" w:rsidRPr="00101FF7" w:rsidRDefault="00CA6A35" w:rsidP="00916EA3">
      <w:pPr>
        <w:pStyle w:val="IntenseQuote"/>
        <w:numPr>
          <w:ilvl w:val="0"/>
          <w:numId w:val="25"/>
        </w:numPr>
        <w:jc w:val="left"/>
        <w:rPr>
          <w:i w:val="0"/>
          <w:iCs w:val="0"/>
          <w:sz w:val="22"/>
          <w:szCs w:val="22"/>
          <w:lang w:val="mi-NZ"/>
        </w:rPr>
      </w:pPr>
      <w:r w:rsidRPr="00101FF7">
        <w:rPr>
          <w:i w:val="0"/>
          <w:iCs w:val="0"/>
          <w:sz w:val="22"/>
          <w:szCs w:val="22"/>
          <w:lang w:val="mi-NZ"/>
        </w:rPr>
        <w:t xml:space="preserve">grow up with a sense of belonging and knowing that they matter. </w:t>
      </w:r>
    </w:p>
    <w:p w14:paraId="6D6DD1AB" w14:textId="77777777" w:rsidR="00CA6A35" w:rsidRPr="00CA6A35" w:rsidRDefault="00CA6A35" w:rsidP="00916EA3">
      <w:pPr>
        <w:pStyle w:val="IntenseQuote"/>
        <w:numPr>
          <w:ilvl w:val="0"/>
          <w:numId w:val="11"/>
        </w:numPr>
        <w:jc w:val="left"/>
        <w:rPr>
          <w:i w:val="0"/>
          <w:iCs w:val="0"/>
          <w:sz w:val="22"/>
          <w:szCs w:val="22"/>
          <w:lang w:val="mi-NZ"/>
        </w:rPr>
      </w:pPr>
      <w:r w:rsidRPr="00CA6A35">
        <w:rPr>
          <w:i w:val="0"/>
          <w:iCs w:val="0"/>
          <w:sz w:val="22"/>
          <w:szCs w:val="22"/>
          <w:lang w:val="mi-NZ"/>
        </w:rPr>
        <w:t xml:space="preserve">Ensure equitable access to family and whānau friendly, and culturally appropriate, mental health and wellbeing services for </w:t>
      </w:r>
      <w:r w:rsidRPr="00CA6A35">
        <w:rPr>
          <w:i w:val="0"/>
          <w:iCs w:val="0"/>
          <w:sz w:val="22"/>
          <w:szCs w:val="22"/>
          <w:lang w:val="mi-NZ"/>
        </w:rPr>
        <w:lastRenderedPageBreak/>
        <w:t>children (and their families and whānau) when needed, throughout the country.</w:t>
      </w:r>
    </w:p>
    <w:p w14:paraId="29119199" w14:textId="77777777" w:rsidR="00CA6A35" w:rsidRPr="00CA6A35" w:rsidRDefault="00CA6A35" w:rsidP="00916EA3">
      <w:pPr>
        <w:pStyle w:val="IntenseQuote"/>
        <w:numPr>
          <w:ilvl w:val="0"/>
          <w:numId w:val="11"/>
        </w:numPr>
        <w:jc w:val="left"/>
        <w:rPr>
          <w:i w:val="0"/>
          <w:iCs w:val="0"/>
          <w:sz w:val="22"/>
          <w:szCs w:val="22"/>
          <w:lang w:val="mi-NZ"/>
        </w:rPr>
      </w:pPr>
      <w:r w:rsidRPr="00CA6A35">
        <w:rPr>
          <w:i w:val="0"/>
          <w:iCs w:val="0"/>
          <w:sz w:val="22"/>
          <w:szCs w:val="22"/>
          <w:lang w:val="mi-NZ"/>
        </w:rPr>
        <w:t>Require and resource the Suicide Prevention Office to lead the development and implemention of child suicide prevention strategies, with a focus on tamariki Māori and rainbow children.</w:t>
      </w:r>
    </w:p>
    <w:p w14:paraId="220B5374" w14:textId="4C61A9E9" w:rsidR="00CA6A35" w:rsidRPr="00CA6A35" w:rsidRDefault="00CA6A35" w:rsidP="00916EA3">
      <w:pPr>
        <w:pStyle w:val="IntenseQuote"/>
        <w:numPr>
          <w:ilvl w:val="0"/>
          <w:numId w:val="11"/>
        </w:numPr>
        <w:jc w:val="left"/>
        <w:rPr>
          <w:i w:val="0"/>
          <w:iCs w:val="0"/>
          <w:sz w:val="22"/>
          <w:szCs w:val="22"/>
          <w:lang w:val="mi-NZ"/>
        </w:rPr>
      </w:pPr>
      <w:r w:rsidRPr="00CA6A35">
        <w:rPr>
          <w:i w:val="0"/>
          <w:iCs w:val="0"/>
          <w:sz w:val="22"/>
          <w:szCs w:val="22"/>
          <w:lang w:val="mi-NZ"/>
        </w:rPr>
        <w:t>A</w:t>
      </w:r>
      <w:r w:rsidR="00AA068F">
        <w:rPr>
          <w:i w:val="0"/>
          <w:iCs w:val="0"/>
          <w:sz w:val="22"/>
          <w:szCs w:val="22"/>
          <w:lang w:val="mi-NZ"/>
        </w:rPr>
        <w:t>rrest</w:t>
      </w:r>
      <w:r w:rsidRPr="00CA6A35">
        <w:rPr>
          <w:i w:val="0"/>
          <w:iCs w:val="0"/>
          <w:sz w:val="22"/>
          <w:szCs w:val="22"/>
          <w:lang w:val="mi-NZ"/>
        </w:rPr>
        <w:t xml:space="preserve"> climate change and environmental degradation and take urgent measures to mitigate its negative impacts on children’s survival and development.</w:t>
      </w:r>
    </w:p>
    <w:p w14:paraId="1AD7BCFB" w14:textId="50C22302" w:rsidR="009E4943" w:rsidRPr="00E7687D" w:rsidRDefault="009E4943" w:rsidP="009E4943">
      <w:pPr>
        <w:pStyle w:val="Heading1"/>
        <w:rPr>
          <w:lang w:val="mi-NZ"/>
        </w:rPr>
      </w:pPr>
      <w:bookmarkStart w:id="25" w:name="_Toc111485452"/>
      <w:r w:rsidRPr="00E7687D">
        <w:rPr>
          <w:lang w:val="mi-NZ"/>
        </w:rPr>
        <w:t>Respect for the Views of the Child – LOIPR 12</w:t>
      </w:r>
      <w:bookmarkEnd w:id="25"/>
    </w:p>
    <w:p w14:paraId="01FC5CB6" w14:textId="77777777" w:rsidR="00CA6A35" w:rsidRPr="00CA6A35" w:rsidRDefault="00CA6A35" w:rsidP="00CA6A35">
      <w:pPr>
        <w:rPr>
          <w:rFonts w:cstheme="minorHAnsi"/>
          <w:sz w:val="22"/>
          <w:szCs w:val="22"/>
          <w:lang w:val="mi-NZ"/>
        </w:rPr>
      </w:pPr>
    </w:p>
    <w:p w14:paraId="01180566" w14:textId="77777777" w:rsidR="009E4943" w:rsidRPr="009E4943" w:rsidRDefault="009E4943" w:rsidP="00BC4E04">
      <w:pPr>
        <w:pStyle w:val="xxmsonormal"/>
        <w:spacing w:before="0" w:beforeAutospacing="0" w:after="0" w:afterAutospacing="0"/>
        <w:ind w:left="720"/>
        <w:rPr>
          <w:rFonts w:asciiTheme="minorHAnsi" w:hAnsiTheme="minorHAnsi" w:cstheme="minorHAnsi"/>
          <w:color w:val="000000"/>
          <w:sz w:val="22"/>
          <w:szCs w:val="22"/>
        </w:rPr>
      </w:pPr>
      <w:r w:rsidRPr="009E4943">
        <w:rPr>
          <w:rFonts w:asciiTheme="minorHAnsi" w:hAnsiTheme="minorHAnsi" w:cstheme="minorHAnsi"/>
          <w:i/>
          <w:iCs/>
          <w:color w:val="000000"/>
          <w:sz w:val="22"/>
          <w:szCs w:val="22"/>
        </w:rPr>
        <w:t>It has been amazing to be a part of this group. To be listened to, to be heard, and for adults to take us seriously. Not just to be seen, to be really heard. It has been an awesome opportunity to change problems. To look back and say, I was part of that. It is empowering</w:t>
      </w:r>
      <w:r w:rsidRPr="009E4943">
        <w:rPr>
          <w:rFonts w:asciiTheme="minorHAnsi" w:hAnsiTheme="minorHAnsi" w:cstheme="minorHAnsi"/>
          <w:color w:val="000000"/>
          <w:sz w:val="22"/>
          <w:szCs w:val="22"/>
        </w:rPr>
        <w:t>.</w:t>
      </w:r>
      <w:r w:rsidRPr="009E4943">
        <w:rPr>
          <w:rStyle w:val="FootnoteReference"/>
          <w:rFonts w:asciiTheme="minorHAnsi" w:hAnsiTheme="minorHAnsi" w:cstheme="minorHAnsi"/>
          <w:color w:val="000000"/>
          <w:sz w:val="22"/>
          <w:szCs w:val="22"/>
        </w:rPr>
        <w:footnoteReference w:id="183"/>
      </w:r>
    </w:p>
    <w:p w14:paraId="4951DD5A" w14:textId="77777777" w:rsidR="009E4943" w:rsidRPr="009E4943" w:rsidRDefault="009E4943" w:rsidP="009E4943">
      <w:pPr>
        <w:rPr>
          <w:rFonts w:cstheme="minorHAnsi"/>
          <w:sz w:val="22"/>
          <w:szCs w:val="22"/>
          <w:lang w:val="mi-NZ"/>
        </w:rPr>
      </w:pPr>
    </w:p>
    <w:p w14:paraId="57D9C802" w14:textId="28DD3548" w:rsidR="009E4943" w:rsidRPr="009E4943" w:rsidRDefault="009E4943" w:rsidP="009E4943">
      <w:pPr>
        <w:pStyle w:val="ListParagraph"/>
        <w:numPr>
          <w:ilvl w:val="0"/>
          <w:numId w:val="9"/>
        </w:numPr>
        <w:ind w:hanging="720"/>
        <w:rPr>
          <w:rFonts w:cstheme="minorHAnsi"/>
          <w:sz w:val="22"/>
          <w:szCs w:val="22"/>
          <w:lang w:val="mi-NZ"/>
        </w:rPr>
      </w:pPr>
      <w:r w:rsidRPr="009E4943">
        <w:rPr>
          <w:rFonts w:cstheme="minorHAnsi"/>
          <w:sz w:val="22"/>
          <w:szCs w:val="22"/>
          <w:lang w:val="mi-NZ"/>
        </w:rPr>
        <w:t>There has been increasing acceptance that children’s views are important and need to be listened to.</w:t>
      </w:r>
      <w:r w:rsidRPr="009E4943">
        <w:rPr>
          <w:rFonts w:cstheme="minorHAnsi"/>
          <w:sz w:val="22"/>
          <w:szCs w:val="22"/>
          <w:vertAlign w:val="superscript"/>
          <w:lang w:val="mi-NZ"/>
        </w:rPr>
        <w:footnoteReference w:id="184"/>
      </w:r>
      <w:r w:rsidRPr="009E4943">
        <w:rPr>
          <w:rFonts w:cstheme="minorHAnsi"/>
          <w:sz w:val="22"/>
          <w:szCs w:val="22"/>
          <w:lang w:val="mi-NZ"/>
        </w:rPr>
        <w:t xml:space="preserve"> </w:t>
      </w:r>
      <w:r w:rsidRPr="009E4943">
        <w:rPr>
          <w:rFonts w:cstheme="minorHAnsi"/>
          <w:sz w:val="22"/>
          <w:szCs w:val="22"/>
          <w:vertAlign w:val="superscript"/>
          <w:lang w:val="mi-NZ"/>
        </w:rPr>
        <w:footnoteReference w:id="185"/>
      </w:r>
      <w:r w:rsidRPr="009E4943">
        <w:rPr>
          <w:rFonts w:cstheme="minorHAnsi"/>
          <w:sz w:val="22"/>
          <w:szCs w:val="22"/>
          <w:lang w:val="mi-NZ"/>
        </w:rPr>
        <w:t xml:space="preserve"> However, more work is needed to ensure that children can share their views and are listened to, including in the Parliamentary process and about climate change.</w:t>
      </w:r>
    </w:p>
    <w:p w14:paraId="281C4C86" w14:textId="77777777" w:rsidR="009E4943" w:rsidRDefault="009E4943" w:rsidP="009E4943">
      <w:pPr>
        <w:pStyle w:val="ListParagraph"/>
        <w:rPr>
          <w:rFonts w:cstheme="minorHAnsi"/>
          <w:sz w:val="22"/>
          <w:szCs w:val="22"/>
          <w:lang w:val="mi-NZ"/>
        </w:rPr>
      </w:pPr>
    </w:p>
    <w:p w14:paraId="58DAE26C" w14:textId="06313073" w:rsidR="009E4943" w:rsidRPr="009E4943" w:rsidRDefault="009E4943" w:rsidP="009E4943">
      <w:pPr>
        <w:pStyle w:val="ListParagraph"/>
        <w:numPr>
          <w:ilvl w:val="0"/>
          <w:numId w:val="9"/>
        </w:numPr>
        <w:ind w:hanging="720"/>
        <w:rPr>
          <w:rFonts w:cstheme="minorHAnsi"/>
          <w:sz w:val="22"/>
          <w:szCs w:val="22"/>
          <w:lang w:val="mi-NZ"/>
        </w:rPr>
      </w:pPr>
      <w:r w:rsidRPr="009E4943">
        <w:rPr>
          <w:rFonts w:cstheme="minorHAnsi"/>
          <w:sz w:val="22"/>
          <w:szCs w:val="22"/>
          <w:lang w:val="mi-NZ"/>
        </w:rPr>
        <w:t>Children had very limited opportunity to particpate in the development of the Oversight Bill 2021, and their submissions on the Bill were not listened to.</w:t>
      </w:r>
      <w:r w:rsidRPr="009E4943">
        <w:rPr>
          <w:rFonts w:cstheme="minorHAnsi"/>
          <w:sz w:val="22"/>
          <w:szCs w:val="22"/>
          <w:vertAlign w:val="superscript"/>
          <w:lang w:val="mi-NZ"/>
        </w:rPr>
        <w:footnoteReference w:id="186"/>
      </w:r>
      <w:r w:rsidRPr="009E4943">
        <w:rPr>
          <w:rFonts w:cstheme="minorHAnsi"/>
          <w:sz w:val="22"/>
          <w:szCs w:val="22"/>
          <w:lang w:val="mi-NZ"/>
        </w:rPr>
        <w:t xml:space="preserve"> </w:t>
      </w:r>
    </w:p>
    <w:p w14:paraId="46E7FD1B" w14:textId="34E8FAE8" w:rsidR="00970A6D" w:rsidRDefault="00970A6D" w:rsidP="009E4943">
      <w:pPr>
        <w:pStyle w:val="ListParagraph"/>
        <w:rPr>
          <w:rFonts w:cstheme="minorHAnsi"/>
          <w:sz w:val="22"/>
          <w:szCs w:val="22"/>
          <w:lang w:val="mi-NZ"/>
        </w:rPr>
      </w:pPr>
    </w:p>
    <w:p w14:paraId="1B7EA766" w14:textId="77777777" w:rsidR="009E4943" w:rsidRPr="00BC4E04" w:rsidRDefault="009E4943" w:rsidP="00BC4E04">
      <w:pPr>
        <w:ind w:left="720"/>
        <w:rPr>
          <w:rFonts w:cstheme="minorHAnsi"/>
          <w:i/>
          <w:iCs/>
          <w:sz w:val="22"/>
          <w:szCs w:val="22"/>
        </w:rPr>
      </w:pPr>
      <w:r w:rsidRPr="00BC4E04">
        <w:rPr>
          <w:rFonts w:cstheme="minorHAnsi"/>
          <w:i/>
          <w:iCs/>
          <w:sz w:val="22"/>
          <w:szCs w:val="22"/>
          <w:shd w:val="clear" w:color="auto" w:fill="FFFFFF"/>
        </w:rPr>
        <w:t>This is too important to get wrong. Time and time again the voices of young people with care experience are pushed aside for systems that don’t serve us.</w:t>
      </w:r>
      <w:r w:rsidRPr="00BC4E04">
        <w:rPr>
          <w:rStyle w:val="FootnoteReference"/>
          <w:rFonts w:cstheme="minorHAnsi"/>
          <w:sz w:val="22"/>
          <w:szCs w:val="22"/>
          <w:lang w:val="mi-NZ"/>
        </w:rPr>
        <w:footnoteReference w:id="187"/>
      </w:r>
    </w:p>
    <w:p w14:paraId="68EE5D50" w14:textId="77777777" w:rsidR="009E4943" w:rsidRDefault="009E4943" w:rsidP="009E4943">
      <w:pPr>
        <w:pStyle w:val="ListParagraph"/>
        <w:rPr>
          <w:rFonts w:cstheme="minorHAnsi"/>
          <w:sz w:val="22"/>
          <w:szCs w:val="22"/>
          <w:lang w:val="mi-NZ"/>
        </w:rPr>
      </w:pPr>
    </w:p>
    <w:p w14:paraId="74737B0A" w14:textId="15F8599E" w:rsidR="009E4943" w:rsidRPr="009E4943" w:rsidRDefault="009E4943" w:rsidP="009E4943">
      <w:pPr>
        <w:pStyle w:val="ListParagraph"/>
        <w:numPr>
          <w:ilvl w:val="0"/>
          <w:numId w:val="9"/>
        </w:numPr>
        <w:ind w:hanging="720"/>
        <w:rPr>
          <w:rFonts w:cstheme="minorHAnsi"/>
          <w:sz w:val="22"/>
          <w:szCs w:val="22"/>
          <w:lang w:val="mi-NZ"/>
        </w:rPr>
      </w:pPr>
      <w:r w:rsidRPr="009E4943">
        <w:rPr>
          <w:rFonts w:cstheme="minorHAnsi"/>
          <w:sz w:val="22"/>
          <w:szCs w:val="22"/>
          <w:lang w:val="mi-NZ"/>
        </w:rPr>
        <w:t>Some local councils are working to enable children to participate in decision-making about things that matter to them, such as climate change, which could be replicated at the national level.</w:t>
      </w:r>
      <w:r w:rsidRPr="009E4943">
        <w:rPr>
          <w:rFonts w:cstheme="minorHAnsi"/>
          <w:sz w:val="22"/>
          <w:szCs w:val="22"/>
          <w:vertAlign w:val="superscript"/>
          <w:lang w:val="mi-NZ"/>
        </w:rPr>
        <w:footnoteReference w:id="188"/>
      </w:r>
      <w:r w:rsidRPr="009E4943">
        <w:rPr>
          <w:rFonts w:cstheme="minorHAnsi"/>
          <w:sz w:val="22"/>
          <w:szCs w:val="22"/>
          <w:lang w:val="mi-NZ"/>
        </w:rPr>
        <w:t xml:space="preserve"> </w:t>
      </w:r>
      <w:r w:rsidRPr="009E4943">
        <w:rPr>
          <w:rFonts w:cstheme="minorHAnsi"/>
          <w:sz w:val="22"/>
          <w:szCs w:val="22"/>
          <w:vertAlign w:val="superscript"/>
          <w:lang w:val="en-NZ"/>
        </w:rPr>
        <w:footnoteReference w:id="189"/>
      </w:r>
      <w:r w:rsidRPr="009E4943">
        <w:rPr>
          <w:rFonts w:cstheme="minorHAnsi"/>
          <w:sz w:val="22"/>
          <w:szCs w:val="22"/>
          <w:lang w:val="en-NZ"/>
        </w:rPr>
        <w:t xml:space="preserve"> </w:t>
      </w:r>
    </w:p>
    <w:p w14:paraId="0D44137D" w14:textId="77777777" w:rsidR="009E4943" w:rsidRPr="009E4943" w:rsidRDefault="009E4943" w:rsidP="009E4943">
      <w:pPr>
        <w:pStyle w:val="ListParagraph"/>
        <w:rPr>
          <w:rFonts w:cstheme="minorHAnsi"/>
          <w:sz w:val="22"/>
          <w:szCs w:val="22"/>
          <w:lang w:val="mi-NZ"/>
        </w:rPr>
      </w:pPr>
    </w:p>
    <w:p w14:paraId="07AC68C6" w14:textId="0FBD3837" w:rsidR="009E4943" w:rsidRDefault="009E4943" w:rsidP="009E4943">
      <w:pPr>
        <w:pStyle w:val="ListParagraph"/>
        <w:numPr>
          <w:ilvl w:val="0"/>
          <w:numId w:val="9"/>
        </w:numPr>
        <w:ind w:hanging="720"/>
        <w:rPr>
          <w:rFonts w:cstheme="minorHAnsi"/>
          <w:sz w:val="22"/>
          <w:szCs w:val="22"/>
          <w:lang w:val="mi-NZ"/>
        </w:rPr>
      </w:pPr>
      <w:r w:rsidRPr="009E4943">
        <w:rPr>
          <w:rFonts w:cstheme="minorHAnsi"/>
          <w:sz w:val="22"/>
          <w:szCs w:val="22"/>
          <w:lang w:val="mi-NZ"/>
        </w:rPr>
        <w:t>We welcome the proposed Children and Young People’s Commission functions to encourage children’s participation and voices.</w:t>
      </w:r>
      <w:r w:rsidRPr="009E4943">
        <w:rPr>
          <w:rFonts w:cstheme="minorHAnsi"/>
          <w:sz w:val="22"/>
          <w:szCs w:val="22"/>
          <w:vertAlign w:val="superscript"/>
          <w:lang w:val="mi-NZ"/>
        </w:rPr>
        <w:footnoteReference w:id="190"/>
      </w:r>
      <w:r w:rsidRPr="009E4943">
        <w:rPr>
          <w:rFonts w:cstheme="minorHAnsi"/>
          <w:sz w:val="22"/>
          <w:szCs w:val="22"/>
          <w:lang w:val="mi-NZ"/>
        </w:rPr>
        <w:t xml:space="preserve"> However, the duty to uphold children’s partcipation rights rests with Government and more can be done by Government to enable children’s meaningful participation in Government processes, in their daily lives, and on matters that are important to them. This should include practical supports to facilitate children’s meaningful participation, such as those provided by Talking Trouble Aotearoa NZ who work alongside government agencies to improve responses to the speech, language and communication needs experienced by many children involved with care and protection, justice, mental health and behaviour services.</w:t>
      </w:r>
      <w:r w:rsidRPr="009E4943">
        <w:rPr>
          <w:rFonts w:cstheme="minorHAnsi"/>
          <w:sz w:val="22"/>
          <w:szCs w:val="22"/>
          <w:vertAlign w:val="superscript"/>
          <w:lang w:val="mi-NZ"/>
        </w:rPr>
        <w:footnoteReference w:id="191"/>
      </w:r>
      <w:r w:rsidRPr="009E4943">
        <w:rPr>
          <w:rFonts w:cstheme="minorHAnsi"/>
          <w:sz w:val="22"/>
          <w:szCs w:val="22"/>
          <w:lang w:val="mi-NZ"/>
        </w:rPr>
        <w:t xml:space="preserve"> </w:t>
      </w:r>
    </w:p>
    <w:p w14:paraId="61D95126" w14:textId="77777777" w:rsidR="009E4943" w:rsidRPr="009E4943" w:rsidRDefault="009E4943" w:rsidP="009E4943">
      <w:pPr>
        <w:pStyle w:val="ListParagraph"/>
        <w:rPr>
          <w:rFonts w:cstheme="minorHAnsi"/>
          <w:sz w:val="22"/>
          <w:szCs w:val="22"/>
          <w:lang w:val="mi-NZ"/>
        </w:rPr>
      </w:pPr>
    </w:p>
    <w:p w14:paraId="7EDF1171" w14:textId="77777777" w:rsidR="009E4943" w:rsidRPr="009E4943" w:rsidRDefault="009E4943" w:rsidP="009E4943">
      <w:pPr>
        <w:pStyle w:val="Heading2"/>
      </w:pPr>
      <w:bookmarkStart w:id="28" w:name="_Toc111485453"/>
      <w:r w:rsidRPr="009E4943">
        <w:t>Complaints processes</w:t>
      </w:r>
      <w:bookmarkEnd w:id="28"/>
    </w:p>
    <w:p w14:paraId="69223F0A" w14:textId="77777777" w:rsidR="009E4943" w:rsidRPr="009E4943" w:rsidRDefault="009E4943" w:rsidP="009E4943">
      <w:pPr>
        <w:rPr>
          <w:rFonts w:cstheme="minorHAnsi"/>
          <w:sz w:val="22"/>
          <w:szCs w:val="22"/>
          <w:lang w:val="mi-NZ"/>
        </w:rPr>
      </w:pPr>
    </w:p>
    <w:p w14:paraId="30EA3E5C" w14:textId="7A0308E4" w:rsidR="00DA492C" w:rsidRPr="00DA492C" w:rsidRDefault="00DA492C" w:rsidP="00DA492C">
      <w:pPr>
        <w:pStyle w:val="ListParagraph"/>
        <w:numPr>
          <w:ilvl w:val="0"/>
          <w:numId w:val="9"/>
        </w:numPr>
        <w:ind w:hanging="720"/>
        <w:rPr>
          <w:rFonts w:cstheme="minorHAnsi"/>
          <w:sz w:val="22"/>
          <w:szCs w:val="22"/>
          <w:lang w:val="en-NZ"/>
        </w:rPr>
      </w:pPr>
      <w:r w:rsidRPr="00DA492C">
        <w:rPr>
          <w:rFonts w:cstheme="minorHAnsi"/>
          <w:sz w:val="22"/>
          <w:szCs w:val="22"/>
          <w:lang w:val="en-NZ"/>
        </w:rPr>
        <w:t>Under the Oversight Bill 2021, the Children’s Commissioner will no longer have statutory functions to:</w:t>
      </w:r>
    </w:p>
    <w:p w14:paraId="25672A89" w14:textId="77777777" w:rsidR="00DA492C" w:rsidRPr="00DA492C" w:rsidRDefault="00DA492C" w:rsidP="00916EA3">
      <w:pPr>
        <w:pStyle w:val="ListParagraph"/>
        <w:numPr>
          <w:ilvl w:val="0"/>
          <w:numId w:val="17"/>
        </w:numPr>
        <w:rPr>
          <w:rFonts w:cstheme="minorHAnsi"/>
          <w:sz w:val="22"/>
          <w:szCs w:val="22"/>
          <w:lang w:val="en-NZ"/>
        </w:rPr>
      </w:pPr>
      <w:r w:rsidRPr="00DA492C">
        <w:rPr>
          <w:rFonts w:cstheme="minorHAnsi"/>
          <w:sz w:val="22"/>
          <w:szCs w:val="22"/>
          <w:lang w:val="en-NZ"/>
        </w:rPr>
        <w:t>Investigate any decision or recommendation made, or any act done or omitted, in respect of any child in that child’s personal capacity.</w:t>
      </w:r>
    </w:p>
    <w:p w14:paraId="01D79ED1" w14:textId="77777777" w:rsidR="00DA492C" w:rsidRPr="00DA492C" w:rsidRDefault="00DA492C" w:rsidP="00916EA3">
      <w:pPr>
        <w:pStyle w:val="ListParagraph"/>
        <w:numPr>
          <w:ilvl w:val="0"/>
          <w:numId w:val="17"/>
        </w:numPr>
        <w:rPr>
          <w:rFonts w:cstheme="minorHAnsi"/>
          <w:sz w:val="22"/>
          <w:szCs w:val="22"/>
          <w:lang w:val="en-NZ"/>
        </w:rPr>
      </w:pPr>
      <w:r w:rsidRPr="00DA492C">
        <w:rPr>
          <w:rFonts w:cstheme="minorHAnsi"/>
          <w:sz w:val="22"/>
          <w:szCs w:val="22"/>
          <w:lang w:val="en-NZ"/>
        </w:rPr>
        <w:lastRenderedPageBreak/>
        <w:t xml:space="preserve">Investigate any decision or recommendation made, or any act done or omitted, in respect of any child in that child’s personal capacity in relation to the </w:t>
      </w:r>
      <w:r w:rsidRPr="00DA492C">
        <w:rPr>
          <w:rFonts w:cstheme="minorHAnsi"/>
          <w:sz w:val="22"/>
          <w:szCs w:val="22"/>
          <w:lang w:val="mi-NZ"/>
        </w:rPr>
        <w:t>Oranga Tamariki Act</w:t>
      </w:r>
      <w:r w:rsidRPr="00DA492C">
        <w:rPr>
          <w:rFonts w:cstheme="minorHAnsi"/>
          <w:sz w:val="22"/>
          <w:szCs w:val="22"/>
          <w:lang w:val="en-NZ"/>
        </w:rPr>
        <w:t xml:space="preserve"> 1989.</w:t>
      </w:r>
    </w:p>
    <w:p w14:paraId="47F4719F" w14:textId="4A6865C0" w:rsidR="00DA492C" w:rsidRDefault="00DA492C" w:rsidP="00916EA3">
      <w:pPr>
        <w:pStyle w:val="ListParagraph"/>
        <w:numPr>
          <w:ilvl w:val="0"/>
          <w:numId w:val="17"/>
        </w:numPr>
        <w:rPr>
          <w:rFonts w:cstheme="minorHAnsi"/>
          <w:sz w:val="22"/>
          <w:szCs w:val="22"/>
          <w:lang w:val="en-NZ"/>
        </w:rPr>
      </w:pPr>
      <w:r w:rsidRPr="00DA492C">
        <w:rPr>
          <w:rFonts w:cstheme="minorHAnsi"/>
          <w:sz w:val="22"/>
          <w:szCs w:val="22"/>
          <w:lang w:val="en-NZ"/>
        </w:rPr>
        <w:t>Promote the establishment of accessible and effective complaints mechanisms for children and to monitor the nature and level of complaints.</w:t>
      </w:r>
    </w:p>
    <w:p w14:paraId="221446C7" w14:textId="77777777" w:rsidR="00DA492C" w:rsidRPr="00DA492C" w:rsidRDefault="00DA492C" w:rsidP="00DA492C">
      <w:pPr>
        <w:pStyle w:val="ListParagraph"/>
        <w:rPr>
          <w:rFonts w:cstheme="minorHAnsi"/>
          <w:sz w:val="22"/>
          <w:szCs w:val="22"/>
          <w:lang w:val="en-NZ"/>
        </w:rPr>
      </w:pPr>
    </w:p>
    <w:p w14:paraId="07B7B55D" w14:textId="77777777" w:rsidR="00DA492C" w:rsidRPr="00DA492C" w:rsidRDefault="00DA492C" w:rsidP="00DA492C">
      <w:pPr>
        <w:pStyle w:val="ListParagraph"/>
        <w:numPr>
          <w:ilvl w:val="0"/>
          <w:numId w:val="9"/>
        </w:numPr>
        <w:ind w:hanging="720"/>
        <w:rPr>
          <w:rFonts w:cstheme="minorHAnsi"/>
          <w:sz w:val="22"/>
          <w:szCs w:val="22"/>
        </w:rPr>
      </w:pPr>
      <w:r w:rsidRPr="00DA492C">
        <w:rPr>
          <w:rFonts w:cstheme="minorHAnsi"/>
          <w:sz w:val="22"/>
          <w:szCs w:val="22"/>
        </w:rPr>
        <w:t>The Oversight Bill is inconsistent with children’s participation rights</w:t>
      </w:r>
      <w:r w:rsidRPr="00DA492C">
        <w:rPr>
          <w:rFonts w:cstheme="minorHAnsi"/>
          <w:sz w:val="22"/>
          <w:szCs w:val="22"/>
          <w:vertAlign w:val="superscript"/>
        </w:rPr>
        <w:footnoteReference w:id="192"/>
      </w:r>
      <w:r w:rsidRPr="00DA492C">
        <w:rPr>
          <w:rFonts w:cstheme="minorHAnsi"/>
          <w:sz w:val="22"/>
          <w:szCs w:val="22"/>
        </w:rPr>
        <w:t xml:space="preserve"> </w:t>
      </w:r>
      <w:r w:rsidRPr="00DA492C">
        <w:rPr>
          <w:rFonts w:cstheme="minorHAnsi"/>
          <w:sz w:val="22"/>
          <w:szCs w:val="22"/>
          <w:vertAlign w:val="superscript"/>
        </w:rPr>
        <w:footnoteReference w:id="193"/>
      </w:r>
      <w:r w:rsidRPr="00DA492C">
        <w:rPr>
          <w:rFonts w:cstheme="minorHAnsi"/>
          <w:sz w:val="22"/>
          <w:szCs w:val="22"/>
        </w:rPr>
        <w:t xml:space="preserve"> </w:t>
      </w:r>
    </w:p>
    <w:p w14:paraId="2DB557AD" w14:textId="77777777" w:rsidR="00DA492C" w:rsidRPr="00DA492C" w:rsidRDefault="00DA492C" w:rsidP="00DA492C">
      <w:pPr>
        <w:pStyle w:val="ListParagraph"/>
        <w:rPr>
          <w:rFonts w:cstheme="minorHAnsi"/>
          <w:sz w:val="22"/>
          <w:szCs w:val="22"/>
          <w:lang w:val="mi-NZ"/>
        </w:rPr>
      </w:pPr>
    </w:p>
    <w:p w14:paraId="20F145BE" w14:textId="6A0121E7" w:rsidR="00DA492C" w:rsidRPr="00DA492C" w:rsidRDefault="00DA492C" w:rsidP="00DA492C">
      <w:pPr>
        <w:pStyle w:val="ListParagraph"/>
        <w:numPr>
          <w:ilvl w:val="0"/>
          <w:numId w:val="9"/>
        </w:numPr>
        <w:ind w:hanging="720"/>
        <w:rPr>
          <w:rFonts w:cstheme="minorHAnsi"/>
          <w:sz w:val="22"/>
          <w:szCs w:val="22"/>
          <w:lang w:val="mi-NZ"/>
        </w:rPr>
      </w:pPr>
      <w:r w:rsidRPr="00DA492C">
        <w:rPr>
          <w:rFonts w:cstheme="minorHAnsi"/>
          <w:sz w:val="22"/>
          <w:szCs w:val="22"/>
          <w:lang w:val="mi-NZ"/>
        </w:rPr>
        <w:t>Although the Education and Training Act 2020</w:t>
      </w:r>
      <w:r w:rsidR="003259B9">
        <w:rPr>
          <w:rFonts w:cstheme="minorHAnsi"/>
          <w:sz w:val="22"/>
          <w:szCs w:val="22"/>
          <w:lang w:val="mi-NZ"/>
        </w:rPr>
        <w:t xml:space="preserve"> enables the creation of </w:t>
      </w:r>
      <w:r w:rsidRPr="00DA492C">
        <w:rPr>
          <w:rFonts w:cstheme="minorHAnsi"/>
          <w:sz w:val="22"/>
          <w:szCs w:val="22"/>
          <w:lang w:val="mi-NZ"/>
        </w:rPr>
        <w:t>dispute resolution panels</w:t>
      </w:r>
      <w:r w:rsidR="003259B9">
        <w:rPr>
          <w:rFonts w:cstheme="minorHAnsi"/>
          <w:sz w:val="22"/>
          <w:szCs w:val="22"/>
          <w:lang w:val="mi-NZ"/>
        </w:rPr>
        <w:t>, no funding has been allocated and a date for establishing teh panels has not been set</w:t>
      </w:r>
      <w:r w:rsidRPr="00DA492C">
        <w:rPr>
          <w:rFonts w:cstheme="minorHAnsi"/>
          <w:sz w:val="22"/>
          <w:szCs w:val="22"/>
          <w:lang w:val="mi-NZ"/>
        </w:rPr>
        <w:t>.</w:t>
      </w:r>
      <w:r w:rsidRPr="00DA492C">
        <w:rPr>
          <w:rFonts w:cstheme="minorHAnsi"/>
          <w:sz w:val="22"/>
          <w:szCs w:val="22"/>
          <w:vertAlign w:val="superscript"/>
          <w:lang w:val="mi-NZ"/>
        </w:rPr>
        <w:footnoteReference w:id="194"/>
      </w:r>
    </w:p>
    <w:p w14:paraId="6F3A06A2" w14:textId="77777777" w:rsidR="00DA492C" w:rsidRPr="00DA492C" w:rsidRDefault="00DA492C" w:rsidP="00DA492C">
      <w:pPr>
        <w:pStyle w:val="ListParagraph"/>
        <w:rPr>
          <w:rFonts w:cstheme="minorHAnsi"/>
          <w:sz w:val="22"/>
          <w:szCs w:val="22"/>
          <w:lang w:val="en-NZ"/>
        </w:rPr>
      </w:pPr>
    </w:p>
    <w:p w14:paraId="256B475A" w14:textId="0BB71E2E" w:rsidR="00BC4E04" w:rsidRPr="00F240E3" w:rsidRDefault="00DA492C" w:rsidP="00F240E3">
      <w:pPr>
        <w:pStyle w:val="ListParagraph"/>
        <w:numPr>
          <w:ilvl w:val="0"/>
          <w:numId w:val="9"/>
        </w:numPr>
        <w:ind w:hanging="720"/>
        <w:rPr>
          <w:rFonts w:cstheme="minorHAnsi"/>
          <w:sz w:val="22"/>
          <w:szCs w:val="22"/>
          <w:lang w:val="en-NZ"/>
        </w:rPr>
      </w:pPr>
      <w:r w:rsidRPr="00DA492C">
        <w:rPr>
          <w:rFonts w:cstheme="minorHAnsi"/>
          <w:sz w:val="22"/>
          <w:szCs w:val="22"/>
          <w:lang w:val="en-NZ"/>
        </w:rPr>
        <w:t>Government has declared a climate emergency. With reference to General Comment No. 12, we urge the Government to establish mechanisms to enable the ongoing participation of children in efforts to address the climate and environmental crisis.</w:t>
      </w:r>
      <w:r w:rsidRPr="00DA492C">
        <w:rPr>
          <w:rFonts w:cstheme="minorHAnsi"/>
          <w:sz w:val="22"/>
          <w:szCs w:val="22"/>
          <w:vertAlign w:val="superscript"/>
          <w:lang w:val="en-NZ"/>
        </w:rPr>
        <w:footnoteReference w:id="195"/>
      </w:r>
      <w:r w:rsidRPr="00DA492C">
        <w:rPr>
          <w:rFonts w:cstheme="minorHAnsi"/>
          <w:sz w:val="22"/>
          <w:szCs w:val="22"/>
          <w:lang w:val="en-NZ"/>
        </w:rPr>
        <w:t xml:space="preserve"> </w:t>
      </w:r>
      <w:r w:rsidRPr="00DA492C">
        <w:rPr>
          <w:rFonts w:cstheme="minorHAnsi"/>
          <w:sz w:val="22"/>
          <w:szCs w:val="22"/>
          <w:vertAlign w:val="superscript"/>
          <w:lang w:val="en-NZ"/>
        </w:rPr>
        <w:footnoteReference w:id="196"/>
      </w:r>
    </w:p>
    <w:p w14:paraId="232CB55A" w14:textId="7D078AF8" w:rsidR="00DA492C" w:rsidRPr="00DA492C" w:rsidRDefault="00DA492C" w:rsidP="00DA492C">
      <w:pPr>
        <w:pStyle w:val="IntenseQuote"/>
        <w:ind w:left="720"/>
        <w:jc w:val="left"/>
        <w:rPr>
          <w:b/>
          <w:bCs/>
          <w:i w:val="0"/>
          <w:iCs w:val="0"/>
          <w:sz w:val="24"/>
          <w:szCs w:val="24"/>
          <w:lang w:val="mi-NZ"/>
        </w:rPr>
      </w:pPr>
      <w:r w:rsidRPr="00DA492C">
        <w:rPr>
          <w:b/>
          <w:bCs/>
          <w:i w:val="0"/>
          <w:iCs w:val="0"/>
          <w:sz w:val="24"/>
          <w:szCs w:val="24"/>
          <w:lang w:val="mi-NZ"/>
        </w:rPr>
        <w:t>Recommendations</w:t>
      </w:r>
    </w:p>
    <w:p w14:paraId="0536076E" w14:textId="79C6827E" w:rsidR="00DA492C" w:rsidRPr="00DA492C" w:rsidRDefault="00DA492C" w:rsidP="00916EA3">
      <w:pPr>
        <w:pStyle w:val="IntenseQuote"/>
        <w:numPr>
          <w:ilvl w:val="0"/>
          <w:numId w:val="11"/>
        </w:numPr>
        <w:jc w:val="left"/>
        <w:rPr>
          <w:i w:val="0"/>
          <w:iCs w:val="0"/>
          <w:sz w:val="22"/>
          <w:szCs w:val="22"/>
          <w:lang w:val="mi-NZ"/>
        </w:rPr>
      </w:pPr>
      <w:bookmarkStart w:id="29" w:name="_Hlk111479229"/>
      <w:r w:rsidRPr="00DA492C">
        <w:rPr>
          <w:i w:val="0"/>
          <w:iCs w:val="0"/>
          <w:sz w:val="22"/>
          <w:szCs w:val="22"/>
          <w:lang w:val="mi-NZ"/>
        </w:rPr>
        <w:t>Enable and resource meaningful child participation in government processes and practices, including in the development of laws and policies; when children share their views, listen</w:t>
      </w:r>
      <w:r w:rsidR="003C1858">
        <w:rPr>
          <w:i w:val="0"/>
          <w:iCs w:val="0"/>
          <w:sz w:val="22"/>
          <w:szCs w:val="22"/>
          <w:lang w:val="mi-NZ"/>
        </w:rPr>
        <w:t xml:space="preserve"> and </w:t>
      </w:r>
      <w:r w:rsidR="00CE7AA2">
        <w:rPr>
          <w:i w:val="0"/>
          <w:iCs w:val="0"/>
          <w:sz w:val="22"/>
          <w:szCs w:val="22"/>
          <w:lang w:val="mi-NZ"/>
        </w:rPr>
        <w:t>implement active feedback loops</w:t>
      </w:r>
      <w:r w:rsidRPr="00DA492C">
        <w:rPr>
          <w:i w:val="0"/>
          <w:iCs w:val="0"/>
          <w:sz w:val="22"/>
          <w:szCs w:val="22"/>
          <w:lang w:val="mi-NZ"/>
        </w:rPr>
        <w:t>.</w:t>
      </w:r>
    </w:p>
    <w:bookmarkEnd w:id="29"/>
    <w:p w14:paraId="04C7B040" w14:textId="77777777" w:rsidR="00DA492C" w:rsidRPr="00DA492C" w:rsidRDefault="00DA492C" w:rsidP="00916EA3">
      <w:pPr>
        <w:pStyle w:val="IntenseQuote"/>
        <w:numPr>
          <w:ilvl w:val="0"/>
          <w:numId w:val="11"/>
        </w:numPr>
        <w:jc w:val="left"/>
        <w:rPr>
          <w:i w:val="0"/>
          <w:iCs w:val="0"/>
          <w:sz w:val="22"/>
          <w:szCs w:val="22"/>
          <w:lang w:val="mi-NZ"/>
        </w:rPr>
      </w:pPr>
      <w:r w:rsidRPr="00DA492C">
        <w:rPr>
          <w:i w:val="0"/>
          <w:iCs w:val="0"/>
          <w:sz w:val="22"/>
          <w:szCs w:val="22"/>
          <w:lang w:val="mi-NZ"/>
        </w:rPr>
        <w:lastRenderedPageBreak/>
        <w:t>With children, develop and disseminate guidance and training to support and give effect to children’s participation rights.</w:t>
      </w:r>
    </w:p>
    <w:p w14:paraId="7BC13DF2" w14:textId="77777777" w:rsidR="00DA492C" w:rsidRPr="00DA492C" w:rsidRDefault="00DA492C" w:rsidP="00916EA3">
      <w:pPr>
        <w:pStyle w:val="IntenseQuote"/>
        <w:numPr>
          <w:ilvl w:val="0"/>
          <w:numId w:val="11"/>
        </w:numPr>
        <w:jc w:val="left"/>
        <w:rPr>
          <w:i w:val="0"/>
          <w:iCs w:val="0"/>
          <w:sz w:val="22"/>
          <w:szCs w:val="22"/>
          <w:lang w:val="mi-NZ"/>
        </w:rPr>
      </w:pPr>
      <w:r w:rsidRPr="00DA492C">
        <w:rPr>
          <w:i w:val="0"/>
          <w:iCs w:val="0"/>
          <w:sz w:val="22"/>
          <w:szCs w:val="22"/>
          <w:lang w:val="mi-NZ"/>
        </w:rPr>
        <w:t>Ensure all children have access to child-friendly processes for raising concerns and complaints when they need to.</w:t>
      </w:r>
    </w:p>
    <w:p w14:paraId="3F725DAE" w14:textId="77777777" w:rsidR="00DA492C" w:rsidRPr="00DA492C" w:rsidRDefault="00DA492C" w:rsidP="00916EA3">
      <w:pPr>
        <w:pStyle w:val="IntenseQuote"/>
        <w:numPr>
          <w:ilvl w:val="0"/>
          <w:numId w:val="11"/>
        </w:numPr>
        <w:jc w:val="left"/>
        <w:rPr>
          <w:i w:val="0"/>
          <w:iCs w:val="0"/>
          <w:sz w:val="22"/>
          <w:szCs w:val="22"/>
          <w:lang w:val="mi-NZ"/>
        </w:rPr>
      </w:pPr>
      <w:r w:rsidRPr="00DA492C">
        <w:rPr>
          <w:i w:val="0"/>
          <w:iCs w:val="0"/>
          <w:sz w:val="22"/>
          <w:szCs w:val="22"/>
          <w:lang w:val="mi-NZ"/>
        </w:rPr>
        <w:t>Review, as soon as possible, any changes made by the Oversight Bill 2021 to ensure they uphold children's participation rights.</w:t>
      </w:r>
    </w:p>
    <w:p w14:paraId="2180C44A" w14:textId="596BE176" w:rsidR="00DA492C" w:rsidRPr="00DA492C" w:rsidRDefault="003259B9" w:rsidP="00916EA3">
      <w:pPr>
        <w:pStyle w:val="IntenseQuote"/>
        <w:numPr>
          <w:ilvl w:val="0"/>
          <w:numId w:val="11"/>
        </w:numPr>
        <w:jc w:val="left"/>
        <w:rPr>
          <w:i w:val="0"/>
          <w:iCs w:val="0"/>
          <w:sz w:val="22"/>
          <w:szCs w:val="22"/>
          <w:lang w:val="mi-NZ"/>
        </w:rPr>
      </w:pPr>
      <w:r>
        <w:rPr>
          <w:i w:val="0"/>
          <w:iCs w:val="0"/>
          <w:sz w:val="22"/>
          <w:szCs w:val="22"/>
          <w:lang w:val="mi-NZ"/>
        </w:rPr>
        <w:t>Resource</w:t>
      </w:r>
      <w:r w:rsidR="00DA492C" w:rsidRPr="00DA492C">
        <w:rPr>
          <w:i w:val="0"/>
          <w:iCs w:val="0"/>
          <w:sz w:val="22"/>
          <w:szCs w:val="22"/>
          <w:lang w:val="mi-NZ"/>
        </w:rPr>
        <w:t xml:space="preserve"> and </w:t>
      </w:r>
      <w:r>
        <w:rPr>
          <w:i w:val="0"/>
          <w:iCs w:val="0"/>
          <w:sz w:val="22"/>
          <w:szCs w:val="22"/>
          <w:lang w:val="mi-NZ"/>
        </w:rPr>
        <w:t>establish</w:t>
      </w:r>
      <w:r w:rsidR="00DA492C" w:rsidRPr="00DA492C">
        <w:rPr>
          <w:i w:val="0"/>
          <w:iCs w:val="0"/>
          <w:sz w:val="22"/>
          <w:szCs w:val="22"/>
          <w:lang w:val="mi-NZ"/>
        </w:rPr>
        <w:t xml:space="preserve"> dispute tribunals as provided for under the Education and Training Act 2020.</w:t>
      </w:r>
    </w:p>
    <w:p w14:paraId="63F709D2" w14:textId="5DD3F8AB" w:rsidR="00DA492C" w:rsidRPr="00DA492C" w:rsidRDefault="00DA492C" w:rsidP="00916EA3">
      <w:pPr>
        <w:pStyle w:val="IntenseQuote"/>
        <w:numPr>
          <w:ilvl w:val="0"/>
          <w:numId w:val="11"/>
        </w:numPr>
        <w:jc w:val="left"/>
        <w:rPr>
          <w:i w:val="0"/>
          <w:iCs w:val="0"/>
          <w:sz w:val="22"/>
          <w:szCs w:val="22"/>
          <w:lang w:val="mi-NZ"/>
        </w:rPr>
      </w:pPr>
      <w:r w:rsidRPr="00DA492C">
        <w:rPr>
          <w:i w:val="0"/>
          <w:iCs w:val="0"/>
          <w:sz w:val="22"/>
          <w:szCs w:val="22"/>
          <w:lang w:val="mi-NZ"/>
        </w:rPr>
        <w:t xml:space="preserve">Recognise children as key stakeholders and support their active participation in emergency situations, including climate change adaptation and mitigation; specifically include children in the </w:t>
      </w:r>
      <w:r>
        <w:rPr>
          <w:i w:val="0"/>
          <w:iCs w:val="0"/>
          <w:sz w:val="22"/>
          <w:szCs w:val="22"/>
          <w:lang w:val="mi-NZ"/>
        </w:rPr>
        <w:t>Emissions</w:t>
      </w:r>
      <w:r w:rsidRPr="00DA492C">
        <w:rPr>
          <w:i w:val="0"/>
          <w:iCs w:val="0"/>
          <w:sz w:val="22"/>
          <w:szCs w:val="22"/>
          <w:lang w:val="mi-NZ"/>
        </w:rPr>
        <w:t xml:space="preserve"> Reduction Plan.</w:t>
      </w:r>
      <w:r w:rsidRPr="00DA492C">
        <w:rPr>
          <w:rFonts w:cstheme="minorHAnsi"/>
          <w:i w:val="0"/>
          <w:iCs w:val="0"/>
          <w:color w:val="00AE6D" w:themeColor="accent6"/>
          <w:sz w:val="22"/>
          <w:szCs w:val="22"/>
          <w:vertAlign w:val="superscript"/>
          <w:lang w:val="mi-NZ"/>
        </w:rPr>
        <w:footnoteReference w:id="197"/>
      </w:r>
    </w:p>
    <w:p w14:paraId="4E5A1433" w14:textId="77777777" w:rsidR="00824550" w:rsidRPr="00824550" w:rsidRDefault="00824550" w:rsidP="00824550">
      <w:pPr>
        <w:pStyle w:val="Heading1"/>
      </w:pPr>
      <w:bookmarkStart w:id="30" w:name="_Toc111485454"/>
      <w:r w:rsidRPr="00824550">
        <w:t>Civil Rights and Freedoms – LOIPR 13-15</w:t>
      </w:r>
      <w:bookmarkEnd w:id="30"/>
    </w:p>
    <w:p w14:paraId="201F4B06" w14:textId="77777777" w:rsidR="00DA492C" w:rsidRPr="00DA492C" w:rsidRDefault="00DA492C" w:rsidP="00DA492C">
      <w:pPr>
        <w:rPr>
          <w:rFonts w:cstheme="minorHAnsi"/>
          <w:sz w:val="22"/>
          <w:szCs w:val="22"/>
          <w:lang w:val="en-NZ"/>
        </w:rPr>
      </w:pPr>
    </w:p>
    <w:p w14:paraId="66286501" w14:textId="23C78EFB" w:rsidR="00824550" w:rsidRDefault="00824550" w:rsidP="00824550">
      <w:pPr>
        <w:pStyle w:val="ListParagraph"/>
        <w:numPr>
          <w:ilvl w:val="0"/>
          <w:numId w:val="9"/>
        </w:numPr>
        <w:ind w:hanging="720"/>
        <w:rPr>
          <w:rFonts w:cstheme="minorHAnsi"/>
          <w:sz w:val="22"/>
          <w:szCs w:val="22"/>
          <w:lang w:val="en-NZ"/>
        </w:rPr>
      </w:pPr>
      <w:r w:rsidRPr="00824550">
        <w:rPr>
          <w:rFonts w:cstheme="minorHAnsi"/>
          <w:sz w:val="22"/>
          <w:szCs w:val="22"/>
          <w:lang w:val="en-NZ"/>
        </w:rPr>
        <w:t xml:space="preserve">Greater consideration needs to be given to children’s civil rights and freedoms, particularly the rights of </w:t>
      </w:r>
      <w:proofErr w:type="spellStart"/>
      <w:r w:rsidRPr="00824550">
        <w:rPr>
          <w:rFonts w:cstheme="minorHAnsi"/>
          <w:sz w:val="22"/>
          <w:szCs w:val="22"/>
          <w:lang w:val="en-NZ"/>
        </w:rPr>
        <w:t>tamariki</w:t>
      </w:r>
      <w:proofErr w:type="spellEnd"/>
      <w:r w:rsidRPr="00824550">
        <w:rPr>
          <w:rFonts w:cstheme="minorHAnsi"/>
          <w:sz w:val="22"/>
          <w:szCs w:val="22"/>
          <w:lang w:val="en-NZ"/>
        </w:rPr>
        <w:t xml:space="preserve"> Māori to preserve both their individual and collective identity and maintain their links with </w:t>
      </w:r>
      <w:proofErr w:type="spellStart"/>
      <w:r w:rsidRPr="00824550">
        <w:rPr>
          <w:rFonts w:cstheme="minorHAnsi"/>
          <w:sz w:val="22"/>
          <w:szCs w:val="22"/>
          <w:lang w:val="en-NZ"/>
        </w:rPr>
        <w:t>whānau</w:t>
      </w:r>
      <w:proofErr w:type="spellEnd"/>
      <w:r w:rsidRPr="00824550">
        <w:rPr>
          <w:rFonts w:cstheme="minorHAnsi"/>
          <w:sz w:val="22"/>
          <w:szCs w:val="22"/>
          <w:lang w:val="en-NZ"/>
        </w:rPr>
        <w:t xml:space="preserve"> and culture.</w:t>
      </w:r>
    </w:p>
    <w:p w14:paraId="39C4EBD5" w14:textId="77777777" w:rsidR="00824550" w:rsidRDefault="00824550" w:rsidP="00824550">
      <w:pPr>
        <w:pStyle w:val="ListParagraph"/>
        <w:rPr>
          <w:rFonts w:cstheme="minorHAnsi"/>
          <w:sz w:val="22"/>
          <w:szCs w:val="22"/>
          <w:lang w:val="en-NZ"/>
        </w:rPr>
      </w:pPr>
    </w:p>
    <w:p w14:paraId="4C529784" w14:textId="77777777" w:rsidR="00824550" w:rsidRPr="00824550" w:rsidRDefault="00824550" w:rsidP="00824550">
      <w:pPr>
        <w:pStyle w:val="Heading2"/>
        <w:rPr>
          <w:lang w:val="en-NZ"/>
        </w:rPr>
      </w:pPr>
      <w:bookmarkStart w:id="31" w:name="_Toc111485455"/>
      <w:r w:rsidRPr="00824550">
        <w:rPr>
          <w:lang w:val="en-NZ"/>
        </w:rPr>
        <w:t>Identity</w:t>
      </w:r>
      <w:bookmarkEnd w:id="31"/>
    </w:p>
    <w:p w14:paraId="178B7A79" w14:textId="77777777" w:rsidR="00824550" w:rsidRPr="00824550" w:rsidRDefault="00824550" w:rsidP="00824550">
      <w:pPr>
        <w:rPr>
          <w:rFonts w:cstheme="minorHAnsi"/>
          <w:sz w:val="22"/>
          <w:szCs w:val="22"/>
          <w:lang w:val="en-NZ"/>
        </w:rPr>
      </w:pPr>
    </w:p>
    <w:p w14:paraId="267C085E" w14:textId="52980A24" w:rsidR="00824550" w:rsidRDefault="00824550" w:rsidP="00824550">
      <w:pPr>
        <w:pStyle w:val="Heading3"/>
        <w:rPr>
          <w:lang w:val="en-NZ"/>
        </w:rPr>
      </w:pPr>
      <w:r w:rsidRPr="00824550">
        <w:rPr>
          <w:lang w:val="en-NZ"/>
        </w:rPr>
        <w:t xml:space="preserve">Whakapapa and the collective rights of </w:t>
      </w:r>
      <w:proofErr w:type="spellStart"/>
      <w:r w:rsidRPr="00824550">
        <w:rPr>
          <w:lang w:val="en-NZ"/>
        </w:rPr>
        <w:t>tamariki</w:t>
      </w:r>
      <w:proofErr w:type="spellEnd"/>
      <w:r w:rsidRPr="00824550">
        <w:rPr>
          <w:lang w:val="en-NZ"/>
        </w:rPr>
        <w:t xml:space="preserve"> Māori</w:t>
      </w:r>
    </w:p>
    <w:p w14:paraId="2DC9F706" w14:textId="77777777" w:rsidR="00824550" w:rsidRPr="00824550" w:rsidRDefault="00824550" w:rsidP="00824550">
      <w:pPr>
        <w:rPr>
          <w:lang w:val="en-NZ"/>
        </w:rPr>
      </w:pPr>
    </w:p>
    <w:p w14:paraId="03BCD18A" w14:textId="14780CBA" w:rsidR="00824550" w:rsidRPr="00824550" w:rsidRDefault="00824550" w:rsidP="00824550">
      <w:pPr>
        <w:pStyle w:val="ListParagraph"/>
        <w:numPr>
          <w:ilvl w:val="0"/>
          <w:numId w:val="9"/>
        </w:numPr>
        <w:ind w:hanging="720"/>
        <w:rPr>
          <w:rFonts w:cstheme="minorHAnsi"/>
          <w:sz w:val="22"/>
          <w:szCs w:val="22"/>
          <w:lang w:val="en-NZ"/>
        </w:rPr>
      </w:pPr>
      <w:r w:rsidRPr="00824550">
        <w:rPr>
          <w:rFonts w:cstheme="minorHAnsi"/>
          <w:sz w:val="22"/>
          <w:szCs w:val="22"/>
          <w:lang w:val="en-NZ"/>
        </w:rPr>
        <w:t xml:space="preserve">The identity rights of </w:t>
      </w:r>
      <w:proofErr w:type="spellStart"/>
      <w:r w:rsidRPr="00824550">
        <w:rPr>
          <w:rFonts w:cstheme="minorHAnsi"/>
          <w:sz w:val="22"/>
          <w:szCs w:val="22"/>
          <w:lang w:val="en-NZ"/>
        </w:rPr>
        <w:t>tamariki</w:t>
      </w:r>
      <w:proofErr w:type="spellEnd"/>
      <w:r w:rsidRPr="00824550">
        <w:rPr>
          <w:rFonts w:cstheme="minorHAnsi"/>
          <w:sz w:val="22"/>
          <w:szCs w:val="22"/>
          <w:lang w:val="en-NZ"/>
        </w:rPr>
        <w:t xml:space="preserve"> Māori have a strong collective dimension and are inextricably linked to their right to culture. </w:t>
      </w:r>
    </w:p>
    <w:p w14:paraId="7DBF4A09" w14:textId="77777777" w:rsidR="00824550" w:rsidRPr="00824550" w:rsidRDefault="00824550" w:rsidP="00824550">
      <w:pPr>
        <w:pStyle w:val="ListParagraph"/>
        <w:rPr>
          <w:rFonts w:cstheme="minorHAnsi"/>
          <w:sz w:val="22"/>
          <w:szCs w:val="22"/>
          <w:lang w:val="en-NZ"/>
        </w:rPr>
      </w:pPr>
    </w:p>
    <w:p w14:paraId="2E88303C" w14:textId="77777777" w:rsidR="00824550" w:rsidRPr="00824550" w:rsidRDefault="00824550" w:rsidP="00824550">
      <w:pPr>
        <w:pStyle w:val="ListParagraph"/>
        <w:numPr>
          <w:ilvl w:val="0"/>
          <w:numId w:val="9"/>
        </w:numPr>
        <w:ind w:hanging="720"/>
        <w:rPr>
          <w:rFonts w:cstheme="minorHAnsi"/>
          <w:sz w:val="22"/>
          <w:szCs w:val="22"/>
          <w:lang w:val="en-NZ"/>
        </w:rPr>
      </w:pPr>
      <w:r w:rsidRPr="00824550">
        <w:rPr>
          <w:rFonts w:cstheme="minorHAnsi"/>
          <w:sz w:val="22"/>
          <w:szCs w:val="22"/>
          <w:lang w:val="en-NZ"/>
        </w:rPr>
        <w:t xml:space="preserve">Tamariki Māori have a central role in Māori culture. They are seen to be the ‘binding rope that ties people together over time’ and the genealogical link that enhances family relationships. To Māori, children are a living connection to the family – past, present and future – a living embodiment of ancestors, and a link in descent lines stretching from the beginning of time into the </w:t>
      </w:r>
      <w:r w:rsidRPr="00824550">
        <w:rPr>
          <w:rFonts w:cstheme="minorHAnsi"/>
          <w:sz w:val="22"/>
          <w:szCs w:val="22"/>
          <w:lang w:val="en-NZ"/>
        </w:rPr>
        <w:lastRenderedPageBreak/>
        <w:t>future.</w:t>
      </w:r>
      <w:r w:rsidRPr="00824550">
        <w:rPr>
          <w:rFonts w:cstheme="minorHAnsi"/>
          <w:sz w:val="22"/>
          <w:szCs w:val="22"/>
          <w:vertAlign w:val="superscript"/>
          <w:lang w:val="en-NZ"/>
        </w:rPr>
        <w:footnoteReference w:id="198"/>
      </w:r>
      <w:r w:rsidRPr="00824550">
        <w:rPr>
          <w:rFonts w:cstheme="minorHAnsi"/>
          <w:sz w:val="22"/>
          <w:szCs w:val="22"/>
          <w:lang w:val="en-NZ"/>
        </w:rPr>
        <w:t xml:space="preserve"> As is the same for other Indigenous peoples, </w:t>
      </w:r>
      <w:proofErr w:type="spellStart"/>
      <w:r w:rsidRPr="00824550">
        <w:rPr>
          <w:rFonts w:cstheme="minorHAnsi"/>
          <w:sz w:val="22"/>
          <w:szCs w:val="22"/>
          <w:lang w:val="en-NZ"/>
        </w:rPr>
        <w:t>tamariki</w:t>
      </w:r>
      <w:proofErr w:type="spellEnd"/>
      <w:r w:rsidRPr="00824550">
        <w:rPr>
          <w:rFonts w:cstheme="minorHAnsi"/>
          <w:sz w:val="22"/>
          <w:szCs w:val="22"/>
          <w:lang w:val="en-NZ"/>
        </w:rPr>
        <w:t xml:space="preserve"> Māori are central to the cycle and continuation of life, and embody the survival of Māori culture and community.</w:t>
      </w:r>
      <w:r w:rsidRPr="00824550">
        <w:rPr>
          <w:rFonts w:cstheme="minorHAnsi"/>
          <w:sz w:val="22"/>
          <w:szCs w:val="22"/>
          <w:vertAlign w:val="superscript"/>
          <w:lang w:val="en-NZ"/>
        </w:rPr>
        <w:footnoteReference w:id="199"/>
      </w:r>
      <w:r w:rsidRPr="00824550">
        <w:rPr>
          <w:rFonts w:cstheme="minorHAnsi"/>
          <w:sz w:val="22"/>
          <w:szCs w:val="22"/>
          <w:lang w:val="en-NZ"/>
        </w:rPr>
        <w:t xml:space="preserve"> Their standing is reflected in the word ‘</w:t>
      </w:r>
      <w:proofErr w:type="spellStart"/>
      <w:r w:rsidRPr="00824550">
        <w:rPr>
          <w:rFonts w:cstheme="minorHAnsi"/>
          <w:sz w:val="22"/>
          <w:szCs w:val="22"/>
          <w:lang w:val="en-NZ"/>
        </w:rPr>
        <w:t>tamariki</w:t>
      </w:r>
      <w:proofErr w:type="spellEnd"/>
      <w:r w:rsidRPr="00824550">
        <w:rPr>
          <w:rFonts w:cstheme="minorHAnsi"/>
          <w:sz w:val="22"/>
          <w:szCs w:val="22"/>
          <w:lang w:val="en-NZ"/>
        </w:rPr>
        <w:t>’: ‘</w:t>
      </w:r>
      <w:proofErr w:type="spellStart"/>
      <w:r w:rsidRPr="00824550">
        <w:rPr>
          <w:rFonts w:cstheme="minorHAnsi"/>
          <w:sz w:val="22"/>
          <w:szCs w:val="22"/>
          <w:lang w:val="en-NZ"/>
        </w:rPr>
        <w:t>Tama</w:t>
      </w:r>
      <w:proofErr w:type="spellEnd"/>
      <w:r w:rsidRPr="00824550">
        <w:rPr>
          <w:rFonts w:cstheme="minorHAnsi"/>
          <w:sz w:val="22"/>
          <w:szCs w:val="22"/>
          <w:lang w:val="en-NZ"/>
        </w:rPr>
        <w:t xml:space="preserve">’ is derived from </w:t>
      </w:r>
      <w:proofErr w:type="spellStart"/>
      <w:r w:rsidRPr="00824550">
        <w:rPr>
          <w:rFonts w:cstheme="minorHAnsi"/>
          <w:sz w:val="22"/>
          <w:szCs w:val="22"/>
          <w:lang w:val="en-NZ"/>
        </w:rPr>
        <w:t>Tama-te-rā</w:t>
      </w:r>
      <w:proofErr w:type="spellEnd"/>
      <w:r w:rsidRPr="00824550">
        <w:rPr>
          <w:rFonts w:cstheme="minorHAnsi"/>
          <w:sz w:val="22"/>
          <w:szCs w:val="22"/>
          <w:lang w:val="en-NZ"/>
        </w:rPr>
        <w:t xml:space="preserve"> (the central sun, the divine spark), while ‘ariki’ means ‘chief’ and therefore refers to their chiefly status.</w:t>
      </w:r>
      <w:r w:rsidRPr="00824550">
        <w:rPr>
          <w:rFonts w:cstheme="minorHAnsi"/>
          <w:sz w:val="22"/>
          <w:szCs w:val="22"/>
          <w:vertAlign w:val="superscript"/>
          <w:lang w:val="en-NZ"/>
        </w:rPr>
        <w:footnoteReference w:id="200"/>
      </w:r>
      <w:r w:rsidRPr="00824550">
        <w:rPr>
          <w:rFonts w:cstheme="minorHAnsi"/>
          <w:sz w:val="22"/>
          <w:szCs w:val="22"/>
          <w:lang w:val="en-NZ"/>
        </w:rPr>
        <w:t xml:space="preserve"> </w:t>
      </w:r>
      <w:r w:rsidRPr="00824550">
        <w:rPr>
          <w:rFonts w:cstheme="minorHAnsi"/>
          <w:sz w:val="22"/>
          <w:szCs w:val="22"/>
          <w:vertAlign w:val="superscript"/>
          <w:lang w:val="en-NZ"/>
        </w:rPr>
        <w:footnoteReference w:id="201"/>
      </w:r>
    </w:p>
    <w:p w14:paraId="4DDCAA21" w14:textId="77777777" w:rsidR="00824550" w:rsidRDefault="00824550" w:rsidP="00824550">
      <w:pPr>
        <w:pStyle w:val="ListParagraph"/>
        <w:rPr>
          <w:rFonts w:cstheme="minorHAnsi"/>
          <w:sz w:val="22"/>
          <w:szCs w:val="22"/>
          <w:lang w:val="en-NZ"/>
        </w:rPr>
      </w:pPr>
    </w:p>
    <w:p w14:paraId="39AF361A" w14:textId="381662E5" w:rsidR="00824550" w:rsidRPr="00824550" w:rsidRDefault="00824550" w:rsidP="00824550">
      <w:pPr>
        <w:pStyle w:val="ListParagraph"/>
        <w:numPr>
          <w:ilvl w:val="0"/>
          <w:numId w:val="9"/>
        </w:numPr>
        <w:ind w:hanging="720"/>
        <w:rPr>
          <w:rFonts w:cstheme="minorHAnsi"/>
          <w:sz w:val="22"/>
          <w:szCs w:val="22"/>
          <w:lang w:val="en-NZ"/>
        </w:rPr>
      </w:pPr>
      <w:r w:rsidRPr="00824550">
        <w:rPr>
          <w:rFonts w:cstheme="minorHAnsi"/>
          <w:sz w:val="22"/>
          <w:szCs w:val="22"/>
          <w:lang w:val="en-NZ"/>
        </w:rPr>
        <w:t xml:space="preserve">Sir Joseph Williams, Aotearoa’s first Māori Supreme Court judge has explained that the priority accorded to the collective, and the responsibility of the collective for its individuals, remain powerful values in contemporary </w:t>
      </w:r>
      <w:proofErr w:type="spellStart"/>
      <w:r w:rsidRPr="00824550">
        <w:rPr>
          <w:rFonts w:cstheme="minorHAnsi"/>
          <w:sz w:val="22"/>
          <w:szCs w:val="22"/>
          <w:lang w:val="en-NZ"/>
        </w:rPr>
        <w:t>Ma</w:t>
      </w:r>
      <w:r w:rsidRPr="00824550">
        <w:rPr>
          <w:rFonts w:ascii="Arial" w:hAnsi="Arial" w:cs="Arial"/>
          <w:sz w:val="22"/>
          <w:szCs w:val="22"/>
          <w:lang w:val="en-NZ"/>
        </w:rPr>
        <w:t>̄</w:t>
      </w:r>
      <w:r w:rsidRPr="00824550">
        <w:rPr>
          <w:rFonts w:cstheme="minorHAnsi"/>
          <w:sz w:val="22"/>
          <w:szCs w:val="22"/>
          <w:lang w:val="en-NZ"/>
        </w:rPr>
        <w:t>ori</w:t>
      </w:r>
      <w:proofErr w:type="spellEnd"/>
      <w:r w:rsidRPr="00824550">
        <w:rPr>
          <w:rFonts w:cstheme="minorHAnsi"/>
          <w:sz w:val="22"/>
          <w:szCs w:val="22"/>
          <w:lang w:val="en-NZ"/>
        </w:rPr>
        <w:t xml:space="preserve"> life.</w:t>
      </w:r>
      <w:r w:rsidRPr="00824550">
        <w:rPr>
          <w:rFonts w:cstheme="minorHAnsi"/>
          <w:sz w:val="22"/>
          <w:szCs w:val="22"/>
          <w:vertAlign w:val="superscript"/>
          <w:lang w:val="mi-NZ"/>
        </w:rPr>
        <w:footnoteReference w:id="202"/>
      </w:r>
      <w:r w:rsidRPr="00824550">
        <w:rPr>
          <w:rFonts w:cstheme="minorHAnsi"/>
          <w:sz w:val="22"/>
          <w:szCs w:val="22"/>
          <w:lang w:val="en-NZ"/>
        </w:rPr>
        <w:t xml:space="preserve"> The ethic of collectivism does not diminish the value of the individual in </w:t>
      </w:r>
      <w:proofErr w:type="spellStart"/>
      <w:r w:rsidRPr="00824550">
        <w:rPr>
          <w:rFonts w:cstheme="minorHAnsi"/>
          <w:sz w:val="22"/>
          <w:szCs w:val="22"/>
          <w:lang w:val="en-NZ"/>
        </w:rPr>
        <w:t>te</w:t>
      </w:r>
      <w:proofErr w:type="spellEnd"/>
      <w:r w:rsidRPr="00824550">
        <w:rPr>
          <w:rFonts w:cstheme="minorHAnsi"/>
          <w:sz w:val="22"/>
          <w:szCs w:val="22"/>
          <w:lang w:val="en-NZ"/>
        </w:rPr>
        <w:t xml:space="preserve"> </w:t>
      </w:r>
      <w:proofErr w:type="spellStart"/>
      <w:r w:rsidRPr="00824550">
        <w:rPr>
          <w:rFonts w:cstheme="minorHAnsi"/>
          <w:sz w:val="22"/>
          <w:szCs w:val="22"/>
          <w:lang w:val="en-NZ"/>
        </w:rPr>
        <w:t>ao</w:t>
      </w:r>
      <w:proofErr w:type="spellEnd"/>
      <w:r w:rsidRPr="00824550">
        <w:rPr>
          <w:rFonts w:cstheme="minorHAnsi"/>
          <w:sz w:val="22"/>
          <w:szCs w:val="22"/>
          <w:lang w:val="en-NZ"/>
        </w:rPr>
        <w:t xml:space="preserve"> </w:t>
      </w:r>
      <w:proofErr w:type="spellStart"/>
      <w:r w:rsidRPr="00824550">
        <w:rPr>
          <w:rFonts w:cstheme="minorHAnsi"/>
          <w:sz w:val="22"/>
          <w:szCs w:val="22"/>
          <w:lang w:val="en-NZ"/>
        </w:rPr>
        <w:t>Ma</w:t>
      </w:r>
      <w:r w:rsidRPr="00824550">
        <w:rPr>
          <w:rFonts w:ascii="Arial" w:hAnsi="Arial" w:cs="Arial"/>
          <w:sz w:val="22"/>
          <w:szCs w:val="22"/>
          <w:lang w:val="en-NZ"/>
        </w:rPr>
        <w:t>̄</w:t>
      </w:r>
      <w:r w:rsidRPr="00824550">
        <w:rPr>
          <w:rFonts w:cstheme="minorHAnsi"/>
          <w:sz w:val="22"/>
          <w:szCs w:val="22"/>
          <w:lang w:val="en-NZ"/>
        </w:rPr>
        <w:t>ori</w:t>
      </w:r>
      <w:proofErr w:type="spellEnd"/>
      <w:r w:rsidRPr="00824550">
        <w:rPr>
          <w:rFonts w:cstheme="minorHAnsi"/>
          <w:sz w:val="22"/>
          <w:szCs w:val="22"/>
          <w:lang w:val="en-NZ"/>
        </w:rPr>
        <w:t>, but adds to their significance, each person representing a link in the chain of life.</w:t>
      </w:r>
      <w:r w:rsidRPr="00824550">
        <w:rPr>
          <w:rFonts w:cstheme="minorHAnsi"/>
          <w:sz w:val="22"/>
          <w:szCs w:val="22"/>
          <w:vertAlign w:val="superscript"/>
          <w:lang w:val="en-NZ"/>
        </w:rPr>
        <w:footnoteReference w:id="203"/>
      </w:r>
      <w:r w:rsidRPr="00824550">
        <w:rPr>
          <w:rFonts w:cstheme="minorHAnsi"/>
          <w:sz w:val="22"/>
          <w:szCs w:val="22"/>
          <w:lang w:val="en-NZ"/>
        </w:rPr>
        <w:t xml:space="preserve"> </w:t>
      </w:r>
    </w:p>
    <w:p w14:paraId="79DBA967" w14:textId="77777777" w:rsidR="00824550" w:rsidRDefault="00824550" w:rsidP="00824550">
      <w:pPr>
        <w:pStyle w:val="ListParagraph"/>
        <w:rPr>
          <w:rFonts w:cstheme="minorHAnsi"/>
          <w:sz w:val="22"/>
          <w:szCs w:val="22"/>
          <w:lang w:val="en-NZ"/>
        </w:rPr>
      </w:pPr>
    </w:p>
    <w:p w14:paraId="11BB6827" w14:textId="2577A402" w:rsidR="00824550" w:rsidRPr="00824550" w:rsidRDefault="00824550" w:rsidP="00824550">
      <w:pPr>
        <w:pStyle w:val="ListParagraph"/>
        <w:numPr>
          <w:ilvl w:val="0"/>
          <w:numId w:val="9"/>
        </w:numPr>
        <w:ind w:hanging="720"/>
        <w:rPr>
          <w:rFonts w:cstheme="minorHAnsi"/>
          <w:sz w:val="22"/>
          <w:szCs w:val="22"/>
          <w:lang w:val="en-NZ"/>
        </w:rPr>
      </w:pPr>
      <w:r w:rsidRPr="00824550">
        <w:rPr>
          <w:rFonts w:cstheme="minorHAnsi"/>
          <w:sz w:val="22"/>
          <w:szCs w:val="22"/>
          <w:lang w:val="en-NZ"/>
        </w:rPr>
        <w:t xml:space="preserve">The identity rights of </w:t>
      </w:r>
      <w:proofErr w:type="spellStart"/>
      <w:r w:rsidRPr="00824550">
        <w:rPr>
          <w:rFonts w:cstheme="minorHAnsi"/>
          <w:sz w:val="22"/>
          <w:szCs w:val="22"/>
          <w:lang w:val="en-NZ"/>
        </w:rPr>
        <w:t>tamariki</w:t>
      </w:r>
      <w:proofErr w:type="spellEnd"/>
      <w:r w:rsidRPr="00824550">
        <w:rPr>
          <w:rFonts w:cstheme="minorHAnsi"/>
          <w:sz w:val="22"/>
          <w:szCs w:val="22"/>
          <w:lang w:val="en-NZ"/>
        </w:rPr>
        <w:t xml:space="preserve"> Māori are therefore inextricably linked with their right to be connected to their culture and to know their whakapapa (ancestry). Through knowing their whakapapa, </w:t>
      </w:r>
      <w:proofErr w:type="spellStart"/>
      <w:r w:rsidRPr="00824550">
        <w:rPr>
          <w:rFonts w:cstheme="minorHAnsi"/>
          <w:sz w:val="22"/>
          <w:szCs w:val="22"/>
          <w:lang w:val="en-NZ"/>
        </w:rPr>
        <w:t>tamariki</w:t>
      </w:r>
      <w:proofErr w:type="spellEnd"/>
      <w:r w:rsidRPr="00824550">
        <w:rPr>
          <w:rFonts w:cstheme="minorHAnsi"/>
          <w:sz w:val="22"/>
          <w:szCs w:val="22"/>
          <w:lang w:val="en-NZ"/>
        </w:rPr>
        <w:t xml:space="preserve"> Māori can identify their connection to all living things, including their </w:t>
      </w:r>
      <w:proofErr w:type="spellStart"/>
      <w:r w:rsidRPr="00824550">
        <w:rPr>
          <w:rFonts w:cstheme="minorHAnsi"/>
          <w:sz w:val="22"/>
          <w:szCs w:val="22"/>
          <w:lang w:val="en-NZ"/>
        </w:rPr>
        <w:t>tīpuna</w:t>
      </w:r>
      <w:proofErr w:type="spellEnd"/>
      <w:r w:rsidRPr="00824550">
        <w:rPr>
          <w:rFonts w:cstheme="minorHAnsi"/>
          <w:sz w:val="22"/>
          <w:szCs w:val="22"/>
          <w:lang w:val="en-NZ"/>
        </w:rPr>
        <w:t xml:space="preserve"> (ancestors), and to which kin groups they belong. Through whakapapa, </w:t>
      </w:r>
      <w:proofErr w:type="spellStart"/>
      <w:r w:rsidRPr="00824550">
        <w:rPr>
          <w:rFonts w:cstheme="minorHAnsi"/>
          <w:sz w:val="22"/>
          <w:szCs w:val="22"/>
          <w:lang w:val="en-NZ"/>
        </w:rPr>
        <w:t>tamariki</w:t>
      </w:r>
      <w:proofErr w:type="spellEnd"/>
      <w:r w:rsidRPr="00824550">
        <w:rPr>
          <w:rFonts w:cstheme="minorHAnsi"/>
          <w:sz w:val="22"/>
          <w:szCs w:val="22"/>
          <w:lang w:val="en-NZ"/>
        </w:rPr>
        <w:t xml:space="preserve"> Māori are also gifted with attributes fundamental to their cultural, physical, and spiritual well-being such as mana, </w:t>
      </w:r>
      <w:proofErr w:type="spellStart"/>
      <w:r w:rsidRPr="00824550">
        <w:rPr>
          <w:rFonts w:cstheme="minorHAnsi"/>
          <w:sz w:val="22"/>
          <w:szCs w:val="22"/>
          <w:lang w:val="en-NZ"/>
        </w:rPr>
        <w:t>tapu</w:t>
      </w:r>
      <w:proofErr w:type="spellEnd"/>
      <w:r w:rsidRPr="00824550">
        <w:rPr>
          <w:rFonts w:cstheme="minorHAnsi"/>
          <w:sz w:val="22"/>
          <w:szCs w:val="22"/>
          <w:lang w:val="en-NZ"/>
        </w:rPr>
        <w:t xml:space="preserve">, </w:t>
      </w:r>
      <w:proofErr w:type="spellStart"/>
      <w:r w:rsidRPr="00824550">
        <w:rPr>
          <w:rFonts w:cstheme="minorHAnsi"/>
          <w:sz w:val="22"/>
          <w:szCs w:val="22"/>
          <w:lang w:val="en-NZ"/>
        </w:rPr>
        <w:t>wairua</w:t>
      </w:r>
      <w:proofErr w:type="spellEnd"/>
      <w:r w:rsidRPr="00824550">
        <w:rPr>
          <w:rFonts w:cstheme="minorHAnsi"/>
          <w:sz w:val="22"/>
          <w:szCs w:val="22"/>
          <w:lang w:val="en-NZ"/>
        </w:rPr>
        <w:t xml:space="preserve"> (spirit), and mauri (life force). A critical part of the well-being of </w:t>
      </w:r>
      <w:proofErr w:type="spellStart"/>
      <w:r w:rsidRPr="00824550">
        <w:rPr>
          <w:rFonts w:cstheme="minorHAnsi"/>
          <w:sz w:val="22"/>
          <w:szCs w:val="22"/>
          <w:lang w:val="en-NZ"/>
        </w:rPr>
        <w:t>tamariki</w:t>
      </w:r>
      <w:proofErr w:type="spellEnd"/>
      <w:r w:rsidRPr="00824550">
        <w:rPr>
          <w:rFonts w:cstheme="minorHAnsi"/>
          <w:sz w:val="22"/>
          <w:szCs w:val="22"/>
          <w:lang w:val="en-NZ"/>
        </w:rPr>
        <w:t xml:space="preserve"> Māori is maintaining a balance across these dynamics.</w:t>
      </w:r>
      <w:r w:rsidRPr="00824550">
        <w:rPr>
          <w:rFonts w:cstheme="minorHAnsi"/>
          <w:sz w:val="22"/>
          <w:szCs w:val="22"/>
          <w:vertAlign w:val="superscript"/>
          <w:lang w:val="en-NZ"/>
        </w:rPr>
        <w:footnoteReference w:id="204"/>
      </w:r>
      <w:r w:rsidRPr="00824550">
        <w:rPr>
          <w:rFonts w:cstheme="minorHAnsi"/>
          <w:sz w:val="22"/>
          <w:szCs w:val="22"/>
          <w:lang w:val="en-NZ"/>
        </w:rPr>
        <w:t xml:space="preserve"> </w:t>
      </w:r>
    </w:p>
    <w:p w14:paraId="5D975870" w14:textId="77777777" w:rsidR="00824550" w:rsidRPr="00824550" w:rsidRDefault="00824550" w:rsidP="00824550">
      <w:pPr>
        <w:pStyle w:val="ListParagraph"/>
        <w:rPr>
          <w:rFonts w:cstheme="minorHAnsi"/>
          <w:sz w:val="22"/>
          <w:szCs w:val="22"/>
          <w:lang w:val="en-NZ"/>
        </w:rPr>
      </w:pPr>
    </w:p>
    <w:p w14:paraId="1228AA57" w14:textId="2C7565AA" w:rsidR="00824550" w:rsidRDefault="00824550" w:rsidP="00824550">
      <w:pPr>
        <w:pStyle w:val="ListParagraph"/>
        <w:numPr>
          <w:ilvl w:val="0"/>
          <w:numId w:val="9"/>
        </w:numPr>
        <w:ind w:hanging="720"/>
        <w:rPr>
          <w:rFonts w:cstheme="minorHAnsi"/>
          <w:sz w:val="22"/>
          <w:szCs w:val="22"/>
          <w:lang w:val="mi-NZ"/>
        </w:rPr>
      </w:pPr>
      <w:r w:rsidRPr="00824550">
        <w:rPr>
          <w:rFonts w:cstheme="minorHAnsi"/>
          <w:sz w:val="22"/>
          <w:szCs w:val="22"/>
          <w:lang w:val="mi-NZ"/>
        </w:rPr>
        <w:t>Te Tiriti guaranteed to protect Māori culture and enable Māori, including tamariki Māori, to continue to live as Māori. The UNDRIP, which Aotearoa has endorsed, also protects the right of indigenous people’s to the full enjoyment, as a collective or as individuals, of human rights and fundamental freedoms, including their rights to culture and identity.</w:t>
      </w:r>
      <w:r w:rsidRPr="00824550">
        <w:rPr>
          <w:rFonts w:cstheme="minorHAnsi"/>
          <w:sz w:val="22"/>
          <w:szCs w:val="22"/>
          <w:vertAlign w:val="superscript"/>
          <w:lang w:val="mi-NZ"/>
        </w:rPr>
        <w:footnoteReference w:id="205"/>
      </w:r>
      <w:r w:rsidRPr="00824550">
        <w:rPr>
          <w:rFonts w:cstheme="minorHAnsi"/>
          <w:sz w:val="22"/>
          <w:szCs w:val="22"/>
          <w:lang w:val="mi-NZ"/>
        </w:rPr>
        <w:t xml:space="preserve"> </w:t>
      </w:r>
    </w:p>
    <w:p w14:paraId="7F7B49F1" w14:textId="77777777" w:rsidR="00824550" w:rsidRPr="00824550" w:rsidRDefault="00824550" w:rsidP="00824550">
      <w:pPr>
        <w:pStyle w:val="ListParagraph"/>
        <w:rPr>
          <w:rFonts w:cstheme="minorHAnsi"/>
          <w:sz w:val="22"/>
          <w:szCs w:val="22"/>
          <w:lang w:val="mi-NZ"/>
        </w:rPr>
      </w:pPr>
    </w:p>
    <w:p w14:paraId="13EBF81D" w14:textId="77777777" w:rsidR="004B0ED3" w:rsidRDefault="004B0ED3">
      <w:pPr>
        <w:rPr>
          <w:rFonts w:asciiTheme="majorHAnsi" w:eastAsiaTheme="majorEastAsia" w:hAnsiTheme="majorHAnsi" w:cstheme="majorBidi"/>
          <w:color w:val="25409A" w:themeColor="text2"/>
          <w:sz w:val="24"/>
          <w:szCs w:val="24"/>
          <w:lang w:val="mi-NZ"/>
        </w:rPr>
      </w:pPr>
      <w:r>
        <w:rPr>
          <w:lang w:val="mi-NZ"/>
        </w:rPr>
        <w:br w:type="page"/>
      </w:r>
    </w:p>
    <w:p w14:paraId="1E495CD6" w14:textId="2EC9EF3E" w:rsidR="00824550" w:rsidRDefault="00824550" w:rsidP="00824550">
      <w:pPr>
        <w:pStyle w:val="Heading3"/>
        <w:rPr>
          <w:lang w:val="mi-NZ"/>
        </w:rPr>
      </w:pPr>
      <w:r>
        <w:rPr>
          <w:lang w:val="mi-NZ"/>
        </w:rPr>
        <w:lastRenderedPageBreak/>
        <w:t>Children of Aotearoa</w:t>
      </w:r>
    </w:p>
    <w:p w14:paraId="5565FDF4" w14:textId="77777777" w:rsidR="00824550" w:rsidRDefault="00824550" w:rsidP="00824550">
      <w:pPr>
        <w:tabs>
          <w:tab w:val="left" w:pos="2085"/>
        </w:tabs>
        <w:rPr>
          <w:lang w:val="mi-NZ"/>
        </w:rPr>
      </w:pPr>
    </w:p>
    <w:p w14:paraId="44CC56A0" w14:textId="77777777" w:rsidR="00824550" w:rsidRPr="00824550" w:rsidRDefault="00824550" w:rsidP="00BC4E04">
      <w:pPr>
        <w:pStyle w:val="NormalWeb"/>
        <w:shd w:val="clear" w:color="auto" w:fill="FFFFFF"/>
        <w:spacing w:before="240" w:beforeAutospacing="0" w:after="0" w:afterAutospacing="0"/>
        <w:ind w:left="720"/>
        <w:rPr>
          <w:rFonts w:asciiTheme="minorHAnsi" w:hAnsiTheme="minorHAnsi" w:cstheme="minorHAnsi"/>
          <w:color w:val="000000" w:themeColor="text1"/>
          <w:sz w:val="22"/>
          <w:szCs w:val="22"/>
        </w:rPr>
      </w:pPr>
      <w:r w:rsidRPr="00824550">
        <w:rPr>
          <w:rFonts w:asciiTheme="minorHAnsi" w:hAnsiTheme="minorHAnsi" w:cstheme="minorHAnsi"/>
          <w:i/>
          <w:iCs/>
          <w:color w:val="000000" w:themeColor="text1"/>
          <w:sz w:val="22"/>
          <w:szCs w:val="22"/>
        </w:rPr>
        <w:t xml:space="preserve">Claudie, you may not be my sister, but I am going to see you soon at Matariki. We have no Māori </w:t>
      </w:r>
      <w:proofErr w:type="gramStart"/>
      <w:r w:rsidRPr="00824550">
        <w:rPr>
          <w:rFonts w:asciiTheme="minorHAnsi" w:hAnsiTheme="minorHAnsi" w:cstheme="minorHAnsi"/>
          <w:i/>
          <w:iCs/>
          <w:color w:val="000000" w:themeColor="text1"/>
          <w:sz w:val="22"/>
          <w:szCs w:val="22"/>
        </w:rPr>
        <w:t>ancestry, but</w:t>
      </w:r>
      <w:proofErr w:type="gramEnd"/>
      <w:r w:rsidRPr="00824550">
        <w:rPr>
          <w:rFonts w:asciiTheme="minorHAnsi" w:hAnsiTheme="minorHAnsi" w:cstheme="minorHAnsi"/>
          <w:i/>
          <w:iCs/>
          <w:color w:val="000000" w:themeColor="text1"/>
          <w:sz w:val="22"/>
          <w:szCs w:val="22"/>
        </w:rPr>
        <w:t xml:space="preserve"> love our nation's cultural heritage. We are so happy Matariki is being acknowledged appropriately as a special time for our families, and that a national holiday allows us to come together.</w:t>
      </w:r>
      <w:r w:rsidRPr="00824550">
        <w:rPr>
          <w:rStyle w:val="FootnoteReference"/>
          <w:rFonts w:asciiTheme="minorHAnsi" w:hAnsiTheme="minorHAnsi" w:cstheme="minorHAnsi"/>
          <w:i/>
          <w:iCs/>
          <w:color w:val="000000" w:themeColor="text1"/>
          <w:sz w:val="22"/>
          <w:szCs w:val="22"/>
        </w:rPr>
        <w:footnoteReference w:id="206"/>
      </w:r>
    </w:p>
    <w:p w14:paraId="0B274D44" w14:textId="2DB6B5B7" w:rsidR="00824550" w:rsidRPr="00824550" w:rsidRDefault="00824550" w:rsidP="00824550">
      <w:pPr>
        <w:tabs>
          <w:tab w:val="left" w:pos="2085"/>
        </w:tabs>
        <w:rPr>
          <w:lang w:val="mi-NZ"/>
        </w:rPr>
      </w:pPr>
      <w:r>
        <w:rPr>
          <w:lang w:val="mi-NZ"/>
        </w:rPr>
        <w:tab/>
      </w:r>
    </w:p>
    <w:p w14:paraId="245917CD" w14:textId="14E9BD9A" w:rsidR="00824550" w:rsidRPr="00614414" w:rsidRDefault="00824550" w:rsidP="00824550">
      <w:pPr>
        <w:pStyle w:val="ListParagraph"/>
        <w:numPr>
          <w:ilvl w:val="0"/>
          <w:numId w:val="9"/>
        </w:numPr>
        <w:ind w:hanging="720"/>
        <w:rPr>
          <w:rFonts w:cstheme="minorHAnsi"/>
          <w:sz w:val="22"/>
          <w:szCs w:val="22"/>
        </w:rPr>
      </w:pPr>
      <w:r w:rsidRPr="00824550">
        <w:rPr>
          <w:rFonts w:cstheme="minorHAnsi"/>
          <w:sz w:val="22"/>
          <w:szCs w:val="22"/>
        </w:rPr>
        <w:t xml:space="preserve">Protecting and upholding the identity rights of </w:t>
      </w:r>
      <w:proofErr w:type="spellStart"/>
      <w:r w:rsidRPr="00824550">
        <w:rPr>
          <w:rFonts w:cstheme="minorHAnsi"/>
          <w:sz w:val="22"/>
          <w:szCs w:val="22"/>
        </w:rPr>
        <w:t>tamariki</w:t>
      </w:r>
      <w:proofErr w:type="spellEnd"/>
      <w:r w:rsidRPr="00824550">
        <w:rPr>
          <w:rFonts w:cstheme="minorHAnsi"/>
          <w:sz w:val="22"/>
          <w:szCs w:val="22"/>
        </w:rPr>
        <w:t xml:space="preserve"> Māori is central to advancing and upholding the identity rights of all children – </w:t>
      </w:r>
      <w:proofErr w:type="spellStart"/>
      <w:r w:rsidRPr="00824550">
        <w:rPr>
          <w:rFonts w:cstheme="minorHAnsi"/>
          <w:sz w:val="22"/>
          <w:szCs w:val="22"/>
        </w:rPr>
        <w:t>tamariki</w:t>
      </w:r>
      <w:proofErr w:type="spellEnd"/>
      <w:r w:rsidRPr="00824550">
        <w:rPr>
          <w:rFonts w:cstheme="minorHAnsi"/>
          <w:sz w:val="22"/>
          <w:szCs w:val="22"/>
        </w:rPr>
        <w:t xml:space="preserve"> Māori and </w:t>
      </w:r>
      <w:proofErr w:type="spellStart"/>
      <w:r w:rsidRPr="00824550">
        <w:rPr>
          <w:rFonts w:cstheme="minorHAnsi"/>
          <w:sz w:val="22"/>
          <w:szCs w:val="22"/>
        </w:rPr>
        <w:t>tamariki</w:t>
      </w:r>
      <w:proofErr w:type="spellEnd"/>
      <w:r w:rsidRPr="00824550">
        <w:rPr>
          <w:rFonts w:cstheme="minorHAnsi"/>
          <w:sz w:val="22"/>
          <w:szCs w:val="22"/>
        </w:rPr>
        <w:t xml:space="preserve"> </w:t>
      </w:r>
      <w:proofErr w:type="spellStart"/>
      <w:r w:rsidRPr="00824550">
        <w:rPr>
          <w:rFonts w:cstheme="minorHAnsi"/>
          <w:sz w:val="22"/>
          <w:szCs w:val="22"/>
        </w:rPr>
        <w:t>Tiriti</w:t>
      </w:r>
      <w:proofErr w:type="spellEnd"/>
      <w:r w:rsidRPr="00824550">
        <w:rPr>
          <w:rFonts w:cstheme="minorHAnsi"/>
          <w:sz w:val="22"/>
          <w:szCs w:val="22"/>
        </w:rPr>
        <w:t xml:space="preserve"> - in Aotearoa, as a young nation with a growing sense of national identity. Celebration of </w:t>
      </w:r>
      <w:proofErr w:type="spellStart"/>
      <w:r w:rsidRPr="00824550">
        <w:rPr>
          <w:rFonts w:cstheme="minorHAnsi"/>
          <w:sz w:val="22"/>
          <w:szCs w:val="22"/>
        </w:rPr>
        <w:t>Matariki</w:t>
      </w:r>
      <w:proofErr w:type="spellEnd"/>
      <w:r w:rsidRPr="00824550">
        <w:rPr>
          <w:rFonts w:cstheme="minorHAnsi"/>
          <w:sz w:val="22"/>
          <w:szCs w:val="22"/>
        </w:rPr>
        <w:t xml:space="preserve"> and teaching of Aotearoa’s history in schools, for example, help all children in Aotearoa to have a sense of place.</w:t>
      </w:r>
      <w:r w:rsidRPr="00824550">
        <w:rPr>
          <w:rFonts w:cstheme="minorHAnsi"/>
          <w:sz w:val="22"/>
          <w:szCs w:val="22"/>
          <w:vertAlign w:val="superscript"/>
        </w:rPr>
        <w:footnoteReference w:id="207"/>
      </w:r>
      <w:r w:rsidRPr="00824550">
        <w:rPr>
          <w:rFonts w:cstheme="minorHAnsi"/>
          <w:sz w:val="22"/>
          <w:szCs w:val="22"/>
        </w:rPr>
        <w:t xml:space="preserve"> </w:t>
      </w:r>
      <w:r w:rsidRPr="00824550">
        <w:rPr>
          <w:rFonts w:cstheme="minorHAnsi"/>
          <w:sz w:val="22"/>
          <w:szCs w:val="22"/>
          <w:vertAlign w:val="superscript"/>
        </w:rPr>
        <w:footnoteReference w:id="208"/>
      </w:r>
      <w:r w:rsidRPr="00824550">
        <w:rPr>
          <w:rFonts w:cstheme="minorHAnsi"/>
          <w:sz w:val="22"/>
          <w:szCs w:val="22"/>
        </w:rPr>
        <w:t xml:space="preserve">  </w:t>
      </w:r>
    </w:p>
    <w:p w14:paraId="7D399C7B" w14:textId="3288CBC5" w:rsidR="00824550" w:rsidRPr="00824550" w:rsidRDefault="00824550" w:rsidP="00824550">
      <w:pPr>
        <w:pStyle w:val="IntenseQuote"/>
        <w:ind w:left="720"/>
        <w:jc w:val="left"/>
        <w:rPr>
          <w:b/>
          <w:bCs/>
          <w:i w:val="0"/>
          <w:iCs w:val="0"/>
          <w:sz w:val="24"/>
          <w:szCs w:val="24"/>
          <w:lang w:val="mi-NZ"/>
        </w:rPr>
      </w:pPr>
      <w:r w:rsidRPr="00824550">
        <w:rPr>
          <w:b/>
          <w:bCs/>
          <w:i w:val="0"/>
          <w:iCs w:val="0"/>
          <w:sz w:val="24"/>
          <w:szCs w:val="24"/>
          <w:lang w:val="mi-NZ"/>
        </w:rPr>
        <w:t>Recommendations</w:t>
      </w:r>
    </w:p>
    <w:p w14:paraId="26351F9C" w14:textId="77777777" w:rsidR="00824550" w:rsidRPr="00824550" w:rsidRDefault="00824550" w:rsidP="00916EA3">
      <w:pPr>
        <w:pStyle w:val="IntenseQuote"/>
        <w:numPr>
          <w:ilvl w:val="0"/>
          <w:numId w:val="11"/>
        </w:numPr>
        <w:jc w:val="left"/>
        <w:rPr>
          <w:i w:val="0"/>
          <w:iCs w:val="0"/>
          <w:sz w:val="22"/>
          <w:szCs w:val="22"/>
          <w:lang w:val="mi-NZ"/>
        </w:rPr>
      </w:pPr>
      <w:r w:rsidRPr="00824550">
        <w:rPr>
          <w:i w:val="0"/>
          <w:iCs w:val="0"/>
          <w:sz w:val="22"/>
          <w:szCs w:val="22"/>
          <w:lang w:val="mi-NZ"/>
        </w:rPr>
        <w:t>Recognise the collective dimension of Māori cultural identity and the importance of whakapapa for Māori children’s identity in all legislation and policies affecting children, and ensure whānau Māori are able to exercise that right.</w:t>
      </w:r>
    </w:p>
    <w:p w14:paraId="5F0A6023" w14:textId="2C0E96F0" w:rsidR="00824550" w:rsidRPr="00824550" w:rsidRDefault="00824550" w:rsidP="00916EA3">
      <w:pPr>
        <w:pStyle w:val="IntenseQuote"/>
        <w:numPr>
          <w:ilvl w:val="0"/>
          <w:numId w:val="11"/>
        </w:numPr>
        <w:jc w:val="left"/>
        <w:rPr>
          <w:i w:val="0"/>
          <w:iCs w:val="0"/>
          <w:sz w:val="22"/>
          <w:szCs w:val="22"/>
          <w:lang w:val="mi-NZ"/>
        </w:rPr>
      </w:pPr>
      <w:r w:rsidRPr="00824550">
        <w:rPr>
          <w:i w:val="0"/>
          <w:iCs w:val="0"/>
          <w:sz w:val="22"/>
          <w:szCs w:val="22"/>
          <w:lang w:val="mi-NZ"/>
        </w:rPr>
        <w:t>Undertake inclusive intiatives that place children at the centre of Aotearoa’s developing national identity and build social cohesi</w:t>
      </w:r>
      <w:r w:rsidR="00BC4E04">
        <w:rPr>
          <w:i w:val="0"/>
          <w:iCs w:val="0"/>
          <w:sz w:val="22"/>
          <w:szCs w:val="22"/>
          <w:lang w:val="mi-NZ"/>
        </w:rPr>
        <w:t>o</w:t>
      </w:r>
      <w:r w:rsidRPr="00824550">
        <w:rPr>
          <w:i w:val="0"/>
          <w:iCs w:val="0"/>
          <w:sz w:val="22"/>
          <w:szCs w:val="22"/>
          <w:lang w:val="mi-NZ"/>
        </w:rPr>
        <w:t>n, upholding the unique identity rights of tamariki Māori.</w:t>
      </w:r>
    </w:p>
    <w:p w14:paraId="5DDC90CC" w14:textId="77777777" w:rsidR="004B0ED3" w:rsidRDefault="004B0ED3">
      <w:pPr>
        <w:rPr>
          <w:rFonts w:asciiTheme="majorHAnsi" w:eastAsiaTheme="majorEastAsia" w:hAnsiTheme="majorHAnsi" w:cstheme="majorBidi"/>
          <w:b/>
          <w:bCs/>
          <w:color w:val="25409A" w:themeColor="text2"/>
          <w:sz w:val="24"/>
          <w:szCs w:val="24"/>
        </w:rPr>
      </w:pPr>
      <w:r>
        <w:br w:type="page"/>
      </w:r>
    </w:p>
    <w:p w14:paraId="76ED8A5C" w14:textId="5E9A3B2A" w:rsidR="00614414" w:rsidRPr="00E7687D" w:rsidRDefault="00614414" w:rsidP="00614414">
      <w:pPr>
        <w:pStyle w:val="Heading2"/>
      </w:pPr>
      <w:bookmarkStart w:id="32" w:name="_Toc111485456"/>
      <w:r w:rsidRPr="00E7687D">
        <w:lastRenderedPageBreak/>
        <w:t>Privacy</w:t>
      </w:r>
      <w:bookmarkEnd w:id="32"/>
    </w:p>
    <w:p w14:paraId="67C6A76B" w14:textId="77777777" w:rsidR="00824550" w:rsidRPr="00614414" w:rsidRDefault="00824550" w:rsidP="00614414">
      <w:pPr>
        <w:rPr>
          <w:rFonts w:cstheme="minorHAnsi"/>
          <w:sz w:val="22"/>
          <w:szCs w:val="22"/>
        </w:rPr>
      </w:pPr>
    </w:p>
    <w:p w14:paraId="01322D59" w14:textId="193B24B0" w:rsidR="00614414" w:rsidRDefault="00614414" w:rsidP="00614414">
      <w:pPr>
        <w:pStyle w:val="ListParagraph"/>
        <w:numPr>
          <w:ilvl w:val="0"/>
          <w:numId w:val="9"/>
        </w:numPr>
        <w:ind w:hanging="720"/>
        <w:rPr>
          <w:rFonts w:cstheme="minorHAnsi"/>
          <w:sz w:val="22"/>
          <w:szCs w:val="22"/>
          <w:lang w:val="mi-NZ"/>
        </w:rPr>
      </w:pPr>
      <w:r w:rsidRPr="00614414">
        <w:rPr>
          <w:rFonts w:cstheme="minorHAnsi"/>
          <w:sz w:val="22"/>
          <w:szCs w:val="22"/>
          <w:lang w:val="mi-NZ"/>
        </w:rPr>
        <w:t>New privacy legislation requires care when collecting information from children.</w:t>
      </w:r>
      <w:r w:rsidRPr="00614414">
        <w:rPr>
          <w:rFonts w:cstheme="minorHAnsi"/>
          <w:sz w:val="22"/>
          <w:szCs w:val="22"/>
          <w:vertAlign w:val="superscript"/>
          <w:lang w:val="mi-NZ"/>
        </w:rPr>
        <w:footnoteReference w:id="209"/>
      </w:r>
    </w:p>
    <w:p w14:paraId="012809C0" w14:textId="77777777" w:rsidR="00614414" w:rsidRDefault="00614414" w:rsidP="00614414">
      <w:pPr>
        <w:pStyle w:val="Heading3"/>
      </w:pPr>
    </w:p>
    <w:p w14:paraId="47246721" w14:textId="04746A8B" w:rsidR="00614414" w:rsidRPr="00614414" w:rsidRDefault="00614414" w:rsidP="00614414">
      <w:pPr>
        <w:pStyle w:val="Heading3"/>
      </w:pPr>
      <w:r w:rsidRPr="00614414">
        <w:t xml:space="preserve">Photographing of </w:t>
      </w:r>
      <w:proofErr w:type="spellStart"/>
      <w:r w:rsidRPr="00614414">
        <w:t>tamariki</w:t>
      </w:r>
      <w:proofErr w:type="spellEnd"/>
      <w:r w:rsidRPr="00614414">
        <w:t xml:space="preserve"> Māori by Police</w:t>
      </w:r>
    </w:p>
    <w:p w14:paraId="0CFB39A0" w14:textId="77777777" w:rsidR="00614414" w:rsidRPr="00614414" w:rsidRDefault="00614414" w:rsidP="00614414">
      <w:pPr>
        <w:rPr>
          <w:rFonts w:cstheme="minorHAnsi"/>
          <w:sz w:val="22"/>
          <w:szCs w:val="22"/>
          <w:lang w:val="mi-NZ"/>
        </w:rPr>
      </w:pPr>
    </w:p>
    <w:p w14:paraId="3560BA12" w14:textId="2F532C0D" w:rsidR="00614414" w:rsidRPr="00614414" w:rsidRDefault="00614414" w:rsidP="00614414">
      <w:pPr>
        <w:pStyle w:val="ListParagraph"/>
        <w:numPr>
          <w:ilvl w:val="0"/>
          <w:numId w:val="9"/>
        </w:numPr>
        <w:ind w:hanging="720"/>
        <w:rPr>
          <w:rFonts w:cstheme="minorHAnsi"/>
          <w:sz w:val="22"/>
          <w:szCs w:val="22"/>
          <w:lang w:val="mi-NZ"/>
        </w:rPr>
      </w:pPr>
      <w:r w:rsidRPr="00614414">
        <w:rPr>
          <w:rFonts w:cstheme="minorHAnsi"/>
          <w:sz w:val="22"/>
          <w:szCs w:val="22"/>
          <w:lang w:val="mi-NZ"/>
        </w:rPr>
        <w:t>In 2021, media revealed that Police across the country were taking photographs of tamariki Māori and sending them to their national database, leading to a change in Police practice and an inquiry by the IPCA</w:t>
      </w:r>
      <w:r w:rsidRPr="00614414">
        <w:rPr>
          <w:rFonts w:cstheme="minorHAnsi"/>
          <w:sz w:val="22"/>
          <w:szCs w:val="22"/>
          <w:vertAlign w:val="superscript"/>
          <w:lang w:val="mi-NZ"/>
        </w:rPr>
        <w:footnoteReference w:id="210"/>
      </w:r>
      <w:r w:rsidRPr="00614414">
        <w:rPr>
          <w:rFonts w:cstheme="minorHAnsi"/>
          <w:sz w:val="22"/>
          <w:szCs w:val="22"/>
          <w:lang w:val="mi-NZ"/>
        </w:rPr>
        <w:t xml:space="preserve"> and Privacy Commissioner into whether the children’s privacy has been breached. The inquiry report is due later in August 2022.</w:t>
      </w:r>
      <w:r w:rsidRPr="00614414">
        <w:rPr>
          <w:rFonts w:cstheme="minorHAnsi"/>
          <w:sz w:val="22"/>
          <w:szCs w:val="22"/>
          <w:vertAlign w:val="superscript"/>
          <w:lang w:val="mi-NZ"/>
        </w:rPr>
        <w:footnoteReference w:id="211"/>
      </w:r>
      <w:r w:rsidRPr="00614414">
        <w:rPr>
          <w:rFonts w:cstheme="minorHAnsi"/>
          <w:sz w:val="22"/>
          <w:szCs w:val="22"/>
          <w:lang w:val="mi-NZ"/>
        </w:rPr>
        <w:t xml:space="preserve"> </w:t>
      </w:r>
      <w:r w:rsidRPr="00614414">
        <w:rPr>
          <w:rFonts w:cstheme="minorHAnsi"/>
          <w:sz w:val="22"/>
          <w:szCs w:val="22"/>
          <w:vertAlign w:val="superscript"/>
          <w:lang w:val="mi-NZ"/>
        </w:rPr>
        <w:footnoteReference w:id="212"/>
      </w:r>
      <w:r w:rsidRPr="00614414">
        <w:rPr>
          <w:rFonts w:cstheme="minorHAnsi"/>
          <w:sz w:val="22"/>
          <w:szCs w:val="22"/>
          <w:lang w:val="mi-NZ"/>
        </w:rPr>
        <w:t xml:space="preserve"> </w:t>
      </w:r>
      <w:r w:rsidRPr="00614414">
        <w:rPr>
          <w:rFonts w:cstheme="minorHAnsi"/>
          <w:sz w:val="22"/>
          <w:szCs w:val="22"/>
          <w:vertAlign w:val="superscript"/>
          <w:lang w:val="mi-NZ"/>
        </w:rPr>
        <w:footnoteReference w:id="213"/>
      </w:r>
      <w:r w:rsidRPr="00614414">
        <w:rPr>
          <w:rFonts w:cstheme="minorHAnsi"/>
          <w:sz w:val="22"/>
          <w:szCs w:val="22"/>
          <w:lang w:val="mi-NZ"/>
        </w:rPr>
        <w:t xml:space="preserve"> </w:t>
      </w:r>
    </w:p>
    <w:p w14:paraId="6BCC3355" w14:textId="2FDA3450" w:rsidR="00B14246" w:rsidRPr="00B14246" w:rsidRDefault="00B14246" w:rsidP="00B14246">
      <w:pPr>
        <w:pStyle w:val="IntenseQuote"/>
        <w:ind w:left="720"/>
        <w:jc w:val="left"/>
        <w:rPr>
          <w:b/>
          <w:bCs/>
          <w:i w:val="0"/>
          <w:iCs w:val="0"/>
          <w:sz w:val="24"/>
          <w:szCs w:val="24"/>
          <w:lang w:val="mi-NZ"/>
        </w:rPr>
      </w:pPr>
      <w:r w:rsidRPr="00B14246">
        <w:rPr>
          <w:b/>
          <w:bCs/>
          <w:i w:val="0"/>
          <w:iCs w:val="0"/>
          <w:sz w:val="24"/>
          <w:szCs w:val="24"/>
          <w:lang w:val="mi-NZ"/>
        </w:rPr>
        <w:t>Recommendations</w:t>
      </w:r>
    </w:p>
    <w:p w14:paraId="13DA2597" w14:textId="77777777" w:rsidR="00B14246" w:rsidRPr="00B14246" w:rsidRDefault="00B14246" w:rsidP="00916EA3">
      <w:pPr>
        <w:pStyle w:val="IntenseQuote"/>
        <w:numPr>
          <w:ilvl w:val="0"/>
          <w:numId w:val="11"/>
        </w:numPr>
        <w:jc w:val="left"/>
        <w:rPr>
          <w:i w:val="0"/>
          <w:iCs w:val="0"/>
          <w:sz w:val="22"/>
          <w:szCs w:val="22"/>
          <w:lang w:val="mi-NZ"/>
        </w:rPr>
      </w:pPr>
      <w:r w:rsidRPr="00B14246">
        <w:rPr>
          <w:i w:val="0"/>
          <w:iCs w:val="0"/>
          <w:sz w:val="22"/>
          <w:szCs w:val="22"/>
          <w:lang w:val="mi-NZ"/>
        </w:rPr>
        <w:t xml:space="preserve">Work with the Privacy and Children’s Commissioners, to actively monitor, protect and promote children’s privacy rights, including in the digital world. </w:t>
      </w:r>
    </w:p>
    <w:p w14:paraId="32E0BFF0" w14:textId="77777777" w:rsidR="00B14246" w:rsidRPr="00B14246" w:rsidRDefault="00B14246" w:rsidP="00916EA3">
      <w:pPr>
        <w:pStyle w:val="IntenseQuote"/>
        <w:numPr>
          <w:ilvl w:val="0"/>
          <w:numId w:val="11"/>
        </w:numPr>
        <w:jc w:val="left"/>
        <w:rPr>
          <w:i w:val="0"/>
          <w:iCs w:val="0"/>
          <w:sz w:val="22"/>
          <w:szCs w:val="22"/>
          <w:lang w:val="mi-NZ"/>
        </w:rPr>
      </w:pPr>
      <w:r w:rsidRPr="00B14246">
        <w:rPr>
          <w:i w:val="0"/>
          <w:iCs w:val="0"/>
          <w:sz w:val="22"/>
          <w:szCs w:val="22"/>
          <w:lang w:val="mi-NZ"/>
        </w:rPr>
        <w:t>Act on the findings of the IPCA and Privacy Commissioner’s inquiry into the photographing of tamariki Māori by Police.</w:t>
      </w:r>
    </w:p>
    <w:p w14:paraId="1FDA6768" w14:textId="77777777" w:rsidR="00B14246" w:rsidRPr="00B14246" w:rsidRDefault="00B14246" w:rsidP="00B14246">
      <w:pPr>
        <w:pStyle w:val="Heading3"/>
      </w:pPr>
      <w:r w:rsidRPr="00B14246">
        <w:t>Children’s privacy and the media</w:t>
      </w:r>
    </w:p>
    <w:p w14:paraId="6F642436" w14:textId="5ACF02CE" w:rsidR="00970A6D" w:rsidRPr="00B14246" w:rsidRDefault="00970A6D" w:rsidP="00B14246">
      <w:pPr>
        <w:rPr>
          <w:rFonts w:cstheme="minorHAnsi"/>
          <w:sz w:val="22"/>
          <w:szCs w:val="22"/>
          <w:lang w:val="mi-NZ"/>
        </w:rPr>
      </w:pPr>
    </w:p>
    <w:p w14:paraId="7FA9038A" w14:textId="440F9157" w:rsidR="00B14246" w:rsidRPr="00B14246" w:rsidRDefault="00B14246" w:rsidP="00B14246">
      <w:pPr>
        <w:pStyle w:val="ListParagraph"/>
        <w:numPr>
          <w:ilvl w:val="0"/>
          <w:numId w:val="9"/>
        </w:numPr>
        <w:ind w:hanging="720"/>
        <w:rPr>
          <w:rFonts w:cstheme="minorHAnsi"/>
          <w:sz w:val="22"/>
          <w:szCs w:val="22"/>
          <w:lang w:val="mi-NZ"/>
        </w:rPr>
      </w:pPr>
      <w:r w:rsidRPr="00B14246">
        <w:rPr>
          <w:rFonts w:cstheme="minorHAnsi"/>
          <w:sz w:val="22"/>
          <w:szCs w:val="22"/>
          <w:lang w:val="mi-NZ"/>
        </w:rPr>
        <w:t xml:space="preserve">In July 2021, RNZ (Aotearoa’s public broadcaster) reported on a situation involving a child using personal information obtained via the dark web. Complaints were made to the Broadcasting Standards Authority (BSA) that </w:t>
      </w:r>
      <w:r w:rsidRPr="00B14246">
        <w:rPr>
          <w:rFonts w:cstheme="minorHAnsi"/>
          <w:sz w:val="22"/>
          <w:szCs w:val="22"/>
          <w:lang w:val="mi-NZ"/>
        </w:rPr>
        <w:lastRenderedPageBreak/>
        <w:t>RNZ breached the child’s privacy rights.</w:t>
      </w:r>
      <w:r w:rsidRPr="00B14246">
        <w:rPr>
          <w:rFonts w:cstheme="minorHAnsi"/>
          <w:sz w:val="22"/>
          <w:szCs w:val="22"/>
          <w:vertAlign w:val="superscript"/>
          <w:lang w:val="mi-NZ"/>
        </w:rPr>
        <w:footnoteReference w:id="214"/>
      </w:r>
      <w:r w:rsidRPr="00B14246">
        <w:rPr>
          <w:rFonts w:cstheme="minorHAnsi"/>
          <w:sz w:val="22"/>
          <w:szCs w:val="22"/>
          <w:lang w:val="mi-NZ"/>
        </w:rPr>
        <w:t xml:space="preserve"> There is no requirement under broadcasting standards that the best interests principle be applied in editorial decision-making or that the rights of children should be considered in determining the public interest in broadcasting, although media outlets can choose to include this in their own internal policies.</w:t>
      </w:r>
      <w:r w:rsidRPr="00B14246">
        <w:rPr>
          <w:rFonts w:cstheme="minorHAnsi"/>
          <w:sz w:val="22"/>
          <w:szCs w:val="22"/>
          <w:vertAlign w:val="superscript"/>
          <w:lang w:val="mi-NZ"/>
        </w:rPr>
        <w:footnoteReference w:id="215"/>
      </w:r>
      <w:r w:rsidRPr="00B14246">
        <w:rPr>
          <w:rFonts w:cstheme="minorHAnsi"/>
          <w:sz w:val="22"/>
          <w:szCs w:val="22"/>
          <w:lang w:val="mi-NZ"/>
        </w:rPr>
        <w:t xml:space="preserve"> The BSA has made a provisional finding that the child’s privacy had been breached in this case.</w:t>
      </w:r>
    </w:p>
    <w:p w14:paraId="11F9C4E4" w14:textId="77777777" w:rsidR="00B14246" w:rsidRPr="00B14246" w:rsidRDefault="00B14246" w:rsidP="00B14246">
      <w:pPr>
        <w:pStyle w:val="ListParagraph"/>
        <w:rPr>
          <w:rFonts w:cstheme="minorHAnsi"/>
          <w:sz w:val="22"/>
          <w:szCs w:val="22"/>
          <w:lang w:val="mi-NZ"/>
        </w:rPr>
      </w:pPr>
    </w:p>
    <w:p w14:paraId="096D07FF" w14:textId="1C7F2357" w:rsidR="00970A6D" w:rsidRPr="00B14246" w:rsidRDefault="00B14246" w:rsidP="00B14246">
      <w:pPr>
        <w:pStyle w:val="ListParagraph"/>
        <w:numPr>
          <w:ilvl w:val="0"/>
          <w:numId w:val="9"/>
        </w:numPr>
        <w:ind w:hanging="720"/>
        <w:rPr>
          <w:rFonts w:cstheme="minorHAnsi"/>
          <w:sz w:val="22"/>
          <w:szCs w:val="22"/>
          <w:lang w:val="mi-NZ"/>
        </w:rPr>
      </w:pPr>
      <w:r w:rsidRPr="00B14246">
        <w:rPr>
          <w:rFonts w:cstheme="minorHAnsi"/>
          <w:sz w:val="22"/>
          <w:szCs w:val="22"/>
          <w:lang w:val="mi-NZ"/>
        </w:rPr>
        <w:t>There are gaps in the regulation of, and education about, the risks to children’s privacy from social media and the need to prioritise their best interests online.</w:t>
      </w:r>
      <w:r w:rsidRPr="00B14246">
        <w:rPr>
          <w:rFonts w:cstheme="minorHAnsi"/>
          <w:sz w:val="22"/>
          <w:szCs w:val="22"/>
          <w:vertAlign w:val="superscript"/>
          <w:lang w:val="mi-NZ"/>
        </w:rPr>
        <w:footnoteReference w:id="216"/>
      </w:r>
      <w:r w:rsidRPr="00B14246">
        <w:rPr>
          <w:rFonts w:cstheme="minorHAnsi"/>
          <w:sz w:val="22"/>
          <w:szCs w:val="22"/>
          <w:lang w:val="mi-NZ"/>
        </w:rPr>
        <w:t xml:space="preserve">  </w:t>
      </w:r>
    </w:p>
    <w:p w14:paraId="13086242" w14:textId="77777777" w:rsidR="00ED4CB7" w:rsidRDefault="00ED4CB7" w:rsidP="00B14246">
      <w:pPr>
        <w:pStyle w:val="Heading3"/>
      </w:pPr>
    </w:p>
    <w:p w14:paraId="25BD4D7D" w14:textId="5FCE93C9" w:rsidR="00B14246" w:rsidRPr="00B14246" w:rsidRDefault="00B14246" w:rsidP="00B14246">
      <w:pPr>
        <w:pStyle w:val="Heading3"/>
      </w:pPr>
      <w:r w:rsidRPr="00B14246">
        <w:t>Changes to public media</w:t>
      </w:r>
    </w:p>
    <w:p w14:paraId="0F61EEC9" w14:textId="77777777" w:rsidR="00B14246" w:rsidRPr="00B14246" w:rsidRDefault="00B14246" w:rsidP="00B14246">
      <w:pPr>
        <w:rPr>
          <w:rFonts w:cstheme="minorHAnsi"/>
          <w:sz w:val="22"/>
          <w:szCs w:val="22"/>
          <w:lang w:val="mi-NZ"/>
        </w:rPr>
      </w:pPr>
    </w:p>
    <w:p w14:paraId="6EDB5F7C" w14:textId="7D97D260" w:rsidR="00B14246" w:rsidRPr="00B14246" w:rsidRDefault="00B14246" w:rsidP="00B14246">
      <w:pPr>
        <w:pStyle w:val="ListParagraph"/>
        <w:numPr>
          <w:ilvl w:val="0"/>
          <w:numId w:val="9"/>
        </w:numPr>
        <w:ind w:hanging="720"/>
        <w:rPr>
          <w:rFonts w:cstheme="minorHAnsi"/>
          <w:sz w:val="22"/>
          <w:szCs w:val="22"/>
          <w:lang w:val="mi-NZ"/>
        </w:rPr>
      </w:pPr>
      <w:r w:rsidRPr="00B14246">
        <w:rPr>
          <w:rFonts w:cstheme="minorHAnsi"/>
          <w:sz w:val="22"/>
          <w:szCs w:val="22"/>
          <w:lang w:val="mi-NZ"/>
        </w:rPr>
        <w:t xml:space="preserve">A new entity, Aotearoa New Zealand Public Media (ANZPM),  is being established and presents an urgently needed opportunity to create, curate and deliver </w:t>
      </w:r>
      <w:r w:rsidRPr="00B14246">
        <w:rPr>
          <w:rFonts w:cstheme="minorHAnsi"/>
          <w:sz w:val="22"/>
          <w:szCs w:val="22"/>
          <w:lang w:val="en-NZ"/>
        </w:rPr>
        <w:t>high quality local content for children in places where they can find it.</w:t>
      </w:r>
      <w:r w:rsidRPr="00B14246">
        <w:rPr>
          <w:rFonts w:cstheme="minorHAnsi"/>
          <w:sz w:val="22"/>
          <w:szCs w:val="22"/>
          <w:vertAlign w:val="superscript"/>
          <w:lang w:val="mi-NZ"/>
        </w:rPr>
        <w:footnoteReference w:id="217"/>
      </w:r>
      <w:r w:rsidRPr="00B14246">
        <w:rPr>
          <w:rFonts w:cstheme="minorHAnsi"/>
          <w:sz w:val="22"/>
          <w:szCs w:val="22"/>
          <w:lang w:val="mi-NZ"/>
        </w:rPr>
        <w:t xml:space="preserve"> </w:t>
      </w:r>
      <w:r w:rsidRPr="00B14246">
        <w:rPr>
          <w:rFonts w:cstheme="minorHAnsi"/>
          <w:sz w:val="22"/>
          <w:szCs w:val="22"/>
          <w:vertAlign w:val="superscript"/>
          <w:lang w:val="en-NZ"/>
        </w:rPr>
        <w:t xml:space="preserve"> </w:t>
      </w:r>
      <w:r w:rsidRPr="00B14246">
        <w:rPr>
          <w:rFonts w:cstheme="minorHAnsi"/>
          <w:sz w:val="22"/>
          <w:szCs w:val="22"/>
          <w:vertAlign w:val="superscript"/>
          <w:lang w:val="en-NZ"/>
        </w:rPr>
        <w:footnoteReference w:id="218"/>
      </w:r>
    </w:p>
    <w:p w14:paraId="70EAFE8C" w14:textId="77777777" w:rsidR="00B14246" w:rsidRPr="00B14246" w:rsidRDefault="00B14246" w:rsidP="00B14246">
      <w:pPr>
        <w:pStyle w:val="ListParagraph"/>
        <w:rPr>
          <w:rFonts w:cstheme="minorHAnsi"/>
          <w:sz w:val="22"/>
          <w:szCs w:val="22"/>
          <w:lang w:val="mi-NZ"/>
        </w:rPr>
      </w:pPr>
    </w:p>
    <w:p w14:paraId="26B9F6B4" w14:textId="5ED12A60" w:rsidR="00B14246" w:rsidRPr="00B14246" w:rsidRDefault="00B14246" w:rsidP="00B14246">
      <w:pPr>
        <w:pStyle w:val="ListParagraph"/>
        <w:numPr>
          <w:ilvl w:val="0"/>
          <w:numId w:val="9"/>
        </w:numPr>
        <w:ind w:hanging="720"/>
        <w:rPr>
          <w:rFonts w:cstheme="minorHAnsi"/>
          <w:sz w:val="22"/>
          <w:szCs w:val="22"/>
          <w:lang w:val="en-NZ"/>
        </w:rPr>
      </w:pPr>
      <w:r w:rsidRPr="00B14246">
        <w:rPr>
          <w:rFonts w:cstheme="minorHAnsi"/>
          <w:sz w:val="22"/>
          <w:szCs w:val="22"/>
          <w:lang w:val="mi-NZ"/>
        </w:rPr>
        <w:t>The ANZPM Bill includes the purpose of supporting children’s emotional, physical and mental wellbeing, creativity, learning and development, social participation and sense of belonging.</w:t>
      </w:r>
      <w:r w:rsidRPr="00B14246">
        <w:rPr>
          <w:rFonts w:cstheme="minorHAnsi"/>
          <w:sz w:val="22"/>
          <w:szCs w:val="22"/>
          <w:vertAlign w:val="superscript"/>
          <w:lang w:val="mi-NZ"/>
        </w:rPr>
        <w:footnoteReference w:id="219"/>
      </w:r>
    </w:p>
    <w:p w14:paraId="18C424BF" w14:textId="77777777" w:rsidR="002A2ED8" w:rsidRDefault="002A2ED8" w:rsidP="002A2ED8">
      <w:pPr>
        <w:pStyle w:val="ListParagraph"/>
        <w:rPr>
          <w:rFonts w:cstheme="minorHAnsi"/>
          <w:sz w:val="22"/>
          <w:szCs w:val="22"/>
          <w:lang w:val="mi-NZ"/>
        </w:rPr>
      </w:pPr>
    </w:p>
    <w:p w14:paraId="0D5BC493" w14:textId="4CE2181E" w:rsidR="00970A6D" w:rsidRDefault="00BC4E04" w:rsidP="00B14246">
      <w:pPr>
        <w:pStyle w:val="ListParagraph"/>
        <w:numPr>
          <w:ilvl w:val="0"/>
          <w:numId w:val="9"/>
        </w:numPr>
        <w:ind w:hanging="720"/>
        <w:rPr>
          <w:rFonts w:cstheme="minorHAnsi"/>
          <w:sz w:val="22"/>
          <w:szCs w:val="22"/>
          <w:lang w:val="mi-NZ"/>
        </w:rPr>
      </w:pPr>
      <w:r>
        <w:rPr>
          <w:rFonts w:cstheme="minorHAnsi"/>
          <w:sz w:val="22"/>
          <w:szCs w:val="22"/>
          <w:lang w:val="mi-NZ"/>
        </w:rPr>
        <w:t>Currently, c</w:t>
      </w:r>
      <w:r w:rsidR="00B14246" w:rsidRPr="00B14246">
        <w:rPr>
          <w:rFonts w:cstheme="minorHAnsi"/>
          <w:sz w:val="22"/>
          <w:szCs w:val="22"/>
          <w:lang w:val="mi-NZ"/>
        </w:rPr>
        <w:t>hildren are an underserved audience in public media</w:t>
      </w:r>
      <w:r>
        <w:rPr>
          <w:rFonts w:cstheme="minorHAnsi"/>
          <w:sz w:val="22"/>
          <w:szCs w:val="22"/>
          <w:lang w:val="mi-NZ"/>
        </w:rPr>
        <w:t>.</w:t>
      </w:r>
      <w:r w:rsidR="00B14246" w:rsidRPr="00B14246">
        <w:rPr>
          <w:rFonts w:cstheme="minorHAnsi"/>
          <w:sz w:val="22"/>
          <w:szCs w:val="22"/>
          <w:lang w:val="mi-NZ"/>
        </w:rPr>
        <w:t xml:space="preserve"> </w:t>
      </w:r>
      <w:r>
        <w:rPr>
          <w:rFonts w:cstheme="minorHAnsi"/>
          <w:sz w:val="22"/>
          <w:szCs w:val="22"/>
          <w:lang w:val="mi-NZ"/>
        </w:rPr>
        <w:t>A</w:t>
      </w:r>
      <w:r w:rsidR="00B14246" w:rsidRPr="00B14246">
        <w:rPr>
          <w:rFonts w:cstheme="minorHAnsi"/>
          <w:sz w:val="22"/>
          <w:szCs w:val="22"/>
          <w:lang w:val="mi-NZ"/>
        </w:rPr>
        <w:t>s the changes are made</w:t>
      </w:r>
      <w:r>
        <w:rPr>
          <w:rFonts w:cstheme="minorHAnsi"/>
          <w:sz w:val="22"/>
          <w:szCs w:val="22"/>
          <w:lang w:val="mi-NZ"/>
        </w:rPr>
        <w:t>,</w:t>
      </w:r>
      <w:r w:rsidR="00B14246" w:rsidRPr="00B14246">
        <w:rPr>
          <w:rFonts w:cstheme="minorHAnsi"/>
          <w:sz w:val="22"/>
          <w:szCs w:val="22"/>
          <w:lang w:val="mi-NZ"/>
        </w:rPr>
        <w:t xml:space="preserve"> it will be important that content creation for, and delivery </w:t>
      </w:r>
      <w:r w:rsidR="00B14246" w:rsidRPr="00B14246">
        <w:rPr>
          <w:rFonts w:cstheme="minorHAnsi"/>
          <w:sz w:val="22"/>
          <w:szCs w:val="22"/>
          <w:lang w:val="mi-NZ"/>
        </w:rPr>
        <w:lastRenderedPageBreak/>
        <w:t>to, children, particularly of local content, is prioritised and funded so Aotearoa’s children can see themselves and their stories in their public media.</w:t>
      </w:r>
    </w:p>
    <w:p w14:paraId="11AD9500" w14:textId="77777777" w:rsidR="00B14246" w:rsidRPr="00B14246" w:rsidRDefault="00B14246" w:rsidP="00B14246">
      <w:pPr>
        <w:pStyle w:val="IntenseQuote"/>
        <w:ind w:left="720"/>
        <w:jc w:val="left"/>
        <w:rPr>
          <w:b/>
          <w:bCs/>
          <w:i w:val="0"/>
          <w:iCs w:val="0"/>
          <w:sz w:val="24"/>
          <w:szCs w:val="24"/>
          <w:lang w:val="mi-NZ"/>
        </w:rPr>
      </w:pPr>
      <w:r w:rsidRPr="00B14246">
        <w:rPr>
          <w:b/>
          <w:bCs/>
          <w:i w:val="0"/>
          <w:iCs w:val="0"/>
          <w:sz w:val="24"/>
          <w:szCs w:val="24"/>
          <w:lang w:val="mi-NZ"/>
        </w:rPr>
        <w:t>Recommendations</w:t>
      </w:r>
    </w:p>
    <w:p w14:paraId="4B39E6AF" w14:textId="77777777" w:rsidR="00B14246" w:rsidRPr="00B14246" w:rsidRDefault="00B14246" w:rsidP="00916EA3">
      <w:pPr>
        <w:pStyle w:val="IntenseQuote"/>
        <w:numPr>
          <w:ilvl w:val="0"/>
          <w:numId w:val="11"/>
        </w:numPr>
        <w:jc w:val="left"/>
        <w:rPr>
          <w:i w:val="0"/>
          <w:iCs w:val="0"/>
          <w:sz w:val="22"/>
          <w:szCs w:val="22"/>
          <w:lang w:val="mi-NZ"/>
        </w:rPr>
      </w:pPr>
      <w:r w:rsidRPr="00B14246">
        <w:rPr>
          <w:i w:val="0"/>
          <w:iCs w:val="0"/>
          <w:sz w:val="22"/>
          <w:szCs w:val="22"/>
          <w:lang w:val="mi-NZ"/>
        </w:rPr>
        <w:t>Embed a children’s rights approach in ANZPM and require the best interests of children to be a primary consideration in editorial decision-making.</w:t>
      </w:r>
    </w:p>
    <w:p w14:paraId="07539E92" w14:textId="77777777" w:rsidR="00B14246" w:rsidRPr="00B14246" w:rsidRDefault="00B14246" w:rsidP="00916EA3">
      <w:pPr>
        <w:pStyle w:val="IntenseQuote"/>
        <w:numPr>
          <w:ilvl w:val="0"/>
          <w:numId w:val="11"/>
        </w:numPr>
        <w:jc w:val="left"/>
        <w:rPr>
          <w:i w:val="0"/>
          <w:iCs w:val="0"/>
          <w:sz w:val="22"/>
          <w:szCs w:val="22"/>
          <w:lang w:val="mi-NZ"/>
        </w:rPr>
      </w:pPr>
      <w:r w:rsidRPr="00B14246">
        <w:rPr>
          <w:i w:val="0"/>
          <w:iCs w:val="0"/>
          <w:sz w:val="22"/>
          <w:szCs w:val="22"/>
          <w:lang w:val="mi-NZ"/>
        </w:rPr>
        <w:t>Prioritise children’s content, especially the local content, in the structure and operation of ANZPM from the outset.</w:t>
      </w:r>
    </w:p>
    <w:p w14:paraId="40EE2370" w14:textId="0D116F50" w:rsidR="00B14246" w:rsidRPr="002A2ED8" w:rsidRDefault="00B14246" w:rsidP="002A2ED8">
      <w:pPr>
        <w:pStyle w:val="Heading2"/>
        <w:rPr>
          <w:lang w:val="mi-NZ"/>
        </w:rPr>
      </w:pPr>
      <w:bookmarkStart w:id="33" w:name="_Toc111485457"/>
      <w:r w:rsidRPr="00E7687D">
        <w:rPr>
          <w:lang w:val="mi-NZ"/>
        </w:rPr>
        <w:t>Books and stories</w:t>
      </w:r>
      <w:bookmarkEnd w:id="33"/>
    </w:p>
    <w:p w14:paraId="5EE5DFB4" w14:textId="77777777" w:rsidR="00B14246" w:rsidRPr="00B14246" w:rsidRDefault="00B14246" w:rsidP="00B14246">
      <w:pPr>
        <w:rPr>
          <w:rFonts w:cstheme="minorHAnsi"/>
          <w:sz w:val="22"/>
          <w:szCs w:val="22"/>
          <w:lang w:val="mi-NZ"/>
        </w:rPr>
      </w:pPr>
    </w:p>
    <w:p w14:paraId="0C328A76" w14:textId="77777777" w:rsidR="007910FA" w:rsidRDefault="007910FA" w:rsidP="007910FA">
      <w:pPr>
        <w:pStyle w:val="ListParagraph"/>
        <w:numPr>
          <w:ilvl w:val="0"/>
          <w:numId w:val="9"/>
        </w:numPr>
        <w:ind w:hanging="720"/>
        <w:rPr>
          <w:rFonts w:cstheme="minorHAnsi"/>
          <w:sz w:val="22"/>
          <w:szCs w:val="22"/>
          <w:lang w:val="mi-NZ"/>
        </w:rPr>
      </w:pPr>
      <w:r w:rsidRPr="007910FA">
        <w:rPr>
          <w:rFonts w:cstheme="minorHAnsi"/>
          <w:sz w:val="22"/>
          <w:szCs w:val="22"/>
          <w:lang w:val="mi-NZ"/>
        </w:rPr>
        <w:t>Aotearoa’s first Reading Ambassador has been appointed to advocate for and champion the importance of reading for children.</w:t>
      </w:r>
      <w:r w:rsidRPr="007910FA">
        <w:rPr>
          <w:rFonts w:cstheme="minorHAnsi"/>
          <w:sz w:val="22"/>
          <w:szCs w:val="22"/>
          <w:vertAlign w:val="superscript"/>
          <w:lang w:val="mi-NZ"/>
        </w:rPr>
        <w:footnoteReference w:id="220"/>
      </w:r>
      <w:r w:rsidRPr="007910FA">
        <w:rPr>
          <w:rFonts w:cstheme="minorHAnsi"/>
          <w:sz w:val="22"/>
          <w:szCs w:val="22"/>
          <w:lang w:val="mi-NZ"/>
        </w:rPr>
        <w:t xml:space="preserve"> More books are being published in Te Reo.</w:t>
      </w:r>
      <w:r w:rsidRPr="007910FA">
        <w:rPr>
          <w:rFonts w:cstheme="minorHAnsi"/>
          <w:sz w:val="22"/>
          <w:szCs w:val="22"/>
          <w:vertAlign w:val="superscript"/>
          <w:lang w:val="mi-NZ"/>
        </w:rPr>
        <w:footnoteReference w:id="221"/>
      </w:r>
      <w:r w:rsidRPr="007910FA">
        <w:rPr>
          <w:rFonts w:cstheme="minorHAnsi"/>
          <w:sz w:val="22"/>
          <w:szCs w:val="22"/>
          <w:lang w:val="mi-NZ"/>
        </w:rPr>
        <w:t xml:space="preserve"> </w:t>
      </w:r>
    </w:p>
    <w:p w14:paraId="4F90C90A" w14:textId="77777777" w:rsidR="007910FA" w:rsidRDefault="007910FA" w:rsidP="007910FA">
      <w:pPr>
        <w:pStyle w:val="ListParagraph"/>
        <w:rPr>
          <w:rFonts w:cstheme="minorHAnsi"/>
          <w:sz w:val="22"/>
          <w:szCs w:val="22"/>
          <w:lang w:val="mi-NZ"/>
        </w:rPr>
      </w:pPr>
    </w:p>
    <w:p w14:paraId="09B47650" w14:textId="09F6791B" w:rsidR="007910FA" w:rsidRDefault="007910FA" w:rsidP="007910FA">
      <w:pPr>
        <w:pStyle w:val="ListParagraph"/>
        <w:numPr>
          <w:ilvl w:val="0"/>
          <w:numId w:val="9"/>
        </w:numPr>
        <w:ind w:hanging="720"/>
        <w:rPr>
          <w:rFonts w:cstheme="minorHAnsi"/>
          <w:sz w:val="22"/>
          <w:szCs w:val="22"/>
          <w:lang w:val="mi-NZ"/>
        </w:rPr>
      </w:pPr>
      <w:r w:rsidRPr="007910FA">
        <w:rPr>
          <w:rFonts w:cstheme="minorHAnsi"/>
          <w:sz w:val="22"/>
          <w:szCs w:val="22"/>
          <w:lang w:val="mi-NZ"/>
        </w:rPr>
        <w:t>However, children’s literacy rates are falling and fewer children are reading books for pleasure, with experts pointing to children not having books, parents being too tired to read with their children, teachers reading less themselves, and increased screen time.</w:t>
      </w:r>
      <w:r w:rsidRPr="007910FA">
        <w:rPr>
          <w:rFonts w:cstheme="minorHAnsi"/>
          <w:sz w:val="22"/>
          <w:szCs w:val="22"/>
          <w:vertAlign w:val="superscript"/>
          <w:lang w:val="mi-NZ"/>
        </w:rPr>
        <w:footnoteReference w:id="222"/>
      </w:r>
      <w:r w:rsidRPr="007910FA">
        <w:rPr>
          <w:rFonts w:cstheme="minorHAnsi"/>
          <w:sz w:val="22"/>
          <w:szCs w:val="22"/>
          <w:lang w:val="mi-NZ"/>
        </w:rPr>
        <w:t xml:space="preserve"> </w:t>
      </w:r>
      <w:r w:rsidRPr="007910FA">
        <w:rPr>
          <w:rFonts w:cstheme="minorHAnsi"/>
          <w:sz w:val="22"/>
          <w:szCs w:val="22"/>
          <w:vertAlign w:val="superscript"/>
          <w:lang w:val="mi-NZ"/>
        </w:rPr>
        <w:footnoteReference w:id="223"/>
      </w:r>
      <w:r w:rsidRPr="007910FA">
        <w:rPr>
          <w:rFonts w:cstheme="minorHAnsi"/>
          <w:sz w:val="22"/>
          <w:szCs w:val="22"/>
          <w:lang w:val="mi-NZ"/>
        </w:rPr>
        <w:t xml:space="preserve"> </w:t>
      </w:r>
    </w:p>
    <w:p w14:paraId="6DAED173" w14:textId="77777777" w:rsidR="007910FA" w:rsidRPr="007910FA" w:rsidRDefault="007910FA" w:rsidP="007910FA">
      <w:pPr>
        <w:pStyle w:val="IntenseQuote"/>
        <w:ind w:left="720"/>
        <w:jc w:val="left"/>
        <w:rPr>
          <w:b/>
          <w:bCs/>
          <w:i w:val="0"/>
          <w:iCs w:val="0"/>
          <w:sz w:val="24"/>
          <w:szCs w:val="24"/>
          <w:lang w:val="mi-NZ"/>
        </w:rPr>
      </w:pPr>
      <w:r w:rsidRPr="007910FA">
        <w:rPr>
          <w:b/>
          <w:bCs/>
          <w:i w:val="0"/>
          <w:iCs w:val="0"/>
          <w:sz w:val="24"/>
          <w:szCs w:val="24"/>
          <w:lang w:val="mi-NZ"/>
        </w:rPr>
        <w:t>Recommendations</w:t>
      </w:r>
    </w:p>
    <w:p w14:paraId="66A6156C" w14:textId="77777777" w:rsidR="007910FA" w:rsidRPr="007910FA" w:rsidRDefault="007910FA" w:rsidP="00916EA3">
      <w:pPr>
        <w:pStyle w:val="IntenseQuote"/>
        <w:numPr>
          <w:ilvl w:val="0"/>
          <w:numId w:val="11"/>
        </w:numPr>
        <w:jc w:val="left"/>
        <w:rPr>
          <w:i w:val="0"/>
          <w:iCs w:val="0"/>
          <w:sz w:val="22"/>
          <w:szCs w:val="22"/>
          <w:lang w:val="mi-NZ"/>
        </w:rPr>
      </w:pPr>
      <w:r w:rsidRPr="007910FA">
        <w:rPr>
          <w:i w:val="0"/>
          <w:iCs w:val="0"/>
          <w:sz w:val="22"/>
          <w:szCs w:val="22"/>
          <w:lang w:val="mi-NZ"/>
        </w:rPr>
        <w:t>Ensure all children have access to books and stories.</w:t>
      </w:r>
    </w:p>
    <w:p w14:paraId="0C90B8C3" w14:textId="3952FAC9" w:rsidR="007910FA" w:rsidRPr="007910FA" w:rsidRDefault="007910FA" w:rsidP="00916EA3">
      <w:pPr>
        <w:pStyle w:val="IntenseQuote"/>
        <w:numPr>
          <w:ilvl w:val="0"/>
          <w:numId w:val="11"/>
        </w:numPr>
        <w:jc w:val="left"/>
        <w:rPr>
          <w:i w:val="0"/>
          <w:iCs w:val="0"/>
          <w:sz w:val="22"/>
          <w:szCs w:val="22"/>
          <w:lang w:val="mi-NZ"/>
        </w:rPr>
      </w:pPr>
      <w:r w:rsidRPr="007910FA">
        <w:rPr>
          <w:i w:val="0"/>
          <w:iCs w:val="0"/>
          <w:sz w:val="22"/>
          <w:szCs w:val="22"/>
          <w:lang w:val="mi-NZ"/>
        </w:rPr>
        <w:t>Support adults to read with their children, including through time</w:t>
      </w:r>
      <w:r w:rsidR="00FC2686">
        <w:rPr>
          <w:i w:val="0"/>
          <w:iCs w:val="0"/>
          <w:sz w:val="22"/>
          <w:szCs w:val="22"/>
          <w:lang w:val="mi-NZ"/>
        </w:rPr>
        <w:t xml:space="preserve"> with their children</w:t>
      </w:r>
      <w:r w:rsidRPr="007910FA">
        <w:rPr>
          <w:i w:val="0"/>
          <w:iCs w:val="0"/>
          <w:sz w:val="22"/>
          <w:szCs w:val="22"/>
          <w:lang w:val="mi-NZ"/>
        </w:rPr>
        <w:t xml:space="preserve"> and improved adult literacy.</w:t>
      </w:r>
    </w:p>
    <w:p w14:paraId="63C4BEC4" w14:textId="77777777" w:rsidR="002A2ED8" w:rsidRDefault="002A2ED8">
      <w:pPr>
        <w:rPr>
          <w:rFonts w:asciiTheme="majorHAnsi" w:eastAsiaTheme="majorEastAsia" w:hAnsiTheme="majorHAnsi" w:cstheme="majorBidi"/>
          <w:b/>
          <w:bCs/>
          <w:color w:val="25409A" w:themeColor="text2"/>
          <w:sz w:val="28"/>
          <w:szCs w:val="28"/>
        </w:rPr>
      </w:pPr>
      <w:r>
        <w:br w:type="page"/>
      </w:r>
    </w:p>
    <w:p w14:paraId="330AC113" w14:textId="6957AE40" w:rsidR="00061CEB" w:rsidRPr="00061CEB" w:rsidRDefault="00061CEB" w:rsidP="00061CEB">
      <w:pPr>
        <w:pStyle w:val="Heading1"/>
      </w:pPr>
      <w:bookmarkStart w:id="34" w:name="_Toc111485458"/>
      <w:r w:rsidRPr="00061CEB">
        <w:lastRenderedPageBreak/>
        <w:t>Freedom from Violence – LOIPR 16</w:t>
      </w:r>
      <w:bookmarkEnd w:id="34"/>
    </w:p>
    <w:p w14:paraId="6BB6039B" w14:textId="77777777" w:rsidR="007910FA" w:rsidRPr="007910FA" w:rsidRDefault="007910FA" w:rsidP="007910FA">
      <w:pPr>
        <w:rPr>
          <w:rFonts w:cstheme="minorHAnsi"/>
          <w:sz w:val="22"/>
          <w:szCs w:val="22"/>
          <w:lang w:val="mi-NZ"/>
        </w:rPr>
      </w:pPr>
    </w:p>
    <w:p w14:paraId="3B753FF6" w14:textId="7B0134B8" w:rsidR="00061CEB" w:rsidRDefault="00061CEB" w:rsidP="00061CEB">
      <w:pPr>
        <w:pStyle w:val="ListParagraph"/>
        <w:numPr>
          <w:ilvl w:val="0"/>
          <w:numId w:val="9"/>
        </w:numPr>
        <w:ind w:hanging="720"/>
        <w:rPr>
          <w:rFonts w:cstheme="minorHAnsi"/>
          <w:sz w:val="22"/>
          <w:szCs w:val="22"/>
          <w:lang w:val="en-NZ"/>
        </w:rPr>
      </w:pPr>
      <w:r w:rsidRPr="00061CEB">
        <w:rPr>
          <w:rFonts w:cstheme="minorHAnsi"/>
          <w:sz w:val="22"/>
          <w:szCs w:val="22"/>
          <w:lang w:val="en-NZ"/>
        </w:rPr>
        <w:t xml:space="preserve">Violence is a pervasive issue in Aotearoa. It is essential that the way violence affects children is well-understood, prevented and responded to as an integral part of Government’s cross-agency work to eliminate violence and abuse. </w:t>
      </w:r>
    </w:p>
    <w:p w14:paraId="78506CDA" w14:textId="77777777" w:rsidR="00861F16" w:rsidRDefault="00861F16" w:rsidP="00861F16">
      <w:pPr>
        <w:pStyle w:val="ListParagraph"/>
        <w:rPr>
          <w:rFonts w:cstheme="minorHAnsi"/>
          <w:sz w:val="22"/>
          <w:szCs w:val="22"/>
          <w:lang w:val="en-NZ"/>
        </w:rPr>
      </w:pPr>
    </w:p>
    <w:p w14:paraId="73B90E90" w14:textId="77777777" w:rsidR="00061CEB" w:rsidRPr="00061CEB" w:rsidRDefault="00061CEB" w:rsidP="00061CEB">
      <w:pPr>
        <w:pStyle w:val="Heading2"/>
      </w:pPr>
      <w:bookmarkStart w:id="35" w:name="_Toc111485459"/>
      <w:proofErr w:type="spellStart"/>
      <w:r w:rsidRPr="00061CEB">
        <w:t>Te</w:t>
      </w:r>
      <w:proofErr w:type="spellEnd"/>
      <w:r w:rsidRPr="00061CEB">
        <w:t xml:space="preserve"> </w:t>
      </w:r>
      <w:proofErr w:type="spellStart"/>
      <w:r w:rsidRPr="00061CEB">
        <w:t>Aorerekura</w:t>
      </w:r>
      <w:proofErr w:type="spellEnd"/>
      <w:r w:rsidRPr="00061CEB">
        <w:t>: The National Strategy to Eliminate Family Violence and Sexual Violence</w:t>
      </w:r>
      <w:bookmarkEnd w:id="35"/>
    </w:p>
    <w:p w14:paraId="53EF1386" w14:textId="77777777" w:rsidR="00061CEB" w:rsidRPr="00061CEB" w:rsidRDefault="00061CEB" w:rsidP="00061CEB">
      <w:pPr>
        <w:rPr>
          <w:rFonts w:cstheme="minorHAnsi"/>
          <w:sz w:val="22"/>
          <w:szCs w:val="22"/>
          <w:lang w:val="en-NZ"/>
        </w:rPr>
      </w:pPr>
    </w:p>
    <w:p w14:paraId="0ABF47F0" w14:textId="102EE3C2" w:rsidR="00061CEB" w:rsidRPr="00061CEB" w:rsidRDefault="00061CEB" w:rsidP="00061CEB">
      <w:pPr>
        <w:pStyle w:val="ListParagraph"/>
        <w:numPr>
          <w:ilvl w:val="0"/>
          <w:numId w:val="9"/>
        </w:numPr>
        <w:ind w:hanging="720"/>
        <w:rPr>
          <w:rFonts w:cstheme="minorHAnsi"/>
          <w:sz w:val="22"/>
          <w:szCs w:val="22"/>
          <w:lang w:val="mi-NZ"/>
        </w:rPr>
      </w:pPr>
      <w:r w:rsidRPr="00061CEB">
        <w:rPr>
          <w:rFonts w:cstheme="minorHAnsi"/>
          <w:sz w:val="22"/>
          <w:szCs w:val="22"/>
          <w:lang w:val="mi-NZ"/>
        </w:rPr>
        <w:t>‘Te Aorerekura: The Enduring Spirit of Affection’,</w:t>
      </w:r>
      <w:r w:rsidRPr="00061CEB">
        <w:rPr>
          <w:rFonts w:cstheme="minorHAnsi"/>
          <w:sz w:val="22"/>
          <w:szCs w:val="22"/>
          <w:vertAlign w:val="superscript"/>
          <w:lang w:val="mi-NZ"/>
        </w:rPr>
        <w:footnoteReference w:id="224"/>
      </w:r>
      <w:r w:rsidRPr="00061CEB">
        <w:rPr>
          <w:rFonts w:cstheme="minorHAnsi"/>
          <w:sz w:val="22"/>
          <w:szCs w:val="22"/>
          <w:lang w:val="mi-NZ"/>
        </w:rPr>
        <w:t xml:space="preserve"> aligns with the holistic approach of children’s rights. It is based on interactions between toiora (enduring), which is about protecting and nurturing the potential inside every person, wairua (spirit) which is about the essence and connections between people and the world around them, and aroha (affection), which is about giving and receiving expressions of love – such as affection, compassion, care, healing, kindness, empathy and respect. Mobilising communities is central to Te Aorerekura.</w:t>
      </w:r>
      <w:r w:rsidRPr="00061CEB">
        <w:rPr>
          <w:rFonts w:cstheme="minorHAnsi"/>
          <w:sz w:val="22"/>
          <w:szCs w:val="22"/>
          <w:vertAlign w:val="superscript"/>
          <w:lang w:val="mi-NZ"/>
        </w:rPr>
        <w:footnoteReference w:id="225"/>
      </w:r>
      <w:r w:rsidRPr="00061CEB">
        <w:rPr>
          <w:rFonts w:cstheme="minorHAnsi"/>
          <w:sz w:val="22"/>
          <w:szCs w:val="22"/>
          <w:lang w:val="mi-NZ"/>
        </w:rPr>
        <w:t xml:space="preserve"> </w:t>
      </w:r>
    </w:p>
    <w:p w14:paraId="673773A3" w14:textId="77777777" w:rsidR="00061CEB" w:rsidRPr="00061CEB" w:rsidRDefault="00061CEB" w:rsidP="00061CEB">
      <w:pPr>
        <w:pStyle w:val="ListParagraph"/>
        <w:rPr>
          <w:rFonts w:cstheme="minorHAnsi"/>
          <w:sz w:val="22"/>
          <w:szCs w:val="22"/>
          <w:lang w:val="mi-NZ"/>
        </w:rPr>
      </w:pPr>
    </w:p>
    <w:p w14:paraId="555C2FEC" w14:textId="77777777" w:rsidR="00061CEB" w:rsidRPr="00061CEB" w:rsidRDefault="00061CEB" w:rsidP="00061CEB">
      <w:pPr>
        <w:pStyle w:val="ListParagraph"/>
        <w:numPr>
          <w:ilvl w:val="0"/>
          <w:numId w:val="9"/>
        </w:numPr>
        <w:ind w:hanging="720"/>
        <w:rPr>
          <w:rFonts w:cstheme="minorHAnsi"/>
          <w:sz w:val="22"/>
          <w:szCs w:val="22"/>
          <w:lang w:val="mi-NZ"/>
        </w:rPr>
      </w:pPr>
      <w:r w:rsidRPr="00061CEB">
        <w:rPr>
          <w:rFonts w:cstheme="minorHAnsi"/>
          <w:sz w:val="22"/>
          <w:szCs w:val="22"/>
          <w:lang w:val="mi-NZ"/>
        </w:rPr>
        <w:t>In Aotearoa, violence impacts disproportionately on sections of society, including children, women and girls, and on people who experience compounding forms of disadvantage and discrimination, such as disabled children and rainbow children.</w:t>
      </w:r>
      <w:r w:rsidRPr="00061CEB">
        <w:rPr>
          <w:rFonts w:cstheme="minorHAnsi"/>
          <w:sz w:val="22"/>
          <w:szCs w:val="22"/>
          <w:vertAlign w:val="superscript"/>
          <w:lang w:val="mi-NZ"/>
        </w:rPr>
        <w:footnoteReference w:id="226"/>
      </w:r>
      <w:r w:rsidRPr="00061CEB">
        <w:rPr>
          <w:rFonts w:cstheme="minorHAnsi"/>
          <w:sz w:val="22"/>
          <w:szCs w:val="22"/>
          <w:lang w:val="mi-NZ"/>
        </w:rPr>
        <w:t xml:space="preserve"> For example, disabled children have a three times higher risk of being exposed to physical and sexual abuse than other children.</w:t>
      </w:r>
      <w:r w:rsidRPr="00061CEB">
        <w:rPr>
          <w:rFonts w:cstheme="minorHAnsi"/>
          <w:sz w:val="22"/>
          <w:szCs w:val="22"/>
          <w:vertAlign w:val="superscript"/>
          <w:lang w:val="mi-NZ"/>
        </w:rPr>
        <w:footnoteReference w:id="227"/>
      </w:r>
    </w:p>
    <w:p w14:paraId="4CA7464D" w14:textId="77777777" w:rsidR="00061CEB" w:rsidRPr="00061CEB" w:rsidRDefault="00061CEB" w:rsidP="00061CEB">
      <w:pPr>
        <w:pStyle w:val="ListParagraph"/>
        <w:rPr>
          <w:rFonts w:cstheme="minorHAnsi"/>
          <w:sz w:val="22"/>
          <w:szCs w:val="22"/>
          <w:lang w:val="mi-NZ"/>
        </w:rPr>
      </w:pPr>
    </w:p>
    <w:p w14:paraId="4840E272" w14:textId="4674BF75" w:rsidR="00061CEB" w:rsidRPr="00061CEB" w:rsidRDefault="00061CEB" w:rsidP="00061CEB">
      <w:pPr>
        <w:pStyle w:val="ListParagraph"/>
        <w:numPr>
          <w:ilvl w:val="0"/>
          <w:numId w:val="9"/>
        </w:numPr>
        <w:ind w:hanging="720"/>
        <w:rPr>
          <w:rFonts w:cstheme="minorHAnsi"/>
          <w:sz w:val="22"/>
          <w:szCs w:val="22"/>
          <w:lang w:val="mi-NZ"/>
        </w:rPr>
      </w:pPr>
      <w:r w:rsidRPr="00061CEB">
        <w:rPr>
          <w:rFonts w:cstheme="minorHAnsi"/>
          <w:sz w:val="22"/>
          <w:szCs w:val="22"/>
          <w:lang w:val="mi-NZ"/>
        </w:rPr>
        <w:t xml:space="preserve">Government has recognised the need to build on and share new data, research and evidence to improve practice and strengthen relationships as the Strategy is implemented, and the need for a generation of sustained </w:t>
      </w:r>
      <w:r w:rsidRPr="00061CEB">
        <w:rPr>
          <w:rFonts w:cstheme="minorHAnsi"/>
          <w:sz w:val="22"/>
          <w:szCs w:val="22"/>
          <w:lang w:val="mi-NZ"/>
        </w:rPr>
        <w:lastRenderedPageBreak/>
        <w:t>investment and focus to strengthen the protective factors and and enable social changes.</w:t>
      </w:r>
      <w:r w:rsidRPr="00061CEB">
        <w:rPr>
          <w:rFonts w:cstheme="minorHAnsi"/>
          <w:sz w:val="22"/>
          <w:szCs w:val="22"/>
          <w:vertAlign w:val="superscript"/>
          <w:lang w:val="mi-NZ"/>
        </w:rPr>
        <w:footnoteReference w:id="228"/>
      </w:r>
      <w:r w:rsidRPr="00061CEB">
        <w:rPr>
          <w:rFonts w:cstheme="minorHAnsi"/>
          <w:sz w:val="22"/>
          <w:szCs w:val="22"/>
          <w:lang w:val="mi-NZ"/>
        </w:rPr>
        <w:t xml:space="preserve"> </w:t>
      </w:r>
      <w:r w:rsidRPr="00061CEB">
        <w:rPr>
          <w:rFonts w:cstheme="minorHAnsi"/>
          <w:sz w:val="22"/>
          <w:szCs w:val="22"/>
          <w:vertAlign w:val="superscript"/>
          <w:lang w:val="mi-NZ"/>
        </w:rPr>
        <w:footnoteReference w:id="229"/>
      </w:r>
    </w:p>
    <w:p w14:paraId="7C3C0D85" w14:textId="77777777" w:rsidR="00061CEB" w:rsidRPr="00061CEB" w:rsidRDefault="00061CEB" w:rsidP="00061CEB">
      <w:pPr>
        <w:pStyle w:val="ListParagraph"/>
        <w:rPr>
          <w:rFonts w:cstheme="minorHAnsi"/>
          <w:sz w:val="22"/>
          <w:szCs w:val="22"/>
          <w:lang w:val="mi-NZ"/>
        </w:rPr>
      </w:pPr>
    </w:p>
    <w:p w14:paraId="26DFACEA" w14:textId="1C70AE5A" w:rsidR="00061CEB" w:rsidRPr="00061CEB" w:rsidRDefault="00061CEB" w:rsidP="00061CEB">
      <w:pPr>
        <w:pStyle w:val="ListParagraph"/>
        <w:numPr>
          <w:ilvl w:val="0"/>
          <w:numId w:val="9"/>
        </w:numPr>
        <w:ind w:hanging="720"/>
        <w:rPr>
          <w:rFonts w:cstheme="minorHAnsi"/>
          <w:sz w:val="22"/>
          <w:szCs w:val="22"/>
          <w:lang w:val="mi-NZ"/>
        </w:rPr>
      </w:pPr>
      <w:r w:rsidRPr="00061CEB">
        <w:rPr>
          <w:rFonts w:cstheme="minorHAnsi"/>
          <w:sz w:val="22"/>
          <w:szCs w:val="22"/>
          <w:lang w:val="mi-NZ"/>
        </w:rPr>
        <w:t xml:space="preserve">We welcome Government’s commitment to </w:t>
      </w:r>
      <w:r w:rsidR="00215FA4">
        <w:rPr>
          <w:rFonts w:cstheme="minorHAnsi"/>
          <w:sz w:val="22"/>
          <w:szCs w:val="22"/>
          <w:lang w:val="mi-NZ"/>
        </w:rPr>
        <w:t>implementing</w:t>
      </w:r>
      <w:r w:rsidR="00215FA4" w:rsidRPr="00061CEB">
        <w:rPr>
          <w:rFonts w:cstheme="minorHAnsi"/>
          <w:sz w:val="22"/>
          <w:szCs w:val="22"/>
          <w:lang w:val="mi-NZ"/>
        </w:rPr>
        <w:t xml:space="preserve"> </w:t>
      </w:r>
      <w:r w:rsidRPr="00061CEB">
        <w:rPr>
          <w:rFonts w:cstheme="minorHAnsi"/>
          <w:sz w:val="22"/>
          <w:szCs w:val="22"/>
          <w:lang w:val="mi-NZ"/>
        </w:rPr>
        <w:t xml:space="preserve">Te Aorerekura </w:t>
      </w:r>
      <w:r w:rsidR="00215FA4">
        <w:rPr>
          <w:rFonts w:cstheme="minorHAnsi"/>
          <w:sz w:val="22"/>
          <w:szCs w:val="22"/>
          <w:lang w:val="mi-NZ"/>
        </w:rPr>
        <w:t>consistent with</w:t>
      </w:r>
      <w:r w:rsidRPr="00061CEB">
        <w:rPr>
          <w:rFonts w:cstheme="minorHAnsi"/>
          <w:sz w:val="22"/>
          <w:szCs w:val="22"/>
          <w:lang w:val="mi-NZ"/>
        </w:rPr>
        <w:t xml:space="preserve"> international obligations and other national strategies that address human rights issues and inequalities.</w:t>
      </w:r>
      <w:r w:rsidRPr="00061CEB">
        <w:rPr>
          <w:rFonts w:cstheme="minorHAnsi"/>
          <w:sz w:val="22"/>
          <w:szCs w:val="22"/>
          <w:vertAlign w:val="superscript"/>
          <w:lang w:val="mi-NZ"/>
        </w:rPr>
        <w:footnoteReference w:id="230"/>
      </w:r>
    </w:p>
    <w:p w14:paraId="6DF961C0" w14:textId="77777777" w:rsidR="00061CEB" w:rsidRPr="00061CEB" w:rsidRDefault="00061CEB" w:rsidP="00061CEB">
      <w:pPr>
        <w:pStyle w:val="ListParagraph"/>
        <w:rPr>
          <w:rFonts w:cstheme="minorHAnsi"/>
          <w:sz w:val="22"/>
          <w:szCs w:val="22"/>
          <w:lang w:val="mi-NZ"/>
        </w:rPr>
      </w:pPr>
    </w:p>
    <w:p w14:paraId="1327ED4D" w14:textId="77777777" w:rsidR="00061CEB" w:rsidRPr="00061CEB" w:rsidRDefault="00061CEB" w:rsidP="00061CEB">
      <w:pPr>
        <w:pStyle w:val="ListParagraph"/>
        <w:numPr>
          <w:ilvl w:val="0"/>
          <w:numId w:val="9"/>
        </w:numPr>
        <w:ind w:hanging="720"/>
        <w:rPr>
          <w:rFonts w:cstheme="minorHAnsi"/>
          <w:sz w:val="22"/>
          <w:szCs w:val="22"/>
          <w:lang w:val="mi-NZ"/>
        </w:rPr>
      </w:pPr>
      <w:r w:rsidRPr="00061CEB">
        <w:rPr>
          <w:rFonts w:cstheme="minorHAnsi"/>
          <w:sz w:val="22"/>
          <w:szCs w:val="22"/>
          <w:lang w:val="mi-NZ"/>
        </w:rPr>
        <w:t>However, despite Te Aorerekura stating that “</w:t>
      </w:r>
      <w:r w:rsidRPr="00061CEB">
        <w:rPr>
          <w:rFonts w:cstheme="minorHAnsi"/>
          <w:sz w:val="22"/>
          <w:szCs w:val="22"/>
          <w:lang w:val="en-NZ"/>
        </w:rPr>
        <w:t>Children and young people need to be at the centre of systems and responses to address family violence and sexual violence”,</w:t>
      </w:r>
      <w:r w:rsidRPr="00061CEB">
        <w:rPr>
          <w:rFonts w:cstheme="minorHAnsi"/>
          <w:sz w:val="22"/>
          <w:szCs w:val="22"/>
          <w:vertAlign w:val="superscript"/>
          <w:lang w:val="en-NZ"/>
        </w:rPr>
        <w:footnoteReference w:id="231"/>
      </w:r>
      <w:r w:rsidRPr="00061CEB">
        <w:rPr>
          <w:rFonts w:cstheme="minorHAnsi"/>
          <w:sz w:val="22"/>
          <w:szCs w:val="22"/>
          <w:lang w:val="en-NZ"/>
        </w:rPr>
        <w:t xml:space="preserve"> the specific focus on children and their rights and needs in the Strategy and Action Plan</w:t>
      </w:r>
      <w:r w:rsidRPr="00061CEB">
        <w:rPr>
          <w:rFonts w:cstheme="minorHAnsi"/>
          <w:sz w:val="22"/>
          <w:szCs w:val="22"/>
          <w:vertAlign w:val="superscript"/>
          <w:lang w:val="en-NZ"/>
        </w:rPr>
        <w:footnoteReference w:id="232"/>
      </w:r>
      <w:r w:rsidRPr="00061CEB">
        <w:rPr>
          <w:rFonts w:cstheme="minorHAnsi"/>
          <w:sz w:val="22"/>
          <w:szCs w:val="22"/>
          <w:lang w:val="en-NZ"/>
        </w:rPr>
        <w:t xml:space="preserve"> remains limited (including for specific groups of children, for example, disabled children), especially given children (along with women) most commonly experience family and sexual violence.</w:t>
      </w:r>
      <w:r w:rsidRPr="00061CEB">
        <w:rPr>
          <w:rFonts w:cstheme="minorHAnsi"/>
          <w:sz w:val="22"/>
          <w:szCs w:val="22"/>
          <w:vertAlign w:val="superscript"/>
          <w:lang w:val="en-NZ"/>
        </w:rPr>
        <w:footnoteReference w:id="233"/>
      </w:r>
      <w:r w:rsidRPr="00061CEB">
        <w:rPr>
          <w:rFonts w:cstheme="minorHAnsi"/>
          <w:sz w:val="22"/>
          <w:szCs w:val="22"/>
          <w:lang w:val="mi-NZ"/>
        </w:rPr>
        <w:t xml:space="preserve"> </w:t>
      </w:r>
    </w:p>
    <w:p w14:paraId="7DC761D6" w14:textId="77777777" w:rsidR="00061CEB" w:rsidRPr="00061CEB" w:rsidRDefault="00061CEB" w:rsidP="00061CEB">
      <w:pPr>
        <w:pStyle w:val="ListParagraph"/>
        <w:rPr>
          <w:rFonts w:cstheme="minorHAnsi"/>
          <w:sz w:val="22"/>
          <w:szCs w:val="22"/>
          <w:lang w:val="mi-NZ"/>
        </w:rPr>
      </w:pPr>
    </w:p>
    <w:p w14:paraId="650137CA" w14:textId="77777777" w:rsidR="00061CEB" w:rsidRPr="00061CEB" w:rsidRDefault="00061CEB" w:rsidP="00061CEB">
      <w:pPr>
        <w:pStyle w:val="ListParagraph"/>
        <w:numPr>
          <w:ilvl w:val="0"/>
          <w:numId w:val="9"/>
        </w:numPr>
        <w:ind w:hanging="720"/>
        <w:rPr>
          <w:rFonts w:cstheme="minorHAnsi"/>
          <w:sz w:val="22"/>
          <w:szCs w:val="22"/>
          <w:lang w:val="mi-NZ"/>
        </w:rPr>
      </w:pPr>
      <w:r w:rsidRPr="00061CEB">
        <w:rPr>
          <w:rFonts w:cstheme="minorHAnsi"/>
          <w:sz w:val="22"/>
          <w:szCs w:val="22"/>
          <w:lang w:val="mi-NZ"/>
        </w:rPr>
        <w:t>An aim of Te Aorerekura is that children understand healthy relationships, how to seek help, and can access tailored services.</w:t>
      </w:r>
      <w:r w:rsidRPr="00061CEB">
        <w:rPr>
          <w:rFonts w:cstheme="minorHAnsi"/>
          <w:sz w:val="22"/>
          <w:szCs w:val="22"/>
          <w:vertAlign w:val="superscript"/>
          <w:lang w:val="mi-NZ"/>
        </w:rPr>
        <w:footnoteReference w:id="234"/>
      </w:r>
      <w:r w:rsidRPr="00061CEB">
        <w:rPr>
          <w:rFonts w:cstheme="minorHAnsi"/>
          <w:sz w:val="22"/>
          <w:szCs w:val="22"/>
          <w:lang w:val="mi-NZ"/>
        </w:rPr>
        <w:t xml:space="preserve"> Once implemented, this should go some way to addressing LOIPR question 16(c). Resourcing and implementation will be key.</w:t>
      </w:r>
    </w:p>
    <w:p w14:paraId="7AC633B2" w14:textId="77777777" w:rsidR="00061CEB" w:rsidRPr="00061CEB" w:rsidRDefault="00061CEB" w:rsidP="00061CEB">
      <w:pPr>
        <w:pStyle w:val="ListParagraph"/>
        <w:rPr>
          <w:rFonts w:cstheme="minorHAnsi"/>
          <w:sz w:val="22"/>
          <w:szCs w:val="22"/>
          <w:lang w:val="mi-NZ"/>
        </w:rPr>
      </w:pPr>
    </w:p>
    <w:p w14:paraId="20BA2269" w14:textId="3E34FB51" w:rsidR="00061CEB" w:rsidRPr="00061CEB" w:rsidRDefault="00061CEB" w:rsidP="00061CEB">
      <w:pPr>
        <w:pStyle w:val="ListParagraph"/>
        <w:numPr>
          <w:ilvl w:val="0"/>
          <w:numId w:val="9"/>
        </w:numPr>
        <w:ind w:hanging="720"/>
        <w:rPr>
          <w:rFonts w:cstheme="minorHAnsi"/>
          <w:sz w:val="22"/>
          <w:szCs w:val="22"/>
          <w:lang w:val="mi-NZ"/>
        </w:rPr>
      </w:pPr>
      <w:r w:rsidRPr="00061CEB">
        <w:rPr>
          <w:rFonts w:cstheme="minorHAnsi"/>
          <w:sz w:val="22"/>
          <w:szCs w:val="22"/>
          <w:lang w:val="mi-NZ"/>
        </w:rPr>
        <w:t>It is critical th</w:t>
      </w:r>
      <w:r w:rsidR="00A400EA">
        <w:rPr>
          <w:rFonts w:cstheme="minorHAnsi"/>
          <w:sz w:val="22"/>
          <w:szCs w:val="22"/>
          <w:lang w:val="mi-NZ"/>
        </w:rPr>
        <w:t>a</w:t>
      </w:r>
      <w:r w:rsidRPr="00061CEB">
        <w:rPr>
          <w:rFonts w:cstheme="minorHAnsi"/>
          <w:sz w:val="22"/>
          <w:szCs w:val="22"/>
          <w:lang w:val="mi-NZ"/>
        </w:rPr>
        <w:t xml:space="preserve">t children, their experiences and views, are made a focus of Te Aorerekura (both the Strategy and Action Plan) and its implementation, especially for the current generation living through the Strategy’s </w:t>
      </w:r>
      <w:r w:rsidRPr="00061CEB">
        <w:rPr>
          <w:rFonts w:cstheme="minorHAnsi"/>
          <w:sz w:val="22"/>
          <w:szCs w:val="22"/>
          <w:lang w:val="mi-NZ"/>
        </w:rPr>
        <w:lastRenderedPageBreak/>
        <w:t>implementation.</w:t>
      </w:r>
      <w:r w:rsidRPr="00061CEB">
        <w:rPr>
          <w:rFonts w:cstheme="minorHAnsi"/>
          <w:sz w:val="22"/>
          <w:szCs w:val="22"/>
          <w:vertAlign w:val="superscript"/>
          <w:lang w:val="mi-NZ"/>
        </w:rPr>
        <w:footnoteReference w:id="235"/>
      </w:r>
      <w:r w:rsidRPr="00061CEB">
        <w:rPr>
          <w:rFonts w:cstheme="minorHAnsi"/>
          <w:sz w:val="22"/>
          <w:szCs w:val="22"/>
          <w:lang w:val="mi-NZ"/>
        </w:rPr>
        <w:t xml:space="preserve"> Practical steps need to be taken and resourced to uphold children’s rights, including their rights to be safe and to have ongoing support to recover if they experience violence, thereby building family and whānau strengths to keep children safe intergenerationally. </w:t>
      </w:r>
    </w:p>
    <w:p w14:paraId="1FC6DB9B" w14:textId="77777777" w:rsidR="00061CEB" w:rsidRPr="00061CEB" w:rsidRDefault="00061CEB" w:rsidP="00061CEB">
      <w:pPr>
        <w:pStyle w:val="ListParagraph"/>
        <w:rPr>
          <w:rFonts w:cstheme="minorHAnsi"/>
          <w:sz w:val="22"/>
          <w:szCs w:val="22"/>
          <w:lang w:val="mi-NZ"/>
        </w:rPr>
      </w:pPr>
    </w:p>
    <w:p w14:paraId="2AE38B66" w14:textId="449FDBAF" w:rsidR="00061CEB" w:rsidRDefault="00061CEB" w:rsidP="00061CEB">
      <w:pPr>
        <w:pStyle w:val="ListParagraph"/>
        <w:numPr>
          <w:ilvl w:val="0"/>
          <w:numId w:val="9"/>
        </w:numPr>
        <w:ind w:hanging="720"/>
        <w:rPr>
          <w:rFonts w:cstheme="minorHAnsi"/>
          <w:sz w:val="22"/>
          <w:szCs w:val="22"/>
          <w:lang w:val="mi-NZ"/>
        </w:rPr>
      </w:pPr>
      <w:r w:rsidRPr="00061CEB">
        <w:rPr>
          <w:rFonts w:cstheme="minorHAnsi"/>
          <w:sz w:val="22"/>
          <w:szCs w:val="22"/>
          <w:lang w:val="mi-NZ"/>
        </w:rPr>
        <w:t>Building connections between Te Aorerekura and other strategies is also central to improving children’s experiences, their opportunities to participate, receive support, and enhance their outcomes. As well as links to the CYWS, OTAP and developments in child protection, connections must be made with initiatives that strengthen the factors that help prevent violence and abuse against children, such as implementation of the WEAG recommendations.</w:t>
      </w:r>
      <w:r w:rsidRPr="00061CEB">
        <w:rPr>
          <w:rFonts w:cstheme="minorHAnsi"/>
          <w:sz w:val="22"/>
          <w:szCs w:val="22"/>
          <w:vertAlign w:val="superscript"/>
          <w:lang w:val="mi-NZ"/>
        </w:rPr>
        <w:footnoteReference w:id="236"/>
      </w:r>
    </w:p>
    <w:p w14:paraId="116698C5" w14:textId="77777777" w:rsidR="00061CEB" w:rsidRPr="00061CEB" w:rsidRDefault="00061CEB" w:rsidP="00061CEB">
      <w:pPr>
        <w:pStyle w:val="ListParagraph"/>
        <w:rPr>
          <w:rFonts w:cstheme="minorHAnsi"/>
          <w:sz w:val="22"/>
          <w:szCs w:val="22"/>
          <w:lang w:val="mi-NZ"/>
        </w:rPr>
      </w:pPr>
    </w:p>
    <w:p w14:paraId="601C0379" w14:textId="77A3F763" w:rsidR="00061CEB" w:rsidRPr="00061CEB" w:rsidRDefault="00061CEB" w:rsidP="00061CEB">
      <w:pPr>
        <w:pStyle w:val="IntenseQuote"/>
        <w:ind w:left="720"/>
        <w:jc w:val="left"/>
        <w:rPr>
          <w:b/>
          <w:bCs/>
          <w:i w:val="0"/>
          <w:iCs w:val="0"/>
          <w:sz w:val="24"/>
          <w:szCs w:val="24"/>
          <w:lang w:val="mi-NZ"/>
        </w:rPr>
      </w:pPr>
      <w:r w:rsidRPr="00061CEB">
        <w:rPr>
          <w:b/>
          <w:bCs/>
          <w:i w:val="0"/>
          <w:iCs w:val="0"/>
          <w:sz w:val="24"/>
          <w:szCs w:val="24"/>
          <w:lang w:val="mi-NZ"/>
        </w:rPr>
        <w:t>Recommendations</w:t>
      </w:r>
    </w:p>
    <w:p w14:paraId="2DBE314B" w14:textId="77777777" w:rsidR="00061CEB" w:rsidRPr="00061CEB" w:rsidRDefault="00061CEB" w:rsidP="00916EA3">
      <w:pPr>
        <w:pStyle w:val="IntenseQuote"/>
        <w:numPr>
          <w:ilvl w:val="0"/>
          <w:numId w:val="11"/>
        </w:numPr>
        <w:jc w:val="left"/>
        <w:rPr>
          <w:i w:val="0"/>
          <w:iCs w:val="0"/>
          <w:sz w:val="22"/>
          <w:szCs w:val="22"/>
          <w:lang w:val="mi-NZ"/>
        </w:rPr>
      </w:pPr>
      <w:r w:rsidRPr="00061CEB">
        <w:rPr>
          <w:i w:val="0"/>
          <w:iCs w:val="0"/>
          <w:sz w:val="22"/>
          <w:szCs w:val="22"/>
          <w:lang w:val="mi-NZ"/>
        </w:rPr>
        <w:t xml:space="preserve">Develop a stronger focus on children within Te Aorerekura. </w:t>
      </w:r>
    </w:p>
    <w:p w14:paraId="7475D925" w14:textId="77777777" w:rsidR="00061CEB" w:rsidRPr="00061CEB" w:rsidRDefault="00061CEB" w:rsidP="00916EA3">
      <w:pPr>
        <w:pStyle w:val="IntenseQuote"/>
        <w:numPr>
          <w:ilvl w:val="0"/>
          <w:numId w:val="11"/>
        </w:numPr>
        <w:jc w:val="left"/>
        <w:rPr>
          <w:i w:val="0"/>
          <w:iCs w:val="0"/>
          <w:sz w:val="22"/>
          <w:szCs w:val="22"/>
          <w:lang w:val="mi-NZ"/>
        </w:rPr>
      </w:pPr>
      <w:r w:rsidRPr="00061CEB">
        <w:rPr>
          <w:i w:val="0"/>
          <w:iCs w:val="0"/>
          <w:sz w:val="22"/>
          <w:szCs w:val="22"/>
          <w:lang w:val="mi-NZ"/>
        </w:rPr>
        <w:t xml:space="preserve">Prioritise children within Te Aorerekura’s implementation, with a focus on Actions to strengthen families and whānau to enable children to be safe and free from violence. </w:t>
      </w:r>
    </w:p>
    <w:p w14:paraId="6818448B" w14:textId="77777777" w:rsidR="00061CEB" w:rsidRPr="00061CEB" w:rsidRDefault="00061CEB" w:rsidP="00916EA3">
      <w:pPr>
        <w:pStyle w:val="IntenseQuote"/>
        <w:numPr>
          <w:ilvl w:val="0"/>
          <w:numId w:val="11"/>
        </w:numPr>
        <w:jc w:val="left"/>
        <w:rPr>
          <w:i w:val="0"/>
          <w:iCs w:val="0"/>
          <w:sz w:val="22"/>
          <w:szCs w:val="22"/>
          <w:lang w:val="mi-NZ"/>
        </w:rPr>
      </w:pPr>
      <w:r w:rsidRPr="00061CEB">
        <w:rPr>
          <w:i w:val="0"/>
          <w:iCs w:val="0"/>
          <w:sz w:val="22"/>
          <w:szCs w:val="22"/>
          <w:lang w:val="mi-NZ"/>
        </w:rPr>
        <w:t xml:space="preserve">Implement a child rights approach across government to explicitly connect Te Aorerekura with other strategies, including the CYWS and  developments in care and protection, as well as efforts to improve children’s standard of living.  </w:t>
      </w:r>
    </w:p>
    <w:p w14:paraId="060A7C1D" w14:textId="77777777" w:rsidR="00061CEB" w:rsidRPr="00061CEB" w:rsidRDefault="00061CEB" w:rsidP="00916EA3">
      <w:pPr>
        <w:pStyle w:val="IntenseQuote"/>
        <w:numPr>
          <w:ilvl w:val="0"/>
          <w:numId w:val="11"/>
        </w:numPr>
        <w:jc w:val="left"/>
        <w:rPr>
          <w:i w:val="0"/>
          <w:iCs w:val="0"/>
          <w:sz w:val="22"/>
          <w:szCs w:val="22"/>
          <w:lang w:val="mi-NZ"/>
        </w:rPr>
      </w:pPr>
      <w:r w:rsidRPr="00061CEB">
        <w:rPr>
          <w:i w:val="0"/>
          <w:iCs w:val="0"/>
          <w:sz w:val="22"/>
          <w:szCs w:val="22"/>
          <w:lang w:val="mi-NZ"/>
        </w:rPr>
        <w:t xml:space="preserve">Together with communities, children and whānau implement the action “children and young people understand healthy relationships, how to seek help, and can access tailored services”, ensuring this: </w:t>
      </w:r>
    </w:p>
    <w:p w14:paraId="5B48226D" w14:textId="06B4ADC4" w:rsidR="00061CEB" w:rsidRPr="00091CF0" w:rsidRDefault="00061CEB" w:rsidP="00215FA4">
      <w:pPr>
        <w:pStyle w:val="IntenseQuote"/>
        <w:numPr>
          <w:ilvl w:val="0"/>
          <w:numId w:val="51"/>
        </w:numPr>
        <w:jc w:val="left"/>
        <w:rPr>
          <w:i w:val="0"/>
          <w:iCs w:val="0"/>
          <w:sz w:val="22"/>
          <w:szCs w:val="22"/>
          <w:lang w:val="mi-NZ"/>
        </w:rPr>
      </w:pPr>
      <w:r w:rsidRPr="0023308B">
        <w:rPr>
          <w:i w:val="0"/>
          <w:iCs w:val="0"/>
          <w:sz w:val="22"/>
          <w:szCs w:val="22"/>
          <w:lang w:val="mi-NZ"/>
        </w:rPr>
        <w:t>Is informed by a child rights approach and grounded in children’s rights to be safe and have ongoing support to recover from</w:t>
      </w:r>
      <w:r w:rsidRPr="00215FA4">
        <w:rPr>
          <w:sz w:val="22"/>
          <w:szCs w:val="22"/>
          <w:lang w:val="mi-NZ"/>
        </w:rPr>
        <w:t xml:space="preserve"> </w:t>
      </w:r>
      <w:r w:rsidRPr="00091CF0">
        <w:rPr>
          <w:i w:val="0"/>
          <w:iCs w:val="0"/>
          <w:sz w:val="22"/>
          <w:szCs w:val="22"/>
          <w:lang w:val="mi-NZ"/>
        </w:rPr>
        <w:lastRenderedPageBreak/>
        <w:t xml:space="preserve">violence, </w:t>
      </w:r>
      <w:r w:rsidR="00C52D88" w:rsidRPr="00091CF0">
        <w:rPr>
          <w:i w:val="0"/>
          <w:iCs w:val="0"/>
          <w:sz w:val="22"/>
          <w:szCs w:val="22"/>
          <w:lang w:val="mi-NZ"/>
        </w:rPr>
        <w:t>T</w:t>
      </w:r>
      <w:r w:rsidRPr="00091CF0">
        <w:rPr>
          <w:i w:val="0"/>
          <w:iCs w:val="0"/>
          <w:sz w:val="22"/>
          <w:szCs w:val="22"/>
          <w:lang w:val="mi-NZ"/>
        </w:rPr>
        <w:t>e Tiriti o Waitangi and other relevant international human rights law obligations.</w:t>
      </w:r>
    </w:p>
    <w:p w14:paraId="795D8AC8" w14:textId="77777777" w:rsidR="00061CEB" w:rsidRPr="00091CF0" w:rsidRDefault="00061CEB" w:rsidP="00215FA4">
      <w:pPr>
        <w:pStyle w:val="IntenseQuote"/>
        <w:numPr>
          <w:ilvl w:val="0"/>
          <w:numId w:val="51"/>
        </w:numPr>
        <w:jc w:val="left"/>
        <w:rPr>
          <w:i w:val="0"/>
          <w:iCs w:val="0"/>
          <w:sz w:val="22"/>
          <w:szCs w:val="22"/>
          <w:lang w:val="mi-NZ"/>
        </w:rPr>
      </w:pPr>
      <w:r w:rsidRPr="00091CF0">
        <w:rPr>
          <w:i w:val="0"/>
          <w:iCs w:val="0"/>
          <w:sz w:val="22"/>
          <w:szCs w:val="22"/>
          <w:lang w:val="mi-NZ"/>
        </w:rPr>
        <w:t>Includes a specific focus on specific groups of children who disproportionately experience violence, such as children with disabilities and rainbow children.</w:t>
      </w:r>
    </w:p>
    <w:p w14:paraId="14A21D09" w14:textId="77777777" w:rsidR="00061CEB" w:rsidRPr="00091CF0" w:rsidRDefault="00061CEB" w:rsidP="00215FA4">
      <w:pPr>
        <w:pStyle w:val="IntenseQuote"/>
        <w:numPr>
          <w:ilvl w:val="0"/>
          <w:numId w:val="51"/>
        </w:numPr>
        <w:jc w:val="left"/>
        <w:rPr>
          <w:i w:val="0"/>
          <w:iCs w:val="0"/>
          <w:sz w:val="22"/>
          <w:szCs w:val="22"/>
          <w:lang w:val="mi-NZ"/>
        </w:rPr>
      </w:pPr>
      <w:r w:rsidRPr="00091CF0">
        <w:rPr>
          <w:i w:val="0"/>
          <w:iCs w:val="0"/>
          <w:sz w:val="22"/>
          <w:szCs w:val="22"/>
          <w:lang w:val="mi-NZ"/>
        </w:rPr>
        <w:t>Aligns with and mutually supports  the strategic focus on children across other government strategies and key intiatives such as the  CYWS, OTAP and OT reforms.</w:t>
      </w:r>
    </w:p>
    <w:p w14:paraId="5C7C0B66" w14:textId="77777777" w:rsidR="00061CEB" w:rsidRPr="00E7687D" w:rsidRDefault="00061CEB" w:rsidP="00061CEB">
      <w:pPr>
        <w:pStyle w:val="Heading1"/>
        <w:rPr>
          <w:lang w:val="mi-NZ"/>
        </w:rPr>
      </w:pPr>
      <w:bookmarkStart w:id="36" w:name="_Toc111485460"/>
      <w:r w:rsidRPr="00E7687D">
        <w:rPr>
          <w:lang w:val="mi-NZ"/>
        </w:rPr>
        <w:t>Data – LOIPR 16(e) and (f)</w:t>
      </w:r>
      <w:bookmarkEnd w:id="36"/>
    </w:p>
    <w:p w14:paraId="43BBA99C" w14:textId="77777777" w:rsidR="00061CEB" w:rsidRPr="00061CEB" w:rsidRDefault="00061CEB" w:rsidP="00061CEB">
      <w:pPr>
        <w:rPr>
          <w:rFonts w:cstheme="minorHAnsi"/>
          <w:sz w:val="22"/>
          <w:szCs w:val="22"/>
          <w:lang w:val="mi-NZ"/>
        </w:rPr>
      </w:pPr>
    </w:p>
    <w:p w14:paraId="472E2664" w14:textId="739490D2" w:rsidR="00061CEB" w:rsidRPr="00061CEB" w:rsidRDefault="00061CEB" w:rsidP="00061CEB">
      <w:pPr>
        <w:pStyle w:val="ListParagraph"/>
        <w:numPr>
          <w:ilvl w:val="0"/>
          <w:numId w:val="9"/>
        </w:numPr>
        <w:ind w:hanging="720"/>
        <w:rPr>
          <w:rFonts w:cstheme="minorHAnsi"/>
          <w:sz w:val="22"/>
          <w:szCs w:val="22"/>
          <w:lang w:val="mi-NZ"/>
        </w:rPr>
      </w:pPr>
      <w:r w:rsidRPr="00061CEB">
        <w:rPr>
          <w:rFonts w:cstheme="minorHAnsi"/>
          <w:sz w:val="22"/>
          <w:szCs w:val="22"/>
          <w:lang w:val="mi-NZ"/>
        </w:rPr>
        <w:t>Despite the Committee’s previous recommendations, there is no single data source providing a comprehensive and exact understanding of harm to children. We note that official records are likely to understate the problem, due to the levels of unreported harm.</w:t>
      </w:r>
      <w:r w:rsidRPr="00061CEB">
        <w:rPr>
          <w:rFonts w:cstheme="minorHAnsi"/>
          <w:sz w:val="22"/>
          <w:szCs w:val="22"/>
          <w:vertAlign w:val="superscript"/>
          <w:lang w:val="mi-NZ"/>
        </w:rPr>
        <w:footnoteReference w:id="237"/>
      </w:r>
      <w:r w:rsidRPr="00061CEB">
        <w:rPr>
          <w:rFonts w:cstheme="minorHAnsi"/>
          <w:sz w:val="22"/>
          <w:szCs w:val="22"/>
          <w:lang w:val="mi-NZ"/>
        </w:rPr>
        <w:t xml:space="preserve"> </w:t>
      </w:r>
      <w:r w:rsidRPr="00061CEB">
        <w:rPr>
          <w:rFonts w:cstheme="minorHAnsi"/>
          <w:sz w:val="22"/>
          <w:szCs w:val="22"/>
          <w:vertAlign w:val="superscript"/>
          <w:lang w:val="mi-NZ"/>
        </w:rPr>
        <w:footnoteReference w:id="238"/>
      </w:r>
      <w:r w:rsidRPr="00061CEB">
        <w:rPr>
          <w:rFonts w:cstheme="minorHAnsi"/>
          <w:sz w:val="22"/>
          <w:szCs w:val="22"/>
          <w:lang w:val="mi-NZ"/>
        </w:rPr>
        <w:t xml:space="preserve"> </w:t>
      </w:r>
      <w:r w:rsidRPr="00061CEB">
        <w:rPr>
          <w:rFonts w:cstheme="minorHAnsi"/>
          <w:sz w:val="22"/>
          <w:szCs w:val="22"/>
          <w:vertAlign w:val="superscript"/>
          <w:lang w:val="mi-NZ"/>
        </w:rPr>
        <w:footnoteReference w:id="239"/>
      </w:r>
      <w:r w:rsidRPr="00061CEB">
        <w:rPr>
          <w:rFonts w:cstheme="minorHAnsi"/>
          <w:sz w:val="22"/>
          <w:szCs w:val="22"/>
          <w:lang w:val="mi-NZ"/>
        </w:rPr>
        <w:t xml:space="preserve"> In addition to the data provided in Table 13 of the Government’s statistical information, the Oranga Tamariki Evidence Centre has identified the following harm to children in Aotearoa:</w:t>
      </w:r>
    </w:p>
    <w:p w14:paraId="5083A2AB" w14:textId="77777777" w:rsidR="00061CEB" w:rsidRPr="00061CEB" w:rsidRDefault="00061CEB" w:rsidP="00061CEB">
      <w:pPr>
        <w:pStyle w:val="ListParagraph"/>
        <w:rPr>
          <w:rFonts w:cstheme="minorHAnsi"/>
          <w:sz w:val="22"/>
          <w:szCs w:val="22"/>
          <w:lang w:val="mi-NZ"/>
        </w:rPr>
      </w:pPr>
    </w:p>
    <w:p w14:paraId="650459E1" w14:textId="77777777" w:rsidR="00061CEB" w:rsidRPr="00061CEB" w:rsidRDefault="00061CEB" w:rsidP="00916EA3">
      <w:pPr>
        <w:pStyle w:val="ListParagraph"/>
        <w:numPr>
          <w:ilvl w:val="0"/>
          <w:numId w:val="18"/>
        </w:numPr>
        <w:rPr>
          <w:rFonts w:cstheme="minorHAnsi"/>
          <w:sz w:val="22"/>
          <w:szCs w:val="22"/>
          <w:lang w:val="mi-NZ"/>
        </w:rPr>
      </w:pPr>
      <w:r w:rsidRPr="00061CEB">
        <w:rPr>
          <w:rFonts w:cstheme="minorHAnsi"/>
          <w:sz w:val="22"/>
          <w:szCs w:val="22"/>
          <w:lang w:val="mi-NZ"/>
        </w:rPr>
        <w:t>In the 12 months to June 2020, 12,861 children (about 1.1% of the child population) were found to have been abused or neglected after investigation by OT.</w:t>
      </w:r>
    </w:p>
    <w:p w14:paraId="72F8EBD2" w14:textId="77777777" w:rsidR="00061CEB" w:rsidRPr="00061CEB" w:rsidRDefault="00061CEB" w:rsidP="00916EA3">
      <w:pPr>
        <w:pStyle w:val="ListParagraph"/>
        <w:numPr>
          <w:ilvl w:val="0"/>
          <w:numId w:val="18"/>
        </w:numPr>
        <w:rPr>
          <w:rFonts w:cstheme="minorHAnsi"/>
          <w:sz w:val="22"/>
          <w:szCs w:val="22"/>
          <w:lang w:val="mi-NZ"/>
        </w:rPr>
      </w:pPr>
      <w:r w:rsidRPr="00061CEB">
        <w:rPr>
          <w:rFonts w:cstheme="minorHAnsi"/>
          <w:sz w:val="22"/>
          <w:szCs w:val="22"/>
          <w:lang w:val="mi-NZ"/>
        </w:rPr>
        <w:t>In 2018, 79,200 children (around 7.0%  of the child population) had a family violence notifiction.</w:t>
      </w:r>
    </w:p>
    <w:p w14:paraId="527BC462" w14:textId="77777777" w:rsidR="00061CEB" w:rsidRPr="00061CEB" w:rsidRDefault="00061CEB" w:rsidP="00916EA3">
      <w:pPr>
        <w:pStyle w:val="ListParagraph"/>
        <w:numPr>
          <w:ilvl w:val="0"/>
          <w:numId w:val="18"/>
        </w:numPr>
        <w:rPr>
          <w:rFonts w:cstheme="minorHAnsi"/>
          <w:sz w:val="22"/>
          <w:szCs w:val="22"/>
          <w:lang w:val="mi-NZ"/>
        </w:rPr>
      </w:pPr>
      <w:r w:rsidRPr="00061CEB">
        <w:rPr>
          <w:rFonts w:cstheme="minorHAnsi"/>
          <w:sz w:val="22"/>
          <w:szCs w:val="22"/>
          <w:lang w:val="mi-NZ"/>
        </w:rPr>
        <w:t>In the 12 months to June 2020, around  0.7% of those aged under 20 reported that they were a victim of acts intended to cause injury or harm.</w:t>
      </w:r>
    </w:p>
    <w:p w14:paraId="7129CF6C" w14:textId="77777777" w:rsidR="00061CEB" w:rsidRPr="00061CEB" w:rsidRDefault="00061CEB" w:rsidP="00916EA3">
      <w:pPr>
        <w:pStyle w:val="ListParagraph"/>
        <w:numPr>
          <w:ilvl w:val="0"/>
          <w:numId w:val="18"/>
        </w:numPr>
        <w:rPr>
          <w:rFonts w:cstheme="minorHAnsi"/>
          <w:sz w:val="22"/>
          <w:szCs w:val="22"/>
          <w:lang w:val="mi-NZ"/>
        </w:rPr>
      </w:pPr>
      <w:r w:rsidRPr="00061CEB">
        <w:rPr>
          <w:rFonts w:cstheme="minorHAnsi"/>
          <w:sz w:val="22"/>
          <w:szCs w:val="22"/>
          <w:lang w:val="mi-NZ"/>
        </w:rPr>
        <w:t>In 2018, there were 12,095 public hospital discharge events for people under 20, of which 282 were from assault.</w:t>
      </w:r>
    </w:p>
    <w:p w14:paraId="6C074AAF" w14:textId="02242319" w:rsidR="00061CEB" w:rsidRDefault="00061CEB" w:rsidP="00916EA3">
      <w:pPr>
        <w:pStyle w:val="ListParagraph"/>
        <w:numPr>
          <w:ilvl w:val="0"/>
          <w:numId w:val="18"/>
        </w:numPr>
        <w:rPr>
          <w:rFonts w:cstheme="minorHAnsi"/>
          <w:sz w:val="22"/>
          <w:szCs w:val="22"/>
          <w:lang w:val="mi-NZ"/>
        </w:rPr>
      </w:pPr>
      <w:r w:rsidRPr="00061CEB">
        <w:rPr>
          <w:rFonts w:cstheme="minorHAnsi"/>
          <w:sz w:val="22"/>
          <w:szCs w:val="22"/>
          <w:lang w:val="mi-NZ"/>
        </w:rPr>
        <w:lastRenderedPageBreak/>
        <w:t>The rate of children discharged from hospital due to asssault has declined from 43 per 100,000 in 2009, to 22 per 100,000 in 2018.</w:t>
      </w:r>
      <w:r w:rsidRPr="00061CEB">
        <w:rPr>
          <w:rFonts w:cstheme="minorHAnsi"/>
          <w:sz w:val="22"/>
          <w:szCs w:val="22"/>
          <w:vertAlign w:val="superscript"/>
          <w:lang w:val="mi-NZ"/>
        </w:rPr>
        <w:footnoteReference w:id="240"/>
      </w:r>
    </w:p>
    <w:p w14:paraId="59CB5C63" w14:textId="6600FD30" w:rsidR="00061CEB" w:rsidRPr="00061CEB" w:rsidRDefault="00061CEB" w:rsidP="00061CEB">
      <w:pPr>
        <w:pStyle w:val="IntenseQuote"/>
        <w:ind w:left="720"/>
        <w:jc w:val="left"/>
        <w:rPr>
          <w:b/>
          <w:bCs/>
          <w:i w:val="0"/>
          <w:iCs w:val="0"/>
          <w:sz w:val="24"/>
          <w:szCs w:val="24"/>
          <w:lang w:val="mi-NZ"/>
        </w:rPr>
      </w:pPr>
      <w:r w:rsidRPr="00061CEB">
        <w:rPr>
          <w:b/>
          <w:bCs/>
          <w:i w:val="0"/>
          <w:iCs w:val="0"/>
          <w:sz w:val="24"/>
          <w:szCs w:val="24"/>
          <w:lang w:val="mi-NZ"/>
        </w:rPr>
        <w:t>Recommendations</w:t>
      </w:r>
    </w:p>
    <w:p w14:paraId="69A416B5" w14:textId="77777777" w:rsidR="00061CEB" w:rsidRPr="00061CEB" w:rsidRDefault="00061CEB" w:rsidP="00916EA3">
      <w:pPr>
        <w:pStyle w:val="IntenseQuote"/>
        <w:numPr>
          <w:ilvl w:val="0"/>
          <w:numId w:val="11"/>
        </w:numPr>
        <w:jc w:val="left"/>
        <w:rPr>
          <w:i w:val="0"/>
          <w:iCs w:val="0"/>
          <w:sz w:val="22"/>
          <w:szCs w:val="22"/>
          <w:lang w:val="mi-NZ"/>
        </w:rPr>
      </w:pPr>
      <w:r w:rsidRPr="00061CEB">
        <w:rPr>
          <w:i w:val="0"/>
          <w:iCs w:val="0"/>
          <w:sz w:val="22"/>
          <w:szCs w:val="22"/>
          <w:lang w:val="mi-NZ"/>
        </w:rPr>
        <w:t xml:space="preserve">Strengthen official data on all forms of violence affecting children and the collection of data about violence experienced by specific groups of children, including tamariki Māori, children with disabilities, rainbow children, and culturally diverse children.  </w:t>
      </w:r>
    </w:p>
    <w:p w14:paraId="6771FA9D" w14:textId="27A072C2" w:rsidR="00061CEB" w:rsidRPr="00061CEB" w:rsidRDefault="00061CEB" w:rsidP="00916EA3">
      <w:pPr>
        <w:pStyle w:val="IntenseQuote"/>
        <w:numPr>
          <w:ilvl w:val="0"/>
          <w:numId w:val="11"/>
        </w:numPr>
        <w:jc w:val="left"/>
        <w:rPr>
          <w:i w:val="0"/>
          <w:iCs w:val="0"/>
          <w:sz w:val="22"/>
          <w:szCs w:val="22"/>
          <w:lang w:val="mi-NZ"/>
        </w:rPr>
      </w:pPr>
      <w:r w:rsidRPr="00061CEB">
        <w:rPr>
          <w:i w:val="0"/>
          <w:iCs w:val="0"/>
          <w:sz w:val="22"/>
          <w:szCs w:val="22"/>
          <w:lang w:val="mi-NZ"/>
        </w:rPr>
        <w:t>Monitor and track Te Aorerekura’s impact on children’s right to be safe and live free from all forms of violence, including by hearing from children themselves, and regularly publish the findings of this monitoring.</w:t>
      </w:r>
    </w:p>
    <w:p w14:paraId="56F9C137" w14:textId="77777777" w:rsidR="00B51108" w:rsidRPr="00E7687D" w:rsidRDefault="00B51108" w:rsidP="00B51108">
      <w:pPr>
        <w:pStyle w:val="Heading1"/>
        <w:rPr>
          <w:lang w:val="mi-NZ"/>
        </w:rPr>
      </w:pPr>
      <w:bookmarkStart w:id="37" w:name="_Toc111485461"/>
      <w:r w:rsidRPr="00E7687D">
        <w:rPr>
          <w:lang w:val="mi-NZ"/>
        </w:rPr>
        <w:t>Violence and Abuse of Children in State Care (16(a))</w:t>
      </w:r>
      <w:bookmarkEnd w:id="37"/>
    </w:p>
    <w:p w14:paraId="00E5BA3F" w14:textId="6EC8FD81" w:rsidR="00970A6D" w:rsidRPr="00B51108" w:rsidRDefault="00970A6D" w:rsidP="00B51108">
      <w:pPr>
        <w:rPr>
          <w:rFonts w:cstheme="minorHAnsi"/>
          <w:sz w:val="22"/>
          <w:szCs w:val="22"/>
          <w:lang w:val="mi-NZ"/>
        </w:rPr>
      </w:pPr>
    </w:p>
    <w:p w14:paraId="1149391A" w14:textId="33012D52" w:rsidR="0033193B" w:rsidRPr="0033193B" w:rsidRDefault="0033193B" w:rsidP="0033193B">
      <w:pPr>
        <w:pStyle w:val="ListParagraph"/>
        <w:numPr>
          <w:ilvl w:val="0"/>
          <w:numId w:val="9"/>
        </w:numPr>
        <w:ind w:hanging="720"/>
        <w:rPr>
          <w:rFonts w:cstheme="minorHAnsi"/>
          <w:sz w:val="22"/>
          <w:szCs w:val="22"/>
          <w:lang w:val="mi-NZ"/>
        </w:rPr>
      </w:pPr>
      <w:r w:rsidRPr="0033193B">
        <w:rPr>
          <w:rFonts w:cstheme="minorHAnsi"/>
          <w:sz w:val="22"/>
          <w:szCs w:val="22"/>
          <w:lang w:val="mi-NZ"/>
        </w:rPr>
        <w:t>Unacceptably, children continue to experience violence and abuse in State care. In July 2018, Government began reporting on neglect and emotional, sexual and physical harm to children in care across different types of care placements.</w:t>
      </w:r>
      <w:r w:rsidRPr="0033193B">
        <w:rPr>
          <w:rFonts w:cstheme="minorHAnsi"/>
          <w:sz w:val="22"/>
          <w:szCs w:val="22"/>
          <w:vertAlign w:val="superscript"/>
          <w:lang w:val="mi-NZ"/>
        </w:rPr>
        <w:footnoteReference w:id="241"/>
      </w:r>
      <w:r w:rsidRPr="0033193B">
        <w:rPr>
          <w:rFonts w:cstheme="minorHAnsi"/>
          <w:sz w:val="22"/>
          <w:szCs w:val="22"/>
          <w:lang w:val="mi-NZ"/>
        </w:rPr>
        <w:t xml:space="preserve"> </w:t>
      </w:r>
    </w:p>
    <w:p w14:paraId="4120600E" w14:textId="77777777" w:rsidR="0033193B" w:rsidRPr="0033193B" w:rsidRDefault="0033193B" w:rsidP="0033193B">
      <w:pPr>
        <w:pStyle w:val="ListParagraph"/>
        <w:rPr>
          <w:rFonts w:cstheme="minorHAnsi"/>
          <w:sz w:val="22"/>
          <w:szCs w:val="22"/>
          <w:lang w:val="mi-NZ"/>
        </w:rPr>
      </w:pPr>
    </w:p>
    <w:p w14:paraId="1211C91D" w14:textId="77777777" w:rsidR="0033193B" w:rsidRPr="0033193B" w:rsidRDefault="0033193B" w:rsidP="0033193B">
      <w:pPr>
        <w:pStyle w:val="ListParagraph"/>
        <w:numPr>
          <w:ilvl w:val="0"/>
          <w:numId w:val="9"/>
        </w:numPr>
        <w:ind w:hanging="720"/>
        <w:rPr>
          <w:rFonts w:cstheme="minorHAnsi"/>
          <w:sz w:val="22"/>
          <w:szCs w:val="22"/>
          <w:lang w:val="en-NZ"/>
        </w:rPr>
      </w:pPr>
      <w:r w:rsidRPr="0033193B">
        <w:rPr>
          <w:rFonts w:cstheme="minorHAnsi"/>
          <w:sz w:val="22"/>
          <w:szCs w:val="22"/>
          <w:lang w:val="en-NZ"/>
        </w:rPr>
        <w:t>Latest available data shows that, from July 2020 to June 2021, of the 5239 children in care, there were 742 incidences of harm experienced by 486 children. This amounts to 8% of children in State care experiencing harm in care, an increase from 5.6% in 2018.</w:t>
      </w:r>
      <w:r w:rsidRPr="0033193B">
        <w:rPr>
          <w:rFonts w:cstheme="minorHAnsi"/>
          <w:sz w:val="22"/>
          <w:szCs w:val="22"/>
          <w:vertAlign w:val="superscript"/>
          <w:lang w:val="en-NZ"/>
        </w:rPr>
        <w:footnoteReference w:id="242"/>
      </w:r>
      <w:r w:rsidRPr="0033193B">
        <w:rPr>
          <w:rFonts w:cstheme="minorHAnsi"/>
          <w:sz w:val="22"/>
          <w:szCs w:val="22"/>
          <w:lang w:val="en-NZ"/>
        </w:rPr>
        <w:t xml:space="preserve"> </w:t>
      </w:r>
      <w:r w:rsidRPr="0033193B">
        <w:rPr>
          <w:rFonts w:cstheme="minorHAnsi"/>
          <w:sz w:val="22"/>
          <w:szCs w:val="22"/>
          <w:vertAlign w:val="superscript"/>
          <w:lang w:val="en-NZ"/>
        </w:rPr>
        <w:footnoteReference w:id="243"/>
      </w:r>
    </w:p>
    <w:p w14:paraId="4F5D10B6" w14:textId="77777777" w:rsidR="0033193B" w:rsidRPr="0033193B" w:rsidRDefault="0033193B" w:rsidP="0033193B">
      <w:pPr>
        <w:pStyle w:val="ListParagraph"/>
        <w:rPr>
          <w:rFonts w:cstheme="minorHAnsi"/>
          <w:sz w:val="22"/>
          <w:szCs w:val="22"/>
          <w:lang w:val="mi-NZ"/>
        </w:rPr>
      </w:pPr>
    </w:p>
    <w:p w14:paraId="4056F247" w14:textId="77777777" w:rsidR="0033193B" w:rsidRPr="0033193B" w:rsidRDefault="0033193B" w:rsidP="0033193B">
      <w:pPr>
        <w:pStyle w:val="ListParagraph"/>
        <w:numPr>
          <w:ilvl w:val="0"/>
          <w:numId w:val="9"/>
        </w:numPr>
        <w:ind w:hanging="720"/>
        <w:rPr>
          <w:rFonts w:cstheme="minorHAnsi"/>
          <w:sz w:val="22"/>
          <w:szCs w:val="22"/>
          <w:lang w:val="en-NZ"/>
        </w:rPr>
      </w:pPr>
      <w:r w:rsidRPr="0033193B">
        <w:rPr>
          <w:rFonts w:cstheme="minorHAnsi"/>
          <w:sz w:val="22"/>
          <w:szCs w:val="22"/>
          <w:lang w:val="en-NZ"/>
        </w:rPr>
        <w:t xml:space="preserve">The proportion of </w:t>
      </w:r>
      <w:proofErr w:type="spellStart"/>
      <w:r w:rsidRPr="0033193B">
        <w:rPr>
          <w:rFonts w:cstheme="minorHAnsi"/>
          <w:sz w:val="22"/>
          <w:szCs w:val="22"/>
          <w:lang w:val="en-NZ"/>
        </w:rPr>
        <w:t>tamariki</w:t>
      </w:r>
      <w:proofErr w:type="spellEnd"/>
      <w:r w:rsidRPr="0033193B">
        <w:rPr>
          <w:rFonts w:cstheme="minorHAnsi"/>
          <w:sz w:val="22"/>
          <w:szCs w:val="22"/>
          <w:lang w:val="en-NZ"/>
        </w:rPr>
        <w:t xml:space="preserve"> Māori</w:t>
      </w:r>
      <w:r w:rsidRPr="0033193B">
        <w:rPr>
          <w:rFonts w:cstheme="minorHAnsi"/>
          <w:sz w:val="22"/>
          <w:szCs w:val="22"/>
          <w:vertAlign w:val="superscript"/>
          <w:lang w:val="en-NZ"/>
        </w:rPr>
        <w:footnoteReference w:id="244"/>
      </w:r>
      <w:r w:rsidRPr="0033193B">
        <w:rPr>
          <w:rFonts w:cstheme="minorHAnsi"/>
          <w:sz w:val="22"/>
          <w:szCs w:val="22"/>
          <w:lang w:val="en-NZ"/>
        </w:rPr>
        <w:t xml:space="preserve"> in care with findings of harm in this period (76%) was more than the overall numbers of </w:t>
      </w:r>
      <w:proofErr w:type="spellStart"/>
      <w:r w:rsidRPr="0033193B">
        <w:rPr>
          <w:rFonts w:cstheme="minorHAnsi"/>
          <w:sz w:val="22"/>
          <w:szCs w:val="22"/>
          <w:lang w:val="en-NZ"/>
        </w:rPr>
        <w:t>tamariki</w:t>
      </w:r>
      <w:proofErr w:type="spellEnd"/>
      <w:r w:rsidRPr="0033193B">
        <w:rPr>
          <w:rFonts w:cstheme="minorHAnsi"/>
          <w:sz w:val="22"/>
          <w:szCs w:val="22"/>
          <w:lang w:val="en-NZ"/>
        </w:rPr>
        <w:t xml:space="preserve"> Māori in care in the period (68%), a 6% increase on the previous year.</w:t>
      </w:r>
      <w:r w:rsidRPr="0033193B">
        <w:rPr>
          <w:rFonts w:cstheme="minorHAnsi"/>
          <w:sz w:val="22"/>
          <w:szCs w:val="22"/>
          <w:vertAlign w:val="superscript"/>
          <w:lang w:val="en-NZ"/>
        </w:rPr>
        <w:footnoteReference w:id="245"/>
      </w:r>
      <w:r w:rsidRPr="0033193B">
        <w:rPr>
          <w:rFonts w:cstheme="minorHAnsi"/>
          <w:sz w:val="22"/>
          <w:szCs w:val="22"/>
          <w:lang w:val="en-NZ"/>
        </w:rPr>
        <w:t xml:space="preserve"> </w:t>
      </w:r>
    </w:p>
    <w:p w14:paraId="629977AA" w14:textId="77777777" w:rsidR="0033193B" w:rsidRPr="0033193B" w:rsidRDefault="0033193B" w:rsidP="0033193B">
      <w:pPr>
        <w:pStyle w:val="ListParagraph"/>
        <w:rPr>
          <w:rFonts w:cstheme="minorHAnsi"/>
          <w:sz w:val="22"/>
          <w:szCs w:val="22"/>
          <w:lang w:val="mi-NZ"/>
        </w:rPr>
      </w:pPr>
    </w:p>
    <w:p w14:paraId="2C8409AC" w14:textId="420F3BDF" w:rsidR="0033193B" w:rsidRPr="0033193B" w:rsidRDefault="0033193B" w:rsidP="0033193B">
      <w:pPr>
        <w:pStyle w:val="ListParagraph"/>
        <w:numPr>
          <w:ilvl w:val="0"/>
          <w:numId w:val="9"/>
        </w:numPr>
        <w:ind w:hanging="720"/>
        <w:rPr>
          <w:rFonts w:cstheme="minorHAnsi"/>
          <w:sz w:val="22"/>
          <w:szCs w:val="22"/>
          <w:lang w:val="mi-NZ"/>
        </w:rPr>
      </w:pPr>
      <w:r w:rsidRPr="0033193B">
        <w:rPr>
          <w:rFonts w:cstheme="minorHAnsi"/>
          <w:sz w:val="22"/>
          <w:szCs w:val="22"/>
          <w:lang w:val="mi-NZ"/>
        </w:rPr>
        <w:lastRenderedPageBreak/>
        <w:t>We note the establishment of a regulatory framework for monitoring standards of care and identifying where practice improvements are needed.</w:t>
      </w:r>
      <w:r w:rsidRPr="0033193B">
        <w:rPr>
          <w:rFonts w:cstheme="minorHAnsi"/>
          <w:sz w:val="22"/>
          <w:szCs w:val="22"/>
          <w:vertAlign w:val="superscript"/>
          <w:lang w:val="mi-NZ"/>
        </w:rPr>
        <w:footnoteReference w:id="246"/>
      </w:r>
      <w:r w:rsidRPr="0033193B">
        <w:rPr>
          <w:rFonts w:cstheme="minorHAnsi"/>
          <w:sz w:val="22"/>
          <w:szCs w:val="22"/>
          <w:lang w:val="mi-NZ"/>
        </w:rPr>
        <w:t xml:space="preserve"> </w:t>
      </w:r>
    </w:p>
    <w:p w14:paraId="2C2CF8A9" w14:textId="77777777" w:rsidR="00215FA4" w:rsidRDefault="00215FA4" w:rsidP="00215FA4">
      <w:pPr>
        <w:pStyle w:val="ListParagraph"/>
        <w:rPr>
          <w:rFonts w:cstheme="minorHAnsi"/>
          <w:sz w:val="22"/>
          <w:szCs w:val="22"/>
          <w:lang w:val="mi-NZ"/>
        </w:rPr>
      </w:pPr>
    </w:p>
    <w:p w14:paraId="6073DD28" w14:textId="119A2B98" w:rsidR="0033193B" w:rsidRPr="0033193B" w:rsidRDefault="0033193B" w:rsidP="0033193B">
      <w:pPr>
        <w:pStyle w:val="ListParagraph"/>
        <w:numPr>
          <w:ilvl w:val="0"/>
          <w:numId w:val="9"/>
        </w:numPr>
        <w:ind w:hanging="720"/>
        <w:rPr>
          <w:rFonts w:cstheme="minorHAnsi"/>
          <w:sz w:val="22"/>
          <w:szCs w:val="22"/>
          <w:lang w:val="mi-NZ"/>
        </w:rPr>
      </w:pPr>
      <w:r w:rsidRPr="0033193B">
        <w:rPr>
          <w:rFonts w:cstheme="minorHAnsi"/>
          <w:sz w:val="22"/>
          <w:szCs w:val="22"/>
          <w:lang w:val="mi-NZ"/>
        </w:rPr>
        <w:t>In June 2021, a media outlet released video footage showing physical restraint of children in a State-run residential care facility.</w:t>
      </w:r>
      <w:r w:rsidRPr="0033193B">
        <w:rPr>
          <w:rFonts w:cstheme="minorHAnsi"/>
          <w:sz w:val="22"/>
          <w:szCs w:val="22"/>
          <w:vertAlign w:val="superscript"/>
          <w:lang w:val="mi-NZ"/>
        </w:rPr>
        <w:footnoteReference w:id="247"/>
      </w:r>
      <w:r w:rsidRPr="0033193B">
        <w:rPr>
          <w:rFonts w:cstheme="minorHAnsi"/>
          <w:sz w:val="22"/>
          <w:szCs w:val="22"/>
          <w:lang w:val="mi-NZ"/>
        </w:rPr>
        <w:t xml:space="preserve"> The Minister for Children ordered an investigation into the restraint of children and the facility in question was closed.</w:t>
      </w:r>
      <w:r w:rsidRPr="0033193B">
        <w:rPr>
          <w:rFonts w:cstheme="minorHAnsi"/>
          <w:sz w:val="22"/>
          <w:szCs w:val="22"/>
          <w:vertAlign w:val="superscript"/>
          <w:lang w:val="mi-NZ"/>
        </w:rPr>
        <w:footnoteReference w:id="248"/>
      </w:r>
      <w:r w:rsidRPr="0033193B">
        <w:rPr>
          <w:rFonts w:cstheme="minorHAnsi"/>
          <w:sz w:val="22"/>
          <w:szCs w:val="22"/>
          <w:lang w:val="mi-NZ"/>
        </w:rPr>
        <w:t xml:space="preserve"> </w:t>
      </w:r>
      <w:r w:rsidRPr="0033193B">
        <w:rPr>
          <w:rFonts w:cstheme="minorHAnsi"/>
          <w:sz w:val="22"/>
          <w:szCs w:val="22"/>
          <w:vertAlign w:val="superscript"/>
          <w:lang w:val="mi-NZ"/>
        </w:rPr>
        <w:footnoteReference w:id="249"/>
      </w:r>
      <w:r w:rsidRPr="0033193B">
        <w:rPr>
          <w:rFonts w:cstheme="minorHAnsi"/>
          <w:sz w:val="22"/>
          <w:szCs w:val="22"/>
          <w:lang w:val="mi-NZ"/>
        </w:rPr>
        <w:t xml:space="preserve"> The closure of the facility while an investigation took place sent a clear message that physical harm to children would be taken seriously and addressed. However, we also understand that the facility’s closure caused distress to the children who lived there and who had to be relocated. This incident, and the fact that it was driven by footage in the media and may not otherwise have come to light, underscores the need for oversight of the OT system to be an integral part of ongoing service improvement and to safeguard children’s rights, with their best interests being paramount at all levels.</w:t>
      </w:r>
      <w:r w:rsidRPr="0033193B">
        <w:rPr>
          <w:rFonts w:cstheme="minorHAnsi"/>
          <w:sz w:val="22"/>
          <w:szCs w:val="22"/>
          <w:vertAlign w:val="superscript"/>
          <w:lang w:val="mi-NZ"/>
        </w:rPr>
        <w:footnoteReference w:id="250"/>
      </w:r>
      <w:r w:rsidRPr="0033193B">
        <w:rPr>
          <w:rFonts w:cstheme="minorHAnsi"/>
          <w:sz w:val="22"/>
          <w:szCs w:val="22"/>
          <w:lang w:val="mi-NZ"/>
        </w:rPr>
        <w:t xml:space="preserve"> </w:t>
      </w:r>
      <w:r w:rsidR="00A400EA">
        <w:rPr>
          <w:rStyle w:val="FootnoteReference"/>
          <w:rFonts w:cstheme="minorHAnsi"/>
          <w:sz w:val="22"/>
          <w:szCs w:val="22"/>
          <w:lang w:val="mi-NZ"/>
        </w:rPr>
        <w:footnoteReference w:id="251"/>
      </w:r>
    </w:p>
    <w:p w14:paraId="57F820EB" w14:textId="77777777" w:rsidR="0033193B" w:rsidRPr="0033193B" w:rsidRDefault="0033193B" w:rsidP="0033193B">
      <w:pPr>
        <w:pStyle w:val="ListParagraph"/>
        <w:rPr>
          <w:rFonts w:cstheme="minorHAnsi"/>
          <w:sz w:val="22"/>
          <w:szCs w:val="22"/>
          <w:lang w:val="mi-NZ"/>
        </w:rPr>
      </w:pPr>
    </w:p>
    <w:p w14:paraId="6513CBF5" w14:textId="77777777" w:rsidR="0033193B" w:rsidRPr="0033193B" w:rsidRDefault="0033193B" w:rsidP="0033193B">
      <w:pPr>
        <w:pStyle w:val="ListParagraph"/>
        <w:numPr>
          <w:ilvl w:val="0"/>
          <w:numId w:val="9"/>
        </w:numPr>
        <w:ind w:hanging="720"/>
        <w:rPr>
          <w:rFonts w:cstheme="minorHAnsi"/>
          <w:sz w:val="22"/>
          <w:szCs w:val="22"/>
          <w:lang w:val="mi-NZ"/>
        </w:rPr>
      </w:pPr>
      <w:r w:rsidRPr="0033193B">
        <w:rPr>
          <w:rFonts w:cstheme="minorHAnsi"/>
          <w:sz w:val="22"/>
          <w:szCs w:val="22"/>
          <w:lang w:val="mi-NZ"/>
        </w:rPr>
        <w:t>Anecdotal reports suggest that prior to this incident, OT had moved to employ youth workers instead of trained social workers in residential facilities, as a cost saving measure. Both the youth worker and social worker roles are important in the care of children in residences: both must be properly defined, resourced and supported, including through ongoing provision of appropriate training and supervision.</w:t>
      </w:r>
    </w:p>
    <w:p w14:paraId="4384681F" w14:textId="77777777" w:rsidR="0033193B" w:rsidRPr="0033193B" w:rsidRDefault="0033193B" w:rsidP="0033193B">
      <w:pPr>
        <w:pStyle w:val="ListParagraph"/>
        <w:rPr>
          <w:rFonts w:cstheme="minorHAnsi"/>
          <w:sz w:val="22"/>
          <w:szCs w:val="22"/>
          <w:lang w:val="mi-NZ"/>
        </w:rPr>
      </w:pPr>
    </w:p>
    <w:p w14:paraId="62EFBA0A" w14:textId="42AAA8F0" w:rsidR="0033193B" w:rsidRPr="0033193B" w:rsidRDefault="0033193B" w:rsidP="0033193B">
      <w:pPr>
        <w:pStyle w:val="ListParagraph"/>
        <w:numPr>
          <w:ilvl w:val="0"/>
          <w:numId w:val="9"/>
        </w:numPr>
        <w:ind w:hanging="720"/>
        <w:rPr>
          <w:rFonts w:cstheme="minorHAnsi"/>
          <w:sz w:val="22"/>
          <w:szCs w:val="22"/>
          <w:lang w:val="mi-NZ"/>
        </w:rPr>
      </w:pPr>
      <w:r w:rsidRPr="0033193B">
        <w:rPr>
          <w:rFonts w:cstheme="minorHAnsi"/>
          <w:sz w:val="22"/>
          <w:szCs w:val="22"/>
          <w:lang w:val="mi-NZ"/>
        </w:rPr>
        <w:t>We are deeply concerned that proposed changes to oversight arrangements for the OT system remove protections for children and young people in care.</w:t>
      </w:r>
      <w:r w:rsidRPr="0033193B">
        <w:rPr>
          <w:rFonts w:cstheme="minorHAnsi"/>
          <w:sz w:val="22"/>
          <w:szCs w:val="22"/>
          <w:vertAlign w:val="superscript"/>
          <w:lang w:val="mi-NZ"/>
        </w:rPr>
        <w:footnoteReference w:id="252"/>
      </w:r>
      <w:r w:rsidRPr="0033193B">
        <w:rPr>
          <w:rFonts w:cstheme="minorHAnsi"/>
          <w:sz w:val="22"/>
          <w:szCs w:val="22"/>
          <w:lang w:val="mi-NZ"/>
        </w:rPr>
        <w:t xml:space="preserve"> </w:t>
      </w:r>
    </w:p>
    <w:p w14:paraId="21C10C84" w14:textId="688AF693" w:rsidR="0033193B" w:rsidRDefault="0033193B" w:rsidP="0033193B">
      <w:pPr>
        <w:pStyle w:val="ListParagraph"/>
        <w:numPr>
          <w:ilvl w:val="0"/>
          <w:numId w:val="9"/>
        </w:numPr>
        <w:ind w:hanging="720"/>
        <w:rPr>
          <w:rFonts w:cstheme="minorHAnsi"/>
          <w:sz w:val="22"/>
          <w:szCs w:val="22"/>
          <w:lang w:val="mi-NZ"/>
        </w:rPr>
      </w:pPr>
      <w:r w:rsidRPr="0033193B">
        <w:rPr>
          <w:rFonts w:cstheme="minorHAnsi"/>
          <w:sz w:val="22"/>
          <w:szCs w:val="22"/>
          <w:lang w:val="mi-NZ"/>
        </w:rPr>
        <w:lastRenderedPageBreak/>
        <w:t>Care experienced children and young people are concerned about the implications of the Oversight Bill for children in State care.</w:t>
      </w:r>
      <w:r w:rsidRPr="0033193B">
        <w:rPr>
          <w:rFonts w:cstheme="minorHAnsi"/>
          <w:sz w:val="22"/>
          <w:szCs w:val="22"/>
          <w:vertAlign w:val="superscript"/>
          <w:lang w:val="mi-NZ"/>
        </w:rPr>
        <w:footnoteReference w:id="253"/>
      </w:r>
      <w:r w:rsidRPr="0033193B">
        <w:rPr>
          <w:rFonts w:cstheme="minorHAnsi"/>
          <w:sz w:val="22"/>
          <w:szCs w:val="22"/>
          <w:lang w:val="mi-NZ"/>
        </w:rPr>
        <w:t xml:space="preserve"> They advocate for a system that respects children, listens to their voices and provides child and youth-centred oversight and care. They are concerned the Bill will undermine the safety of children in the care system and leave them with no-one to turn to if they have a problem in care or know of someone else who does. </w:t>
      </w:r>
    </w:p>
    <w:p w14:paraId="1FAF1D20" w14:textId="77777777" w:rsidR="00215FA4" w:rsidRDefault="00215FA4" w:rsidP="0033193B">
      <w:pPr>
        <w:pStyle w:val="Heading2"/>
      </w:pPr>
    </w:p>
    <w:p w14:paraId="36225D37" w14:textId="0A20998B" w:rsidR="0033193B" w:rsidRPr="0033193B" w:rsidRDefault="0033193B" w:rsidP="0033193B">
      <w:pPr>
        <w:pStyle w:val="Heading2"/>
        <w:rPr>
          <w:sz w:val="22"/>
          <w:szCs w:val="22"/>
          <w:lang w:val="mi-NZ"/>
        </w:rPr>
      </w:pPr>
      <w:bookmarkStart w:id="38" w:name="_Toc111485462"/>
      <w:r>
        <w:t>Abuse in Care: Royal Commission</w:t>
      </w:r>
      <w:bookmarkEnd w:id="38"/>
    </w:p>
    <w:p w14:paraId="263EA0AC" w14:textId="77777777" w:rsidR="0033193B" w:rsidRPr="0033193B" w:rsidRDefault="0033193B" w:rsidP="0033193B">
      <w:pPr>
        <w:pStyle w:val="ListParagraph"/>
        <w:rPr>
          <w:rFonts w:cstheme="minorHAnsi"/>
          <w:sz w:val="22"/>
          <w:szCs w:val="22"/>
          <w:lang w:val="en-US"/>
        </w:rPr>
      </w:pPr>
    </w:p>
    <w:p w14:paraId="3B1148E7" w14:textId="29DD7B9A" w:rsidR="0033193B" w:rsidRPr="0033193B" w:rsidRDefault="0033193B" w:rsidP="0033193B">
      <w:pPr>
        <w:pStyle w:val="ListParagraph"/>
        <w:numPr>
          <w:ilvl w:val="0"/>
          <w:numId w:val="9"/>
        </w:numPr>
        <w:ind w:hanging="720"/>
        <w:rPr>
          <w:rFonts w:cstheme="minorHAnsi"/>
          <w:sz w:val="22"/>
          <w:szCs w:val="22"/>
          <w:lang w:val="en-US"/>
        </w:rPr>
      </w:pPr>
      <w:r w:rsidRPr="0033193B">
        <w:rPr>
          <w:rFonts w:cstheme="minorHAnsi"/>
          <w:sz w:val="22"/>
          <w:szCs w:val="22"/>
          <w:lang w:val="en-US"/>
        </w:rPr>
        <w:t>A Royal Commission of Inquiry into Historical Abuse in State Care and in the Care of Faith-based Institutions (</w:t>
      </w:r>
      <w:r w:rsidR="00215FA4">
        <w:rPr>
          <w:rFonts w:cstheme="minorHAnsi"/>
          <w:sz w:val="22"/>
          <w:szCs w:val="22"/>
          <w:lang w:val="en-US"/>
        </w:rPr>
        <w:t>RCOI</w:t>
      </w:r>
      <w:r w:rsidRPr="0033193B">
        <w:rPr>
          <w:rFonts w:cstheme="minorHAnsi"/>
          <w:sz w:val="22"/>
          <w:szCs w:val="22"/>
          <w:lang w:val="en-US"/>
        </w:rPr>
        <w:t>) between 1950-1999 was established in 2018.</w:t>
      </w:r>
      <w:r w:rsidRPr="0033193B">
        <w:rPr>
          <w:rFonts w:cstheme="minorHAnsi"/>
          <w:sz w:val="22"/>
          <w:szCs w:val="22"/>
          <w:vertAlign w:val="superscript"/>
          <w:lang w:val="en-US"/>
        </w:rPr>
        <w:footnoteReference w:id="254"/>
      </w:r>
      <w:r w:rsidRPr="0033193B">
        <w:rPr>
          <w:rFonts w:cstheme="minorHAnsi"/>
          <w:sz w:val="22"/>
          <w:szCs w:val="22"/>
          <w:lang w:val="en-US"/>
        </w:rPr>
        <w:t xml:space="preserve"> The RCOI can </w:t>
      </w:r>
      <w:r w:rsidRPr="0033193B">
        <w:rPr>
          <w:rFonts w:cstheme="minorHAnsi"/>
          <w:sz w:val="22"/>
          <w:szCs w:val="22"/>
          <w:lang w:val="en-NZ"/>
        </w:rPr>
        <w:t>make recommendations to ensure the failures of the past do not continue in the future. </w:t>
      </w:r>
    </w:p>
    <w:p w14:paraId="2126A53B" w14:textId="77777777" w:rsidR="0033193B" w:rsidRPr="0033193B" w:rsidRDefault="0033193B" w:rsidP="0033193B">
      <w:pPr>
        <w:pStyle w:val="ListParagraph"/>
        <w:rPr>
          <w:rFonts w:cstheme="minorHAnsi"/>
          <w:sz w:val="22"/>
          <w:szCs w:val="22"/>
          <w:lang w:val="en-US"/>
        </w:rPr>
      </w:pPr>
    </w:p>
    <w:p w14:paraId="629D7DB5" w14:textId="77777777" w:rsidR="0033193B" w:rsidRPr="0033193B" w:rsidRDefault="0033193B" w:rsidP="0033193B">
      <w:pPr>
        <w:pStyle w:val="ListParagraph"/>
        <w:numPr>
          <w:ilvl w:val="0"/>
          <w:numId w:val="9"/>
        </w:numPr>
        <w:ind w:hanging="720"/>
        <w:rPr>
          <w:rFonts w:cstheme="minorHAnsi"/>
          <w:sz w:val="22"/>
          <w:szCs w:val="22"/>
          <w:lang w:val="en-US"/>
        </w:rPr>
      </w:pPr>
      <w:r w:rsidRPr="0033193B">
        <w:rPr>
          <w:rFonts w:cstheme="minorHAnsi"/>
          <w:sz w:val="22"/>
          <w:szCs w:val="22"/>
          <w:lang w:val="en-NZ"/>
        </w:rPr>
        <w:t xml:space="preserve">The RCOI </w:t>
      </w:r>
      <w:r w:rsidRPr="0033193B">
        <w:rPr>
          <w:rFonts w:cstheme="minorHAnsi"/>
          <w:sz w:val="22"/>
          <w:szCs w:val="22"/>
          <w:lang w:val="en-US"/>
        </w:rPr>
        <w:t>is hearing from survivors and gathering evidence and research, and</w:t>
      </w:r>
      <w:r w:rsidRPr="0033193B">
        <w:rPr>
          <w:rFonts w:cstheme="minorHAnsi"/>
          <w:sz w:val="22"/>
          <w:szCs w:val="22"/>
          <w:lang w:val="en-NZ"/>
        </w:rPr>
        <w:t xml:space="preserve"> can take current (post-1999) settings, policies, legislation and experiences into account in developing recommendations for the future.</w:t>
      </w:r>
      <w:r w:rsidRPr="0033193B">
        <w:rPr>
          <w:rFonts w:cstheme="minorHAnsi"/>
          <w:sz w:val="22"/>
          <w:szCs w:val="22"/>
          <w:lang w:val="en-US"/>
        </w:rPr>
        <w:t xml:space="preserve"> Its final report and recommendations are due in mid-2023.</w:t>
      </w:r>
      <w:r w:rsidRPr="0033193B">
        <w:rPr>
          <w:rFonts w:cstheme="minorHAnsi"/>
          <w:sz w:val="22"/>
          <w:szCs w:val="22"/>
          <w:vertAlign w:val="superscript"/>
          <w:lang w:val="en-US"/>
        </w:rPr>
        <w:footnoteReference w:id="255"/>
      </w:r>
      <w:r w:rsidRPr="0033193B">
        <w:rPr>
          <w:rFonts w:cstheme="minorHAnsi"/>
          <w:sz w:val="22"/>
          <w:szCs w:val="22"/>
          <w:lang w:val="en-NZ"/>
        </w:rPr>
        <w:t xml:space="preserve"> </w:t>
      </w:r>
    </w:p>
    <w:p w14:paraId="4EEC6836" w14:textId="77777777" w:rsidR="0033193B" w:rsidRPr="0033193B" w:rsidRDefault="0033193B" w:rsidP="0033193B">
      <w:pPr>
        <w:pStyle w:val="ListParagraph"/>
        <w:rPr>
          <w:rFonts w:cstheme="minorHAnsi"/>
          <w:sz w:val="22"/>
          <w:szCs w:val="22"/>
          <w:lang w:val="en-US"/>
        </w:rPr>
      </w:pPr>
    </w:p>
    <w:p w14:paraId="5E66C931" w14:textId="77777777" w:rsidR="0033193B" w:rsidRPr="0033193B" w:rsidRDefault="0033193B" w:rsidP="0033193B">
      <w:pPr>
        <w:pStyle w:val="ListParagraph"/>
        <w:numPr>
          <w:ilvl w:val="0"/>
          <w:numId w:val="9"/>
        </w:numPr>
        <w:ind w:hanging="720"/>
        <w:rPr>
          <w:rFonts w:cstheme="minorHAnsi"/>
          <w:sz w:val="22"/>
          <w:szCs w:val="22"/>
          <w:lang w:val="en-US"/>
        </w:rPr>
      </w:pPr>
      <w:r w:rsidRPr="0033193B">
        <w:rPr>
          <w:rFonts w:cstheme="minorHAnsi"/>
          <w:sz w:val="22"/>
          <w:szCs w:val="22"/>
          <w:lang w:val="en-US"/>
        </w:rPr>
        <w:t>The RCOI’s interim report (2021) focused on redress</w:t>
      </w:r>
      <w:r w:rsidRPr="0033193B">
        <w:rPr>
          <w:rFonts w:cstheme="minorHAnsi"/>
          <w:sz w:val="22"/>
          <w:szCs w:val="22"/>
          <w:lang w:val="en-NZ"/>
        </w:rPr>
        <w:t xml:space="preserve"> for survivors</w:t>
      </w:r>
      <w:r w:rsidRPr="0033193B">
        <w:rPr>
          <w:rFonts w:cstheme="minorHAnsi"/>
          <w:sz w:val="22"/>
          <w:szCs w:val="22"/>
          <w:lang w:val="en-US"/>
        </w:rPr>
        <w:t>,</w:t>
      </w:r>
      <w:r w:rsidRPr="0033193B">
        <w:rPr>
          <w:rFonts w:cstheme="minorHAnsi"/>
          <w:sz w:val="22"/>
          <w:szCs w:val="22"/>
          <w:vertAlign w:val="superscript"/>
          <w:lang w:val="en-US"/>
        </w:rPr>
        <w:footnoteReference w:id="256"/>
      </w:r>
      <w:r w:rsidRPr="0033193B">
        <w:rPr>
          <w:rFonts w:cstheme="minorHAnsi"/>
          <w:sz w:val="22"/>
          <w:szCs w:val="22"/>
          <w:lang w:val="en-US"/>
        </w:rPr>
        <w:t xml:space="preserve"> and </w:t>
      </w:r>
      <w:proofErr w:type="spellStart"/>
      <w:r w:rsidRPr="0033193B">
        <w:rPr>
          <w:rFonts w:cstheme="minorHAnsi"/>
          <w:sz w:val="22"/>
          <w:szCs w:val="22"/>
          <w:lang w:val="en-US"/>
        </w:rPr>
        <w:t>emphasised</w:t>
      </w:r>
      <w:proofErr w:type="spellEnd"/>
      <w:r w:rsidRPr="0033193B">
        <w:rPr>
          <w:rFonts w:cstheme="minorHAnsi"/>
          <w:sz w:val="22"/>
          <w:szCs w:val="22"/>
          <w:lang w:val="en-US"/>
        </w:rPr>
        <w:t xml:space="preserve"> that, to date, the monitoring system for children in care has not been effective due to monitoring functions being spread across several government agencies/portfolios. It recommended that any new monitoring body:</w:t>
      </w:r>
    </w:p>
    <w:p w14:paraId="28413405" w14:textId="77777777" w:rsidR="0033193B" w:rsidRPr="0033193B" w:rsidRDefault="0033193B" w:rsidP="0033193B">
      <w:pPr>
        <w:pStyle w:val="ListParagraph"/>
        <w:rPr>
          <w:rFonts w:cstheme="minorHAnsi"/>
          <w:sz w:val="22"/>
          <w:szCs w:val="22"/>
          <w:lang w:val="en-US"/>
        </w:rPr>
      </w:pPr>
    </w:p>
    <w:p w14:paraId="687567C6" w14:textId="77777777" w:rsidR="0033193B" w:rsidRPr="0033193B" w:rsidRDefault="0033193B" w:rsidP="00916EA3">
      <w:pPr>
        <w:pStyle w:val="ListParagraph"/>
        <w:numPr>
          <w:ilvl w:val="0"/>
          <w:numId w:val="19"/>
        </w:numPr>
        <w:rPr>
          <w:rFonts w:cstheme="minorHAnsi"/>
          <w:sz w:val="22"/>
          <w:szCs w:val="22"/>
          <w:lang w:val="en-US"/>
        </w:rPr>
      </w:pPr>
      <w:r w:rsidRPr="0033193B">
        <w:rPr>
          <w:rFonts w:cstheme="minorHAnsi"/>
          <w:sz w:val="22"/>
          <w:szCs w:val="22"/>
          <w:lang w:val="en-US"/>
        </w:rPr>
        <w:t xml:space="preserve">Nurtures the trust of children, young </w:t>
      </w:r>
      <w:proofErr w:type="gramStart"/>
      <w:r w:rsidRPr="0033193B">
        <w:rPr>
          <w:rFonts w:cstheme="minorHAnsi"/>
          <w:sz w:val="22"/>
          <w:szCs w:val="22"/>
          <w:lang w:val="en-US"/>
        </w:rPr>
        <w:t>people</w:t>
      </w:r>
      <w:proofErr w:type="gramEnd"/>
      <w:r w:rsidRPr="0033193B">
        <w:rPr>
          <w:rFonts w:cstheme="minorHAnsi"/>
          <w:sz w:val="22"/>
          <w:szCs w:val="22"/>
          <w:lang w:val="en-US"/>
        </w:rPr>
        <w:t xml:space="preserve"> and adults at risk.</w:t>
      </w:r>
    </w:p>
    <w:p w14:paraId="7B1B0D77" w14:textId="7106D705" w:rsidR="0033193B" w:rsidRPr="0033193B" w:rsidRDefault="0033193B" w:rsidP="00916EA3">
      <w:pPr>
        <w:pStyle w:val="ListParagraph"/>
        <w:numPr>
          <w:ilvl w:val="0"/>
          <w:numId w:val="19"/>
        </w:numPr>
        <w:rPr>
          <w:rFonts w:cstheme="minorHAnsi"/>
          <w:sz w:val="22"/>
          <w:szCs w:val="22"/>
          <w:lang w:val="en-US"/>
        </w:rPr>
      </w:pPr>
      <w:r w:rsidRPr="0033193B">
        <w:rPr>
          <w:rFonts w:cstheme="minorHAnsi"/>
          <w:sz w:val="22"/>
          <w:szCs w:val="22"/>
          <w:lang w:val="en-US"/>
        </w:rPr>
        <w:t xml:space="preserve">Is consistent with the Crown’s </w:t>
      </w:r>
      <w:proofErr w:type="spellStart"/>
      <w:r w:rsidR="00C52D88">
        <w:rPr>
          <w:rFonts w:cstheme="minorHAnsi"/>
          <w:sz w:val="22"/>
          <w:szCs w:val="22"/>
          <w:lang w:val="en-US"/>
        </w:rPr>
        <w:t>T</w:t>
      </w:r>
      <w:r w:rsidRPr="0033193B">
        <w:rPr>
          <w:rFonts w:cstheme="minorHAnsi"/>
          <w:sz w:val="22"/>
          <w:szCs w:val="22"/>
          <w:lang w:val="en-US"/>
        </w:rPr>
        <w:t>e</w:t>
      </w:r>
      <w:proofErr w:type="spellEnd"/>
      <w:r w:rsidRPr="0033193B">
        <w:rPr>
          <w:rFonts w:cstheme="minorHAnsi"/>
          <w:sz w:val="22"/>
          <w:szCs w:val="22"/>
          <w:lang w:val="en-US"/>
        </w:rPr>
        <w:t xml:space="preserve"> </w:t>
      </w:r>
      <w:proofErr w:type="spellStart"/>
      <w:r w:rsidRPr="0033193B">
        <w:rPr>
          <w:rFonts w:cstheme="minorHAnsi"/>
          <w:sz w:val="22"/>
          <w:szCs w:val="22"/>
          <w:lang w:val="en-US"/>
        </w:rPr>
        <w:t>Tiriti</w:t>
      </w:r>
      <w:proofErr w:type="spellEnd"/>
      <w:r w:rsidRPr="0033193B">
        <w:rPr>
          <w:rFonts w:cstheme="minorHAnsi"/>
          <w:sz w:val="22"/>
          <w:szCs w:val="22"/>
          <w:lang w:val="en-US"/>
        </w:rPr>
        <w:t xml:space="preserve"> o Waitangi obligations.</w:t>
      </w:r>
    </w:p>
    <w:p w14:paraId="57E075B5" w14:textId="77777777" w:rsidR="0033193B" w:rsidRPr="0033193B" w:rsidRDefault="0033193B" w:rsidP="00916EA3">
      <w:pPr>
        <w:pStyle w:val="ListParagraph"/>
        <w:numPr>
          <w:ilvl w:val="0"/>
          <w:numId w:val="19"/>
        </w:numPr>
        <w:rPr>
          <w:rFonts w:cstheme="minorHAnsi"/>
          <w:sz w:val="22"/>
          <w:szCs w:val="22"/>
          <w:lang w:val="en-US"/>
        </w:rPr>
      </w:pPr>
      <w:r w:rsidRPr="0033193B">
        <w:rPr>
          <w:rFonts w:cstheme="minorHAnsi"/>
          <w:sz w:val="22"/>
          <w:szCs w:val="22"/>
          <w:lang w:val="en-US"/>
        </w:rPr>
        <w:t xml:space="preserve">Is </w:t>
      </w:r>
      <w:proofErr w:type="spellStart"/>
      <w:r w:rsidRPr="0033193B">
        <w:rPr>
          <w:rFonts w:cstheme="minorHAnsi"/>
          <w:sz w:val="22"/>
          <w:szCs w:val="22"/>
          <w:lang w:val="en-US"/>
        </w:rPr>
        <w:t>organised</w:t>
      </w:r>
      <w:proofErr w:type="spellEnd"/>
      <w:r w:rsidRPr="0033193B">
        <w:rPr>
          <w:rFonts w:cstheme="minorHAnsi"/>
          <w:sz w:val="22"/>
          <w:szCs w:val="22"/>
          <w:lang w:val="en-US"/>
        </w:rPr>
        <w:t xml:space="preserve"> to reflect the Māori-Crown relationship.</w:t>
      </w:r>
    </w:p>
    <w:p w14:paraId="591074BF" w14:textId="77777777" w:rsidR="0033193B" w:rsidRPr="0033193B" w:rsidRDefault="0033193B" w:rsidP="00916EA3">
      <w:pPr>
        <w:pStyle w:val="ListParagraph"/>
        <w:numPr>
          <w:ilvl w:val="0"/>
          <w:numId w:val="19"/>
        </w:numPr>
        <w:rPr>
          <w:rFonts w:cstheme="minorHAnsi"/>
          <w:sz w:val="22"/>
          <w:szCs w:val="22"/>
          <w:lang w:val="en-US"/>
        </w:rPr>
      </w:pPr>
      <w:r w:rsidRPr="0033193B">
        <w:rPr>
          <w:rFonts w:cstheme="minorHAnsi"/>
          <w:sz w:val="22"/>
          <w:szCs w:val="22"/>
          <w:lang w:val="en-US"/>
        </w:rPr>
        <w:t xml:space="preserve">Is independent of other oversight mechanisms and the </w:t>
      </w:r>
      <w:proofErr w:type="spellStart"/>
      <w:r w:rsidRPr="0033193B">
        <w:rPr>
          <w:rFonts w:cstheme="minorHAnsi"/>
          <w:sz w:val="22"/>
          <w:szCs w:val="22"/>
          <w:lang w:val="en-US"/>
        </w:rPr>
        <w:t>organisation</w:t>
      </w:r>
      <w:proofErr w:type="spellEnd"/>
      <w:r w:rsidRPr="0033193B">
        <w:rPr>
          <w:rFonts w:cstheme="minorHAnsi"/>
          <w:sz w:val="22"/>
          <w:szCs w:val="22"/>
          <w:lang w:val="en-US"/>
        </w:rPr>
        <w:t>(s) being monitored.</w:t>
      </w:r>
    </w:p>
    <w:p w14:paraId="675BB4FA" w14:textId="77777777" w:rsidR="0033193B" w:rsidRPr="0033193B" w:rsidRDefault="0033193B" w:rsidP="00916EA3">
      <w:pPr>
        <w:pStyle w:val="ListParagraph"/>
        <w:numPr>
          <w:ilvl w:val="0"/>
          <w:numId w:val="19"/>
        </w:numPr>
        <w:rPr>
          <w:rFonts w:cstheme="minorHAnsi"/>
          <w:sz w:val="22"/>
          <w:szCs w:val="22"/>
          <w:lang w:val="en-US"/>
        </w:rPr>
      </w:pPr>
      <w:r w:rsidRPr="0033193B">
        <w:rPr>
          <w:rFonts w:cstheme="minorHAnsi"/>
          <w:sz w:val="22"/>
          <w:szCs w:val="22"/>
          <w:lang w:val="en-US"/>
        </w:rPr>
        <w:t>Complies with all relevant human rights obligations.</w:t>
      </w:r>
    </w:p>
    <w:p w14:paraId="443AC2BF" w14:textId="77777777" w:rsidR="0033193B" w:rsidRPr="0033193B" w:rsidRDefault="0033193B" w:rsidP="00916EA3">
      <w:pPr>
        <w:pStyle w:val="ListParagraph"/>
        <w:numPr>
          <w:ilvl w:val="0"/>
          <w:numId w:val="19"/>
        </w:numPr>
        <w:rPr>
          <w:rFonts w:cstheme="minorHAnsi"/>
          <w:sz w:val="22"/>
          <w:szCs w:val="22"/>
          <w:lang w:val="en-US"/>
        </w:rPr>
      </w:pPr>
      <w:r w:rsidRPr="0033193B">
        <w:rPr>
          <w:rFonts w:cstheme="minorHAnsi"/>
          <w:sz w:val="22"/>
          <w:szCs w:val="22"/>
          <w:lang w:val="en-US"/>
        </w:rPr>
        <w:lastRenderedPageBreak/>
        <w:t>Operates regularly, or is conducted regularly, using staff with appropriate skills and expertise.</w:t>
      </w:r>
      <w:r w:rsidRPr="0033193B">
        <w:rPr>
          <w:rFonts w:cstheme="minorHAnsi"/>
          <w:sz w:val="22"/>
          <w:szCs w:val="22"/>
          <w:vertAlign w:val="superscript"/>
          <w:lang w:val="en-US"/>
        </w:rPr>
        <w:footnoteReference w:id="257"/>
      </w:r>
      <w:r w:rsidRPr="0033193B">
        <w:rPr>
          <w:rFonts w:cstheme="minorHAnsi"/>
          <w:sz w:val="22"/>
          <w:szCs w:val="22"/>
          <w:lang w:val="en-US"/>
        </w:rPr>
        <w:t xml:space="preserve"> </w:t>
      </w:r>
    </w:p>
    <w:p w14:paraId="1D4DF0C1" w14:textId="77777777" w:rsidR="0033193B" w:rsidRPr="0033193B" w:rsidRDefault="0033193B" w:rsidP="0033193B">
      <w:pPr>
        <w:pStyle w:val="ListParagraph"/>
        <w:rPr>
          <w:rFonts w:cstheme="minorHAnsi"/>
          <w:sz w:val="22"/>
          <w:szCs w:val="22"/>
          <w:lang w:val="mi-NZ"/>
        </w:rPr>
      </w:pPr>
    </w:p>
    <w:p w14:paraId="5219EE02" w14:textId="24EE6342" w:rsidR="0033193B" w:rsidRDefault="0033193B" w:rsidP="0033193B">
      <w:pPr>
        <w:pStyle w:val="ListParagraph"/>
        <w:numPr>
          <w:ilvl w:val="0"/>
          <w:numId w:val="9"/>
        </w:numPr>
        <w:ind w:hanging="720"/>
        <w:rPr>
          <w:rFonts w:cstheme="minorHAnsi"/>
          <w:sz w:val="22"/>
          <w:szCs w:val="22"/>
          <w:lang w:val="mi-NZ"/>
        </w:rPr>
      </w:pPr>
      <w:r w:rsidRPr="0033193B">
        <w:rPr>
          <w:rFonts w:cstheme="minorHAnsi"/>
          <w:sz w:val="22"/>
          <w:szCs w:val="22"/>
          <w:lang w:val="mi-NZ"/>
        </w:rPr>
        <w:t>We are gravely concerned that changes to the oversight system for OT are proceeding without waiting to take the RCOI findings and recommendations into account.</w:t>
      </w:r>
      <w:r w:rsidRPr="0033193B">
        <w:rPr>
          <w:rFonts w:cstheme="minorHAnsi"/>
          <w:sz w:val="22"/>
          <w:szCs w:val="22"/>
          <w:vertAlign w:val="superscript"/>
          <w:lang w:val="mi-NZ"/>
        </w:rPr>
        <w:footnoteReference w:id="258"/>
      </w:r>
      <w:r w:rsidRPr="0033193B">
        <w:rPr>
          <w:rFonts w:cstheme="minorHAnsi"/>
          <w:sz w:val="22"/>
          <w:szCs w:val="22"/>
          <w:lang w:val="mi-NZ"/>
        </w:rPr>
        <w:t xml:space="preserve"> </w:t>
      </w:r>
    </w:p>
    <w:p w14:paraId="19357715" w14:textId="5789CDE5" w:rsidR="0033193B" w:rsidRPr="0033193B" w:rsidRDefault="0033193B" w:rsidP="0033193B">
      <w:pPr>
        <w:pStyle w:val="IntenseQuote"/>
        <w:ind w:left="720"/>
        <w:jc w:val="left"/>
        <w:rPr>
          <w:b/>
          <w:bCs/>
          <w:i w:val="0"/>
          <w:iCs w:val="0"/>
          <w:sz w:val="24"/>
          <w:szCs w:val="24"/>
          <w:lang w:val="mi-NZ"/>
        </w:rPr>
      </w:pPr>
      <w:r w:rsidRPr="0033193B">
        <w:rPr>
          <w:b/>
          <w:bCs/>
          <w:i w:val="0"/>
          <w:iCs w:val="0"/>
          <w:sz w:val="24"/>
          <w:szCs w:val="24"/>
          <w:lang w:val="mi-NZ"/>
        </w:rPr>
        <w:t>Recommendations</w:t>
      </w:r>
    </w:p>
    <w:p w14:paraId="3326239E" w14:textId="4E413B47" w:rsidR="0033193B" w:rsidRPr="0033193B" w:rsidRDefault="0033193B" w:rsidP="00916EA3">
      <w:pPr>
        <w:pStyle w:val="IntenseQuote"/>
        <w:numPr>
          <w:ilvl w:val="0"/>
          <w:numId w:val="11"/>
        </w:numPr>
        <w:jc w:val="left"/>
        <w:rPr>
          <w:i w:val="0"/>
          <w:iCs w:val="0"/>
          <w:sz w:val="22"/>
          <w:szCs w:val="22"/>
          <w:lang w:val="mi-NZ"/>
        </w:rPr>
      </w:pPr>
      <w:r w:rsidRPr="0033193B">
        <w:rPr>
          <w:i w:val="0"/>
          <w:iCs w:val="0"/>
          <w:sz w:val="22"/>
          <w:szCs w:val="22"/>
          <w:lang w:val="mi-NZ"/>
        </w:rPr>
        <w:t>Ensure OT upholds the right of all children in State care to be safe and free from violence, abuse and neglect.</w:t>
      </w:r>
    </w:p>
    <w:p w14:paraId="593126B5" w14:textId="77777777" w:rsidR="0033193B" w:rsidRPr="0033193B" w:rsidRDefault="0033193B" w:rsidP="00916EA3">
      <w:pPr>
        <w:pStyle w:val="IntenseQuote"/>
        <w:numPr>
          <w:ilvl w:val="0"/>
          <w:numId w:val="11"/>
        </w:numPr>
        <w:jc w:val="left"/>
        <w:rPr>
          <w:i w:val="0"/>
          <w:iCs w:val="0"/>
          <w:sz w:val="22"/>
          <w:szCs w:val="22"/>
          <w:lang w:val="mi-NZ"/>
        </w:rPr>
      </w:pPr>
      <w:r w:rsidRPr="0033193B">
        <w:rPr>
          <w:i w:val="0"/>
          <w:iCs w:val="0"/>
          <w:sz w:val="22"/>
          <w:szCs w:val="22"/>
          <w:lang w:val="mi-NZ"/>
        </w:rPr>
        <w:t>Take urgent measures to address the unacceptable levels of harm experienced by tamariki Māori and Māori Pacific in care.</w:t>
      </w:r>
    </w:p>
    <w:p w14:paraId="4DA6E471" w14:textId="77777777" w:rsidR="0033193B" w:rsidRPr="0033193B" w:rsidRDefault="0033193B" w:rsidP="00916EA3">
      <w:pPr>
        <w:pStyle w:val="IntenseQuote"/>
        <w:numPr>
          <w:ilvl w:val="0"/>
          <w:numId w:val="11"/>
        </w:numPr>
        <w:jc w:val="left"/>
        <w:rPr>
          <w:i w:val="0"/>
          <w:iCs w:val="0"/>
          <w:sz w:val="22"/>
          <w:szCs w:val="22"/>
          <w:lang w:val="mi-NZ"/>
        </w:rPr>
      </w:pPr>
      <w:r w:rsidRPr="0033193B">
        <w:rPr>
          <w:i w:val="0"/>
          <w:iCs w:val="0"/>
          <w:sz w:val="22"/>
          <w:szCs w:val="22"/>
          <w:lang w:val="mi-NZ"/>
        </w:rPr>
        <w:t xml:space="preserve">Strengthen training and professional support for all those working with children in state care system, particularly social workers and youth workers. </w:t>
      </w:r>
    </w:p>
    <w:p w14:paraId="1696921A" w14:textId="77777777" w:rsidR="0033193B" w:rsidRPr="0033193B" w:rsidRDefault="0033193B" w:rsidP="00916EA3">
      <w:pPr>
        <w:pStyle w:val="IntenseQuote"/>
        <w:numPr>
          <w:ilvl w:val="0"/>
          <w:numId w:val="11"/>
        </w:numPr>
        <w:jc w:val="left"/>
        <w:rPr>
          <w:i w:val="0"/>
          <w:iCs w:val="0"/>
          <w:sz w:val="22"/>
          <w:szCs w:val="22"/>
          <w:lang w:val="mi-NZ"/>
        </w:rPr>
      </w:pPr>
      <w:r w:rsidRPr="0033193B">
        <w:rPr>
          <w:i w:val="0"/>
          <w:iCs w:val="0"/>
          <w:sz w:val="22"/>
          <w:szCs w:val="22"/>
          <w:lang w:val="mi-NZ"/>
        </w:rPr>
        <w:t xml:space="preserve">Uphold children’s participation rights (including by listening to children) at all levels of the state care system, including in the development and operation of laws, regulations, policies and practice. </w:t>
      </w:r>
    </w:p>
    <w:p w14:paraId="296FBB20" w14:textId="77777777" w:rsidR="0033193B" w:rsidRPr="0033193B" w:rsidRDefault="0033193B" w:rsidP="00916EA3">
      <w:pPr>
        <w:pStyle w:val="IntenseQuote"/>
        <w:numPr>
          <w:ilvl w:val="0"/>
          <w:numId w:val="11"/>
        </w:numPr>
        <w:jc w:val="left"/>
        <w:rPr>
          <w:i w:val="0"/>
          <w:iCs w:val="0"/>
          <w:sz w:val="22"/>
          <w:szCs w:val="22"/>
          <w:lang w:val="mi-NZ"/>
        </w:rPr>
      </w:pPr>
      <w:r w:rsidRPr="0033193B">
        <w:rPr>
          <w:i w:val="0"/>
          <w:iCs w:val="0"/>
          <w:sz w:val="22"/>
          <w:szCs w:val="22"/>
          <w:lang w:val="mi-NZ"/>
        </w:rPr>
        <w:t>Review new OT oversight arrangements as soon as possible (within 6 months of the RCOI final report) and design, in consultation with care experienced children, an effective OT oversight system for children and their families and whānau.</w:t>
      </w:r>
    </w:p>
    <w:p w14:paraId="221B0499" w14:textId="3C61FB58" w:rsidR="00124FEB" w:rsidRPr="00C93218" w:rsidRDefault="00124FEB" w:rsidP="00C93218">
      <w:pPr>
        <w:pStyle w:val="Heading1"/>
      </w:pPr>
      <w:bookmarkStart w:id="39" w:name="_Toc111485463"/>
      <w:r w:rsidRPr="00124FEB">
        <w:t>Family and Alternative Care – LOIPR 18-20</w:t>
      </w:r>
      <w:bookmarkEnd w:id="39"/>
    </w:p>
    <w:p w14:paraId="68629AF7" w14:textId="0FC9098E" w:rsidR="0033193B" w:rsidRPr="00124FEB" w:rsidRDefault="0033193B" w:rsidP="0033193B">
      <w:pPr>
        <w:rPr>
          <w:rFonts w:cstheme="minorHAnsi"/>
          <w:sz w:val="22"/>
          <w:szCs w:val="22"/>
          <w:lang w:val="mi-NZ"/>
        </w:rPr>
      </w:pPr>
    </w:p>
    <w:p w14:paraId="2E805292" w14:textId="48B323D5" w:rsidR="00124FEB" w:rsidRPr="00CA095C" w:rsidRDefault="00124FEB" w:rsidP="00CA095C">
      <w:pPr>
        <w:ind w:left="720"/>
        <w:rPr>
          <w:rFonts w:cstheme="minorHAnsi"/>
          <w:i/>
          <w:iCs/>
          <w:sz w:val="22"/>
          <w:szCs w:val="22"/>
        </w:rPr>
      </w:pPr>
      <w:r w:rsidRPr="00124FEB">
        <w:rPr>
          <w:rFonts w:cstheme="minorHAnsi"/>
          <w:i/>
          <w:iCs/>
          <w:sz w:val="22"/>
          <w:szCs w:val="22"/>
        </w:rPr>
        <w:t>To feel safe and secure we need to know there is someone committed to our long-term wellbeing, and to feel valued we need to know that we are worth somebody making this commitment to us.</w:t>
      </w:r>
      <w:r w:rsidRPr="00124FEB">
        <w:rPr>
          <w:rStyle w:val="FootnoteReference"/>
          <w:rFonts w:cstheme="minorHAnsi"/>
          <w:i/>
          <w:iCs/>
          <w:sz w:val="22"/>
          <w:szCs w:val="22"/>
        </w:rPr>
        <w:footnoteReference w:id="259"/>
      </w:r>
      <w:r w:rsidRPr="00124FEB">
        <w:rPr>
          <w:rFonts w:cstheme="minorHAnsi"/>
          <w:i/>
          <w:iCs/>
          <w:sz w:val="22"/>
          <w:szCs w:val="22"/>
        </w:rPr>
        <w:t xml:space="preserve"> </w:t>
      </w:r>
    </w:p>
    <w:p w14:paraId="28136F3E" w14:textId="77777777" w:rsidR="00CA095C" w:rsidRDefault="00CA095C" w:rsidP="00CA095C">
      <w:pPr>
        <w:pStyle w:val="ListParagraph"/>
        <w:rPr>
          <w:rFonts w:cstheme="minorHAnsi"/>
          <w:sz w:val="22"/>
          <w:szCs w:val="22"/>
          <w:lang w:val="mi-NZ"/>
        </w:rPr>
      </w:pPr>
    </w:p>
    <w:p w14:paraId="41727AF5" w14:textId="4D5EF97E" w:rsidR="00124FEB" w:rsidRPr="00124FEB" w:rsidRDefault="00124FEB" w:rsidP="00124FEB">
      <w:pPr>
        <w:pStyle w:val="ListParagraph"/>
        <w:numPr>
          <w:ilvl w:val="0"/>
          <w:numId w:val="9"/>
        </w:numPr>
        <w:ind w:hanging="720"/>
        <w:rPr>
          <w:rFonts w:cstheme="minorHAnsi"/>
          <w:sz w:val="22"/>
          <w:szCs w:val="22"/>
          <w:lang w:val="mi-NZ"/>
        </w:rPr>
      </w:pPr>
      <w:r w:rsidRPr="00124FEB">
        <w:rPr>
          <w:rFonts w:cstheme="minorHAnsi"/>
          <w:sz w:val="22"/>
          <w:szCs w:val="22"/>
          <w:lang w:val="mi-NZ"/>
        </w:rPr>
        <w:t>Changing family patterns, values and structures require flexible, well planned policy responses to enable all children to grow up in a family environment and atmosphere of happiness, love and understanding.</w:t>
      </w:r>
      <w:r w:rsidRPr="00124FEB">
        <w:rPr>
          <w:rFonts w:cstheme="minorHAnsi"/>
          <w:sz w:val="22"/>
          <w:szCs w:val="22"/>
          <w:vertAlign w:val="superscript"/>
          <w:lang w:val="mi-NZ"/>
        </w:rPr>
        <w:footnoteReference w:id="260"/>
      </w:r>
      <w:r w:rsidRPr="00124FEB">
        <w:rPr>
          <w:rFonts w:cstheme="minorHAnsi"/>
          <w:sz w:val="22"/>
          <w:szCs w:val="22"/>
          <w:lang w:val="mi-NZ"/>
        </w:rPr>
        <w:t xml:space="preserve"> </w:t>
      </w:r>
      <w:r w:rsidRPr="00124FEB">
        <w:rPr>
          <w:rFonts w:cstheme="minorHAnsi"/>
          <w:sz w:val="22"/>
          <w:szCs w:val="22"/>
          <w:vertAlign w:val="superscript"/>
          <w:lang w:val="mi-NZ"/>
        </w:rPr>
        <w:footnoteReference w:id="261"/>
      </w:r>
    </w:p>
    <w:p w14:paraId="5FE3D3C8" w14:textId="77777777" w:rsidR="00124FEB" w:rsidRPr="00124FEB" w:rsidRDefault="00124FEB" w:rsidP="00124FEB">
      <w:pPr>
        <w:pStyle w:val="ListParagraph"/>
        <w:rPr>
          <w:rFonts w:cstheme="minorHAnsi"/>
          <w:sz w:val="22"/>
          <w:szCs w:val="22"/>
          <w:lang w:val="en-NZ"/>
        </w:rPr>
      </w:pPr>
    </w:p>
    <w:p w14:paraId="42408423" w14:textId="77777777" w:rsidR="00124FEB" w:rsidRPr="00124FEB" w:rsidRDefault="00124FEB" w:rsidP="00124FEB">
      <w:pPr>
        <w:pStyle w:val="ListParagraph"/>
        <w:numPr>
          <w:ilvl w:val="0"/>
          <w:numId w:val="9"/>
        </w:numPr>
        <w:ind w:hanging="720"/>
        <w:rPr>
          <w:rFonts w:cstheme="minorHAnsi"/>
          <w:sz w:val="22"/>
          <w:szCs w:val="22"/>
          <w:lang w:val="en-NZ"/>
        </w:rPr>
      </w:pPr>
      <w:r w:rsidRPr="00124FEB">
        <w:rPr>
          <w:rFonts w:cstheme="minorHAnsi"/>
          <w:sz w:val="22"/>
          <w:szCs w:val="22"/>
          <w:lang w:val="en-NZ"/>
        </w:rPr>
        <w:t xml:space="preserve">Since 2016 there has been a strong focus on improving the State care system. An equal focus is now needed on preventing children from going into State care by supporting family environments that allow children to grow, safely and well, within their families, </w:t>
      </w:r>
      <w:proofErr w:type="spellStart"/>
      <w:r w:rsidRPr="00124FEB">
        <w:rPr>
          <w:rFonts w:cstheme="minorHAnsi"/>
          <w:sz w:val="22"/>
          <w:szCs w:val="22"/>
          <w:lang w:val="en-NZ"/>
        </w:rPr>
        <w:t>whānau</w:t>
      </w:r>
      <w:proofErr w:type="spellEnd"/>
      <w:r w:rsidRPr="00124FEB">
        <w:rPr>
          <w:rFonts w:cstheme="minorHAnsi"/>
          <w:sz w:val="22"/>
          <w:szCs w:val="22"/>
          <w:lang w:val="en-NZ"/>
        </w:rPr>
        <w:t xml:space="preserve">, </w:t>
      </w:r>
      <w:proofErr w:type="spellStart"/>
      <w:r w:rsidRPr="00124FEB">
        <w:rPr>
          <w:rFonts w:cstheme="minorHAnsi"/>
          <w:sz w:val="22"/>
          <w:szCs w:val="22"/>
          <w:lang w:val="en-NZ"/>
        </w:rPr>
        <w:t>hapū</w:t>
      </w:r>
      <w:proofErr w:type="spellEnd"/>
      <w:r w:rsidRPr="00124FEB">
        <w:rPr>
          <w:rFonts w:cstheme="minorHAnsi"/>
          <w:sz w:val="22"/>
          <w:szCs w:val="22"/>
          <w:lang w:val="en-NZ"/>
        </w:rPr>
        <w:t xml:space="preserve"> and iwi, and communities. If a child has to be removed from the care of their family or </w:t>
      </w:r>
      <w:proofErr w:type="spellStart"/>
      <w:r w:rsidRPr="00124FEB">
        <w:rPr>
          <w:rFonts w:cstheme="minorHAnsi"/>
          <w:sz w:val="22"/>
          <w:szCs w:val="22"/>
          <w:lang w:val="en-NZ"/>
        </w:rPr>
        <w:t>whānau</w:t>
      </w:r>
      <w:proofErr w:type="spellEnd"/>
      <w:r w:rsidRPr="00124FEB">
        <w:rPr>
          <w:rFonts w:cstheme="minorHAnsi"/>
          <w:sz w:val="22"/>
          <w:szCs w:val="22"/>
          <w:lang w:val="en-NZ"/>
        </w:rPr>
        <w:t xml:space="preserve">, the reasons and process for removal, as well as the child’s experience of alternative care, must be consistent with their CRC rights. </w:t>
      </w:r>
    </w:p>
    <w:p w14:paraId="3A699BC5" w14:textId="1C2FD826" w:rsidR="00970A6D" w:rsidRDefault="00970A6D" w:rsidP="00124FEB">
      <w:pPr>
        <w:rPr>
          <w:rFonts w:cstheme="minorHAnsi"/>
          <w:sz w:val="22"/>
          <w:szCs w:val="22"/>
          <w:lang w:val="mi-NZ"/>
        </w:rPr>
      </w:pPr>
    </w:p>
    <w:p w14:paraId="493FB425" w14:textId="77777777" w:rsidR="00124FEB" w:rsidRPr="00E7687D" w:rsidRDefault="00124FEB" w:rsidP="00124FEB">
      <w:pPr>
        <w:pStyle w:val="Heading2"/>
        <w:rPr>
          <w:lang w:val="mi-NZ"/>
        </w:rPr>
      </w:pPr>
      <w:bookmarkStart w:id="40" w:name="_Toc111485464"/>
      <w:r w:rsidRPr="00E7687D">
        <w:rPr>
          <w:lang w:val="mi-NZ"/>
        </w:rPr>
        <w:t>Family Environment – LOIPR 18</w:t>
      </w:r>
      <w:bookmarkEnd w:id="40"/>
    </w:p>
    <w:p w14:paraId="7283E6F2" w14:textId="77777777" w:rsidR="00124FEB" w:rsidRPr="00124FEB" w:rsidRDefault="00124FEB" w:rsidP="00124FEB">
      <w:pPr>
        <w:rPr>
          <w:rFonts w:cstheme="minorHAnsi"/>
          <w:sz w:val="22"/>
          <w:szCs w:val="22"/>
          <w:lang w:val="mi-NZ"/>
        </w:rPr>
      </w:pPr>
    </w:p>
    <w:p w14:paraId="709FD770" w14:textId="5986ACB2" w:rsidR="00124FEB" w:rsidRPr="00124FEB" w:rsidRDefault="00124FEB" w:rsidP="00124FEB">
      <w:pPr>
        <w:pStyle w:val="ListParagraph"/>
        <w:numPr>
          <w:ilvl w:val="0"/>
          <w:numId w:val="9"/>
        </w:numPr>
        <w:ind w:hanging="720"/>
        <w:rPr>
          <w:rFonts w:cstheme="minorHAnsi"/>
          <w:sz w:val="22"/>
          <w:szCs w:val="22"/>
        </w:rPr>
      </w:pPr>
      <w:r w:rsidRPr="00124FEB">
        <w:rPr>
          <w:rFonts w:cstheme="minorHAnsi"/>
          <w:sz w:val="22"/>
          <w:szCs w:val="22"/>
        </w:rPr>
        <w:t xml:space="preserve">Iwi and community-based initiatives to support and strengthen families and </w:t>
      </w:r>
      <w:proofErr w:type="spellStart"/>
      <w:r w:rsidRPr="00124FEB">
        <w:rPr>
          <w:rFonts w:cstheme="minorHAnsi"/>
          <w:sz w:val="22"/>
          <w:szCs w:val="22"/>
        </w:rPr>
        <w:t>whānau</w:t>
      </w:r>
      <w:proofErr w:type="spellEnd"/>
      <w:r w:rsidRPr="00124FEB">
        <w:rPr>
          <w:rFonts w:cstheme="minorHAnsi"/>
          <w:sz w:val="22"/>
          <w:szCs w:val="22"/>
        </w:rPr>
        <w:t xml:space="preserve"> are central to realising children’s rights to family. </w:t>
      </w:r>
    </w:p>
    <w:p w14:paraId="3F18DCC6" w14:textId="77777777" w:rsidR="00124FEB" w:rsidRPr="00124FEB" w:rsidRDefault="00124FEB" w:rsidP="00124FEB">
      <w:pPr>
        <w:pStyle w:val="ListParagraph"/>
        <w:rPr>
          <w:rFonts w:cstheme="minorHAnsi"/>
          <w:sz w:val="22"/>
          <w:szCs w:val="22"/>
        </w:rPr>
      </w:pPr>
    </w:p>
    <w:p w14:paraId="37DA5FC9" w14:textId="77777777" w:rsidR="00124FEB" w:rsidRPr="00124FEB" w:rsidRDefault="00124FEB" w:rsidP="00124FEB">
      <w:pPr>
        <w:pStyle w:val="ListParagraph"/>
        <w:numPr>
          <w:ilvl w:val="0"/>
          <w:numId w:val="9"/>
        </w:numPr>
        <w:ind w:hanging="720"/>
        <w:rPr>
          <w:rFonts w:cstheme="minorHAnsi"/>
          <w:sz w:val="22"/>
          <w:szCs w:val="22"/>
          <w:lang w:val="en-NZ"/>
        </w:rPr>
      </w:pPr>
      <w:r w:rsidRPr="00124FEB">
        <w:rPr>
          <w:rFonts w:cstheme="minorHAnsi"/>
          <w:i/>
          <w:iCs/>
          <w:sz w:val="22"/>
          <w:szCs w:val="22"/>
          <w:lang w:val="mi-NZ"/>
        </w:rPr>
        <w:t xml:space="preserve">The Prevention Project: Supporting </w:t>
      </w:r>
      <w:proofErr w:type="spellStart"/>
      <w:r w:rsidRPr="00124FEB">
        <w:rPr>
          <w:rFonts w:cstheme="minorHAnsi"/>
          <w:i/>
          <w:iCs/>
          <w:sz w:val="22"/>
          <w:szCs w:val="22"/>
          <w:lang w:val="en-NZ"/>
        </w:rPr>
        <w:t>wha</w:t>
      </w:r>
      <w:r w:rsidRPr="00124FEB">
        <w:rPr>
          <w:rFonts w:ascii="Arial" w:hAnsi="Arial" w:cs="Arial"/>
          <w:i/>
          <w:iCs/>
          <w:sz w:val="22"/>
          <w:szCs w:val="22"/>
          <w:lang w:val="en-NZ"/>
        </w:rPr>
        <w:t>̄</w:t>
      </w:r>
      <w:r w:rsidRPr="00124FEB">
        <w:rPr>
          <w:rFonts w:cstheme="minorHAnsi"/>
          <w:i/>
          <w:iCs/>
          <w:sz w:val="22"/>
          <w:szCs w:val="22"/>
          <w:lang w:val="en-NZ"/>
        </w:rPr>
        <w:t>nau</w:t>
      </w:r>
      <w:proofErr w:type="spellEnd"/>
      <w:r w:rsidRPr="00124FEB">
        <w:rPr>
          <w:rFonts w:cstheme="minorHAnsi"/>
          <w:i/>
          <w:iCs/>
          <w:sz w:val="22"/>
          <w:szCs w:val="22"/>
          <w:lang w:val="en-NZ"/>
        </w:rPr>
        <w:t xml:space="preserve"> and reducing baby removals,</w:t>
      </w:r>
      <w:r w:rsidRPr="00124FEB">
        <w:rPr>
          <w:rFonts w:cstheme="minorHAnsi"/>
          <w:i/>
          <w:iCs/>
          <w:sz w:val="22"/>
          <w:szCs w:val="22"/>
          <w:vertAlign w:val="superscript"/>
          <w:lang w:val="en-NZ"/>
        </w:rPr>
        <w:footnoteReference w:id="262"/>
      </w:r>
      <w:r w:rsidRPr="00124FEB">
        <w:rPr>
          <w:rFonts w:cstheme="minorHAnsi"/>
          <w:sz w:val="22"/>
          <w:szCs w:val="22"/>
          <w:lang w:val="en-NZ"/>
        </w:rPr>
        <w:t xml:space="preserve"> recommended the following policy and practice changes to support </w:t>
      </w:r>
      <w:proofErr w:type="spellStart"/>
      <w:r w:rsidRPr="00124FEB">
        <w:rPr>
          <w:rFonts w:cstheme="minorHAnsi"/>
          <w:sz w:val="22"/>
          <w:szCs w:val="22"/>
          <w:lang w:val="en-NZ"/>
        </w:rPr>
        <w:t>wha</w:t>
      </w:r>
      <w:r w:rsidRPr="00124FEB">
        <w:rPr>
          <w:rFonts w:ascii="Arial" w:hAnsi="Arial" w:cs="Arial"/>
          <w:sz w:val="22"/>
          <w:szCs w:val="22"/>
          <w:lang w:val="en-NZ"/>
        </w:rPr>
        <w:t>̄</w:t>
      </w:r>
      <w:r w:rsidRPr="00124FEB">
        <w:rPr>
          <w:rFonts w:cstheme="minorHAnsi"/>
          <w:sz w:val="22"/>
          <w:szCs w:val="22"/>
          <w:lang w:val="en-NZ"/>
        </w:rPr>
        <w:t>nau</w:t>
      </w:r>
      <w:proofErr w:type="spellEnd"/>
      <w:r w:rsidRPr="00124FEB">
        <w:rPr>
          <w:rFonts w:cstheme="minorHAnsi"/>
          <w:sz w:val="22"/>
          <w:szCs w:val="22"/>
          <w:lang w:val="en-NZ"/>
        </w:rPr>
        <w:t xml:space="preserve"> and reduce the removal of babies into State care:</w:t>
      </w:r>
    </w:p>
    <w:p w14:paraId="4F998347" w14:textId="77777777" w:rsidR="00124FEB" w:rsidRPr="00124FEB" w:rsidRDefault="00124FEB" w:rsidP="00124FEB">
      <w:pPr>
        <w:pStyle w:val="ListParagraph"/>
        <w:ind w:left="0"/>
        <w:rPr>
          <w:rFonts w:cstheme="minorHAnsi"/>
          <w:sz w:val="22"/>
          <w:szCs w:val="22"/>
          <w:lang w:val="en-NZ"/>
        </w:rPr>
      </w:pPr>
    </w:p>
    <w:p w14:paraId="4F4E0BCA" w14:textId="65F893EA" w:rsidR="00124FEB" w:rsidRPr="00124FEB" w:rsidRDefault="00124FEB" w:rsidP="00916EA3">
      <w:pPr>
        <w:pStyle w:val="ListParagraph"/>
        <w:numPr>
          <w:ilvl w:val="0"/>
          <w:numId w:val="20"/>
        </w:numPr>
        <w:ind w:left="720"/>
        <w:rPr>
          <w:rFonts w:cstheme="minorHAnsi"/>
          <w:sz w:val="22"/>
          <w:szCs w:val="22"/>
          <w:lang w:val="mi-NZ"/>
        </w:rPr>
      </w:pPr>
      <w:r w:rsidRPr="00124FEB">
        <w:rPr>
          <w:rFonts w:cstheme="minorHAnsi"/>
          <w:sz w:val="22"/>
          <w:szCs w:val="22"/>
          <w:lang w:val="mi-NZ"/>
        </w:rPr>
        <w:t>Community building.</w:t>
      </w:r>
    </w:p>
    <w:p w14:paraId="00272BCA" w14:textId="77777777" w:rsidR="00124FEB" w:rsidRPr="00124FEB" w:rsidRDefault="00124FEB" w:rsidP="00916EA3">
      <w:pPr>
        <w:pStyle w:val="ListParagraph"/>
        <w:numPr>
          <w:ilvl w:val="0"/>
          <w:numId w:val="20"/>
        </w:numPr>
        <w:ind w:left="720"/>
        <w:rPr>
          <w:rFonts w:cstheme="minorHAnsi"/>
          <w:sz w:val="22"/>
          <w:szCs w:val="22"/>
          <w:lang w:val="mi-NZ"/>
        </w:rPr>
      </w:pPr>
      <w:r w:rsidRPr="00124FEB">
        <w:rPr>
          <w:rFonts w:cstheme="minorHAnsi"/>
          <w:sz w:val="22"/>
          <w:szCs w:val="22"/>
          <w:lang w:val="mi-NZ"/>
        </w:rPr>
        <w:t>Greater consensus and coordination between NGO, Iwi/</w:t>
      </w:r>
      <w:r w:rsidRPr="00124FEB">
        <w:rPr>
          <w:rFonts w:cstheme="minorHAnsi"/>
          <w:sz w:val="22"/>
          <w:szCs w:val="22"/>
          <w:lang w:val="en-NZ"/>
        </w:rPr>
        <w:t xml:space="preserve"> Māori, health and government services and shared agenda-setting, power and service coordination between OT, NGOs and iwi and Māori organisations.</w:t>
      </w:r>
    </w:p>
    <w:p w14:paraId="79C78AF8" w14:textId="77777777" w:rsidR="00124FEB" w:rsidRPr="00124FEB" w:rsidRDefault="00124FEB" w:rsidP="00916EA3">
      <w:pPr>
        <w:pStyle w:val="ListParagraph"/>
        <w:numPr>
          <w:ilvl w:val="0"/>
          <w:numId w:val="20"/>
        </w:numPr>
        <w:ind w:left="720"/>
        <w:rPr>
          <w:rFonts w:cstheme="minorHAnsi"/>
          <w:sz w:val="22"/>
          <w:szCs w:val="22"/>
          <w:lang w:val="mi-NZ"/>
        </w:rPr>
      </w:pPr>
      <w:r w:rsidRPr="00124FEB">
        <w:rPr>
          <w:rFonts w:cstheme="minorHAnsi"/>
          <w:sz w:val="22"/>
          <w:szCs w:val="22"/>
          <w:lang w:val="en-NZ"/>
        </w:rPr>
        <w:t>Recognition of the impact of systemic discrimination, particularly racism and ableism.</w:t>
      </w:r>
    </w:p>
    <w:p w14:paraId="772B3AD6" w14:textId="77777777" w:rsidR="00124FEB" w:rsidRPr="00124FEB" w:rsidRDefault="00124FEB" w:rsidP="00916EA3">
      <w:pPr>
        <w:pStyle w:val="ListParagraph"/>
        <w:numPr>
          <w:ilvl w:val="0"/>
          <w:numId w:val="20"/>
        </w:numPr>
        <w:ind w:left="720"/>
        <w:rPr>
          <w:rFonts w:cstheme="minorHAnsi"/>
          <w:sz w:val="22"/>
          <w:szCs w:val="22"/>
          <w:lang w:val="mi-NZ"/>
        </w:rPr>
      </w:pPr>
      <w:r w:rsidRPr="00124FEB">
        <w:rPr>
          <w:rFonts w:cstheme="minorHAnsi"/>
          <w:sz w:val="22"/>
          <w:szCs w:val="22"/>
          <w:lang w:val="mi-NZ"/>
        </w:rPr>
        <w:lastRenderedPageBreak/>
        <w:t>Greater provision of intensive services that are accessible, long-term and holistic, recognising the interconnections between poverty and the range of issues that affect parenting capacity.</w:t>
      </w:r>
    </w:p>
    <w:p w14:paraId="507D1DCD" w14:textId="77777777" w:rsidR="00124FEB" w:rsidRPr="00124FEB" w:rsidRDefault="00124FEB" w:rsidP="00916EA3">
      <w:pPr>
        <w:pStyle w:val="ListParagraph"/>
        <w:numPr>
          <w:ilvl w:val="0"/>
          <w:numId w:val="20"/>
        </w:numPr>
        <w:ind w:left="720"/>
        <w:rPr>
          <w:rFonts w:cstheme="minorHAnsi"/>
          <w:sz w:val="22"/>
          <w:szCs w:val="22"/>
          <w:lang w:val="mi-NZ"/>
        </w:rPr>
      </w:pPr>
      <w:r w:rsidRPr="00124FEB">
        <w:rPr>
          <w:rFonts w:cstheme="minorHAnsi"/>
          <w:sz w:val="22"/>
          <w:szCs w:val="22"/>
          <w:lang w:val="mi-NZ"/>
        </w:rPr>
        <w:t>Improving pathways to service entry, such as more strutured referral pathways from universal services to more specialist intensive services, to ensure equity and ease of access.</w:t>
      </w:r>
    </w:p>
    <w:p w14:paraId="6AED1743" w14:textId="77777777" w:rsidR="00124FEB" w:rsidRPr="00124FEB" w:rsidRDefault="00124FEB" w:rsidP="00916EA3">
      <w:pPr>
        <w:pStyle w:val="ListParagraph"/>
        <w:numPr>
          <w:ilvl w:val="0"/>
          <w:numId w:val="20"/>
        </w:numPr>
        <w:ind w:left="720"/>
        <w:rPr>
          <w:rFonts w:cstheme="minorHAnsi"/>
          <w:sz w:val="22"/>
          <w:szCs w:val="22"/>
          <w:lang w:val="mi-NZ"/>
        </w:rPr>
      </w:pPr>
      <w:r w:rsidRPr="00124FEB">
        <w:rPr>
          <w:rFonts w:cstheme="minorHAnsi"/>
          <w:sz w:val="22"/>
          <w:szCs w:val="22"/>
          <w:lang w:val="mi-NZ"/>
        </w:rPr>
        <w:t>Capacity and capability development within services.</w:t>
      </w:r>
    </w:p>
    <w:p w14:paraId="24A264B8" w14:textId="77777777" w:rsidR="00124FEB" w:rsidRPr="00124FEB" w:rsidRDefault="00124FEB" w:rsidP="00916EA3">
      <w:pPr>
        <w:pStyle w:val="ListParagraph"/>
        <w:numPr>
          <w:ilvl w:val="0"/>
          <w:numId w:val="20"/>
        </w:numPr>
        <w:ind w:left="720"/>
        <w:rPr>
          <w:rFonts w:cstheme="minorHAnsi"/>
          <w:sz w:val="22"/>
          <w:szCs w:val="22"/>
          <w:lang w:val="mi-NZ"/>
        </w:rPr>
      </w:pPr>
      <w:r w:rsidRPr="00124FEB">
        <w:rPr>
          <w:rFonts w:cstheme="minorHAnsi"/>
          <w:sz w:val="22"/>
          <w:szCs w:val="22"/>
          <w:lang w:val="mi-NZ"/>
        </w:rPr>
        <w:t>When needed, more community based residential support for both parents and babies, in a wide range of locations, with some dedicated to drug rehabilitation.</w:t>
      </w:r>
    </w:p>
    <w:p w14:paraId="04FEB898" w14:textId="77777777" w:rsidR="00124FEB" w:rsidRPr="00124FEB" w:rsidRDefault="00124FEB" w:rsidP="00124FEB">
      <w:pPr>
        <w:pStyle w:val="ListParagraph"/>
        <w:rPr>
          <w:rFonts w:cstheme="minorHAnsi"/>
          <w:sz w:val="22"/>
          <w:szCs w:val="22"/>
        </w:rPr>
      </w:pPr>
    </w:p>
    <w:p w14:paraId="78E7AEA1" w14:textId="0C89D4F2" w:rsidR="00BD1907" w:rsidRPr="008D6727" w:rsidRDefault="00124FEB" w:rsidP="008D6727">
      <w:pPr>
        <w:pStyle w:val="ListParagraph"/>
        <w:numPr>
          <w:ilvl w:val="0"/>
          <w:numId w:val="9"/>
        </w:numPr>
        <w:ind w:hanging="720"/>
        <w:rPr>
          <w:rFonts w:cstheme="minorHAnsi"/>
          <w:sz w:val="22"/>
          <w:szCs w:val="22"/>
        </w:rPr>
      </w:pPr>
      <w:r w:rsidRPr="00124FEB">
        <w:rPr>
          <w:rFonts w:cstheme="minorHAnsi"/>
          <w:sz w:val="22"/>
          <w:szCs w:val="22"/>
        </w:rPr>
        <w:t>Government has said it will work collectively with Māori and community organisations and there are positive developments in this area.</w:t>
      </w:r>
      <w:r w:rsidRPr="00124FEB">
        <w:rPr>
          <w:rFonts w:cstheme="minorHAnsi"/>
          <w:sz w:val="22"/>
          <w:szCs w:val="22"/>
          <w:vertAlign w:val="superscript"/>
        </w:rPr>
        <w:footnoteReference w:id="263"/>
      </w:r>
      <w:r w:rsidRPr="00124FEB">
        <w:rPr>
          <w:rFonts w:cstheme="minorHAnsi"/>
          <w:sz w:val="22"/>
          <w:szCs w:val="22"/>
        </w:rPr>
        <w:t xml:space="preserve"> </w:t>
      </w:r>
      <w:r w:rsidRPr="00124FEB">
        <w:rPr>
          <w:rFonts w:cstheme="minorHAnsi"/>
          <w:sz w:val="22"/>
          <w:szCs w:val="22"/>
          <w:vertAlign w:val="superscript"/>
        </w:rPr>
        <w:footnoteReference w:id="264"/>
      </w:r>
      <w:r w:rsidRPr="00124FEB">
        <w:rPr>
          <w:rFonts w:cstheme="minorHAnsi"/>
          <w:sz w:val="22"/>
          <w:szCs w:val="22"/>
        </w:rPr>
        <w:t xml:space="preserve"> </w:t>
      </w:r>
      <w:r w:rsidRPr="00124FEB">
        <w:rPr>
          <w:rFonts w:cstheme="minorHAnsi"/>
          <w:sz w:val="22"/>
          <w:szCs w:val="22"/>
          <w:vertAlign w:val="superscript"/>
        </w:rPr>
        <w:footnoteReference w:id="265"/>
      </w:r>
      <w:r w:rsidRPr="00124FEB">
        <w:rPr>
          <w:rFonts w:cstheme="minorHAnsi"/>
          <w:sz w:val="22"/>
          <w:szCs w:val="22"/>
        </w:rPr>
        <w:t xml:space="preserve"> However, despite stated intentions to work with communities and non-government partners to prevent child harm and strengthen </w:t>
      </w:r>
      <w:proofErr w:type="spellStart"/>
      <w:r w:rsidRPr="00124FEB">
        <w:rPr>
          <w:rFonts w:cstheme="minorHAnsi"/>
          <w:sz w:val="22"/>
          <w:szCs w:val="22"/>
        </w:rPr>
        <w:t>whānau</w:t>
      </w:r>
      <w:proofErr w:type="spellEnd"/>
      <w:r w:rsidRPr="00124FEB">
        <w:rPr>
          <w:rFonts w:cstheme="minorHAnsi"/>
          <w:sz w:val="22"/>
          <w:szCs w:val="22"/>
        </w:rPr>
        <w:t xml:space="preserve"> and community outcomes,</w:t>
      </w:r>
      <w:r w:rsidRPr="00124FEB">
        <w:rPr>
          <w:rFonts w:cstheme="minorHAnsi"/>
          <w:sz w:val="22"/>
          <w:szCs w:val="22"/>
          <w:vertAlign w:val="superscript"/>
        </w:rPr>
        <w:footnoteReference w:id="266"/>
      </w:r>
      <w:r w:rsidRPr="00124FEB">
        <w:rPr>
          <w:rFonts w:cstheme="minorHAnsi"/>
          <w:sz w:val="22"/>
          <w:szCs w:val="22"/>
        </w:rPr>
        <w:t xml:space="preserve"> OT is currently proposing to reduce or cut a range of </w:t>
      </w:r>
      <w:r w:rsidRPr="00124FEB">
        <w:rPr>
          <w:rFonts w:cstheme="minorHAnsi"/>
          <w:sz w:val="22"/>
          <w:szCs w:val="22"/>
        </w:rPr>
        <w:lastRenderedPageBreak/>
        <w:t xml:space="preserve">services currently provided by NGOs for children and </w:t>
      </w:r>
      <w:proofErr w:type="spellStart"/>
      <w:r w:rsidRPr="00124FEB">
        <w:rPr>
          <w:rFonts w:cstheme="minorHAnsi"/>
          <w:sz w:val="22"/>
          <w:szCs w:val="22"/>
        </w:rPr>
        <w:t>whānau</w:t>
      </w:r>
      <w:proofErr w:type="spellEnd"/>
      <w:r w:rsidRPr="00124FEB">
        <w:rPr>
          <w:rFonts w:cstheme="minorHAnsi"/>
          <w:sz w:val="22"/>
          <w:szCs w:val="22"/>
        </w:rPr>
        <w:t>, including preventative services.</w:t>
      </w:r>
      <w:r w:rsidRPr="00124FEB">
        <w:rPr>
          <w:rFonts w:cstheme="minorHAnsi"/>
          <w:sz w:val="22"/>
          <w:szCs w:val="22"/>
          <w:vertAlign w:val="superscript"/>
        </w:rPr>
        <w:footnoteReference w:id="267"/>
      </w:r>
      <w:r w:rsidRPr="00124FEB">
        <w:rPr>
          <w:rFonts w:cstheme="minorHAnsi"/>
          <w:sz w:val="22"/>
          <w:szCs w:val="22"/>
        </w:rPr>
        <w:t xml:space="preserve"> </w:t>
      </w:r>
    </w:p>
    <w:p w14:paraId="1EA67E6D" w14:textId="5DF0C5F8" w:rsidR="00124FEB" w:rsidRPr="00124FEB" w:rsidRDefault="00124FEB" w:rsidP="00124FEB">
      <w:pPr>
        <w:pStyle w:val="IntenseQuote"/>
        <w:ind w:left="720"/>
        <w:jc w:val="left"/>
        <w:rPr>
          <w:b/>
          <w:bCs/>
          <w:i w:val="0"/>
          <w:iCs w:val="0"/>
          <w:sz w:val="24"/>
          <w:szCs w:val="24"/>
          <w:lang w:val="mi-NZ"/>
        </w:rPr>
      </w:pPr>
      <w:r w:rsidRPr="00124FEB">
        <w:rPr>
          <w:b/>
          <w:bCs/>
          <w:i w:val="0"/>
          <w:iCs w:val="0"/>
          <w:sz w:val="24"/>
          <w:szCs w:val="24"/>
          <w:lang w:val="mi-NZ"/>
        </w:rPr>
        <w:t>Recommendations</w:t>
      </w:r>
    </w:p>
    <w:p w14:paraId="744CEBC5" w14:textId="77777777" w:rsidR="00124FEB" w:rsidRPr="00124FEB" w:rsidRDefault="00124FEB" w:rsidP="00916EA3">
      <w:pPr>
        <w:pStyle w:val="IntenseQuote"/>
        <w:numPr>
          <w:ilvl w:val="0"/>
          <w:numId w:val="11"/>
        </w:numPr>
        <w:jc w:val="left"/>
        <w:rPr>
          <w:i w:val="0"/>
          <w:iCs w:val="0"/>
          <w:sz w:val="22"/>
          <w:szCs w:val="22"/>
          <w:lang w:val="mi-NZ"/>
        </w:rPr>
      </w:pPr>
      <w:r w:rsidRPr="00124FEB">
        <w:rPr>
          <w:i w:val="0"/>
          <w:iCs w:val="0"/>
          <w:sz w:val="22"/>
          <w:szCs w:val="22"/>
          <w:lang w:val="mi-NZ"/>
        </w:rPr>
        <w:t>Uphold children’s rights in the ongoing changes in OT, including any changes to models and contracts for service provision, to ensure their best interest are paramount.</w:t>
      </w:r>
    </w:p>
    <w:p w14:paraId="45FDCC0B" w14:textId="77777777" w:rsidR="00124FEB" w:rsidRPr="001675BD" w:rsidRDefault="00124FEB" w:rsidP="00916EA3">
      <w:pPr>
        <w:pStyle w:val="IntenseQuote"/>
        <w:numPr>
          <w:ilvl w:val="0"/>
          <w:numId w:val="11"/>
        </w:numPr>
        <w:jc w:val="left"/>
        <w:rPr>
          <w:i w:val="0"/>
          <w:iCs w:val="0"/>
          <w:sz w:val="22"/>
          <w:szCs w:val="22"/>
          <w:lang w:val="mi-NZ"/>
        </w:rPr>
      </w:pPr>
      <w:r w:rsidRPr="00124FEB">
        <w:rPr>
          <w:i w:val="0"/>
          <w:iCs w:val="0"/>
          <w:sz w:val="22"/>
          <w:szCs w:val="22"/>
          <w:lang w:val="mi-NZ"/>
        </w:rPr>
        <w:t xml:space="preserve">Using a child-rights, strength-based, and holistic approach to </w:t>
      </w:r>
      <w:r w:rsidRPr="001675BD">
        <w:rPr>
          <w:i w:val="0"/>
          <w:iCs w:val="0"/>
          <w:sz w:val="22"/>
          <w:szCs w:val="22"/>
          <w:lang w:val="mi-NZ"/>
        </w:rPr>
        <w:t>supporting whānau and families, actively:</w:t>
      </w:r>
    </w:p>
    <w:p w14:paraId="348995FE" w14:textId="77777777" w:rsidR="00124FEB" w:rsidRPr="001675BD" w:rsidRDefault="00124FEB" w:rsidP="00215FA4">
      <w:pPr>
        <w:pStyle w:val="IntenseQuote"/>
        <w:numPr>
          <w:ilvl w:val="0"/>
          <w:numId w:val="52"/>
        </w:numPr>
        <w:jc w:val="left"/>
        <w:rPr>
          <w:i w:val="0"/>
          <w:iCs w:val="0"/>
          <w:sz w:val="22"/>
          <w:szCs w:val="22"/>
          <w:lang w:val="mi-NZ"/>
        </w:rPr>
      </w:pPr>
      <w:r w:rsidRPr="001675BD">
        <w:rPr>
          <w:i w:val="0"/>
          <w:iCs w:val="0"/>
          <w:sz w:val="22"/>
          <w:szCs w:val="22"/>
          <w:lang w:val="mi-NZ"/>
        </w:rPr>
        <w:t>build relationships and coordination between NGOs, Iwi/ Māori, health and government services;</w:t>
      </w:r>
    </w:p>
    <w:p w14:paraId="1D4BFC81" w14:textId="77777777" w:rsidR="00124FEB" w:rsidRPr="001675BD" w:rsidRDefault="00124FEB" w:rsidP="00215FA4">
      <w:pPr>
        <w:pStyle w:val="IntenseQuote"/>
        <w:numPr>
          <w:ilvl w:val="0"/>
          <w:numId w:val="52"/>
        </w:numPr>
        <w:jc w:val="left"/>
        <w:rPr>
          <w:i w:val="0"/>
          <w:iCs w:val="0"/>
          <w:sz w:val="22"/>
          <w:szCs w:val="22"/>
          <w:lang w:val="mi-NZ"/>
        </w:rPr>
      </w:pPr>
      <w:r w:rsidRPr="001675BD">
        <w:rPr>
          <w:i w:val="0"/>
          <w:iCs w:val="0"/>
          <w:sz w:val="22"/>
          <w:szCs w:val="22"/>
          <w:lang w:val="mi-NZ"/>
        </w:rPr>
        <w:t>share agenda-setting, power and service coordination between OT, community organisations and iwi/Māori;</w:t>
      </w:r>
    </w:p>
    <w:p w14:paraId="0722A26E" w14:textId="77777777" w:rsidR="00124FEB" w:rsidRPr="001675BD" w:rsidRDefault="00124FEB" w:rsidP="00215FA4">
      <w:pPr>
        <w:pStyle w:val="IntenseQuote"/>
        <w:numPr>
          <w:ilvl w:val="0"/>
          <w:numId w:val="52"/>
        </w:numPr>
        <w:jc w:val="left"/>
        <w:rPr>
          <w:i w:val="0"/>
          <w:iCs w:val="0"/>
          <w:sz w:val="22"/>
          <w:szCs w:val="22"/>
          <w:lang w:val="mi-NZ"/>
        </w:rPr>
      </w:pPr>
      <w:r w:rsidRPr="001675BD">
        <w:rPr>
          <w:i w:val="0"/>
          <w:iCs w:val="0"/>
          <w:sz w:val="22"/>
          <w:szCs w:val="22"/>
          <w:lang w:val="mi-NZ"/>
        </w:rPr>
        <w:t>take steps to ensure equitable, adequate standards of living for all families and whānau, to support parenting capacity.</w:t>
      </w:r>
    </w:p>
    <w:p w14:paraId="56BE06F7" w14:textId="77777777" w:rsidR="00124FEB" w:rsidRPr="00124FEB" w:rsidRDefault="00124FEB" w:rsidP="00916EA3">
      <w:pPr>
        <w:pStyle w:val="IntenseQuote"/>
        <w:numPr>
          <w:ilvl w:val="0"/>
          <w:numId w:val="11"/>
        </w:numPr>
        <w:jc w:val="left"/>
        <w:rPr>
          <w:i w:val="0"/>
          <w:iCs w:val="0"/>
          <w:sz w:val="22"/>
          <w:szCs w:val="22"/>
          <w:lang w:val="mi-NZ"/>
        </w:rPr>
      </w:pPr>
      <w:r w:rsidRPr="001675BD">
        <w:rPr>
          <w:i w:val="0"/>
          <w:iCs w:val="0"/>
          <w:sz w:val="22"/>
          <w:szCs w:val="22"/>
          <w:lang w:val="mi-NZ"/>
        </w:rPr>
        <w:t>Support and resource a range of services in local communities for children and whānau that focus on preventative</w:t>
      </w:r>
      <w:r w:rsidRPr="00124FEB">
        <w:rPr>
          <w:i w:val="0"/>
          <w:iCs w:val="0"/>
          <w:sz w:val="22"/>
          <w:szCs w:val="22"/>
          <w:lang w:val="mi-NZ"/>
        </w:rPr>
        <w:t xml:space="preserve">, early support, in ways that work for children and whānau themselves and contribute to children being safe and cared for within their family and whānau.  </w:t>
      </w:r>
    </w:p>
    <w:p w14:paraId="531E03A0" w14:textId="550ABA28" w:rsidR="00124FEB" w:rsidRPr="00124FEB" w:rsidRDefault="00124FEB" w:rsidP="00916EA3">
      <w:pPr>
        <w:pStyle w:val="IntenseQuote"/>
        <w:numPr>
          <w:ilvl w:val="0"/>
          <w:numId w:val="11"/>
        </w:numPr>
        <w:jc w:val="left"/>
        <w:rPr>
          <w:i w:val="0"/>
          <w:iCs w:val="0"/>
          <w:sz w:val="22"/>
          <w:szCs w:val="22"/>
          <w:lang w:val="mi-NZ"/>
        </w:rPr>
      </w:pPr>
      <w:r w:rsidRPr="00124FEB">
        <w:rPr>
          <w:i w:val="0"/>
          <w:iCs w:val="0"/>
          <w:sz w:val="22"/>
          <w:szCs w:val="22"/>
          <w:lang w:val="mi-NZ"/>
        </w:rPr>
        <w:t>Monitor and evaluate the holistic effectiveness for children of family and whānau support services</w:t>
      </w:r>
      <w:r w:rsidR="00380374">
        <w:rPr>
          <w:i w:val="0"/>
          <w:iCs w:val="0"/>
          <w:sz w:val="22"/>
          <w:szCs w:val="22"/>
          <w:lang w:val="mi-NZ"/>
        </w:rPr>
        <w:t>, informed by their views</w:t>
      </w:r>
      <w:r w:rsidRPr="00124FEB">
        <w:rPr>
          <w:i w:val="0"/>
          <w:iCs w:val="0"/>
          <w:sz w:val="22"/>
          <w:szCs w:val="22"/>
          <w:lang w:val="mi-NZ"/>
        </w:rPr>
        <w:t xml:space="preserve">. </w:t>
      </w:r>
    </w:p>
    <w:p w14:paraId="2BBC2FF8" w14:textId="77777777" w:rsidR="00124FEB" w:rsidRPr="00124FEB" w:rsidRDefault="00124FEB" w:rsidP="00124FEB">
      <w:pPr>
        <w:pStyle w:val="Heading2"/>
      </w:pPr>
      <w:bookmarkStart w:id="41" w:name="_Toc111485465"/>
      <w:r w:rsidRPr="00124FEB">
        <w:t>Children Deprived of a Family Environment – LOIPR 19</w:t>
      </w:r>
      <w:bookmarkEnd w:id="41"/>
    </w:p>
    <w:p w14:paraId="548C9B55" w14:textId="5D989AAF" w:rsidR="00124FEB" w:rsidRPr="00CA095C" w:rsidRDefault="00124FEB" w:rsidP="00124FEB">
      <w:pPr>
        <w:rPr>
          <w:rFonts w:cstheme="minorHAnsi"/>
          <w:sz w:val="22"/>
          <w:szCs w:val="22"/>
        </w:rPr>
      </w:pPr>
    </w:p>
    <w:p w14:paraId="580C50EC" w14:textId="1F92E4FC" w:rsidR="00CA095C" w:rsidRPr="00CA095C" w:rsidRDefault="00124FEB" w:rsidP="00F2571F">
      <w:pPr>
        <w:ind w:left="720"/>
        <w:rPr>
          <w:rFonts w:eastAsia="Calibri" w:cstheme="minorHAnsi"/>
          <w:i/>
          <w:iCs/>
          <w:color w:val="000000" w:themeColor="text1"/>
          <w:sz w:val="22"/>
          <w:szCs w:val="22"/>
        </w:rPr>
      </w:pPr>
      <w:r w:rsidRPr="00CA095C">
        <w:rPr>
          <w:rFonts w:eastAsia="Calibri" w:cstheme="minorHAnsi"/>
          <w:i/>
          <w:iCs/>
          <w:color w:val="000000" w:themeColor="text1"/>
          <w:sz w:val="22"/>
          <w:szCs w:val="22"/>
        </w:rPr>
        <w:t>For the first eight years of my life, I spent moving between families. All the disruption had taught me was to be afraid.</w:t>
      </w:r>
      <w:r w:rsidRPr="00CA095C">
        <w:rPr>
          <w:rStyle w:val="FootnoteReference"/>
          <w:rFonts w:eastAsia="Calibri" w:cstheme="minorHAnsi"/>
          <w:color w:val="000000" w:themeColor="text1"/>
          <w:sz w:val="22"/>
          <w:szCs w:val="22"/>
        </w:rPr>
        <w:footnoteReference w:id="268"/>
      </w:r>
    </w:p>
    <w:p w14:paraId="0B837F84" w14:textId="77777777" w:rsidR="00F2571F" w:rsidRDefault="00F2571F" w:rsidP="00F2571F">
      <w:pPr>
        <w:pStyle w:val="ListParagraph"/>
        <w:rPr>
          <w:rFonts w:cstheme="minorHAnsi"/>
          <w:sz w:val="22"/>
          <w:szCs w:val="22"/>
          <w:lang w:val="mi-NZ"/>
        </w:rPr>
      </w:pPr>
    </w:p>
    <w:p w14:paraId="7AE7A5B6" w14:textId="6BC1F93D" w:rsidR="00124FEB" w:rsidRPr="00124FEB" w:rsidRDefault="00124FEB" w:rsidP="00124FEB">
      <w:pPr>
        <w:pStyle w:val="ListParagraph"/>
        <w:numPr>
          <w:ilvl w:val="0"/>
          <w:numId w:val="9"/>
        </w:numPr>
        <w:ind w:hanging="720"/>
        <w:rPr>
          <w:rFonts w:cstheme="minorHAnsi"/>
          <w:sz w:val="22"/>
          <w:szCs w:val="22"/>
          <w:lang w:val="mi-NZ"/>
        </w:rPr>
      </w:pPr>
      <w:r w:rsidRPr="00124FEB">
        <w:rPr>
          <w:rFonts w:cstheme="minorHAnsi"/>
          <w:sz w:val="22"/>
          <w:szCs w:val="22"/>
          <w:lang w:val="mi-NZ"/>
        </w:rPr>
        <w:lastRenderedPageBreak/>
        <w:t>As at 31 March 2022 there were 4,940 children in OT custody:</w:t>
      </w:r>
    </w:p>
    <w:p w14:paraId="23CD3A2B" w14:textId="23587BC2" w:rsidR="00124FEB" w:rsidRPr="00124FEB" w:rsidRDefault="00124FEB" w:rsidP="00916EA3">
      <w:pPr>
        <w:pStyle w:val="ListParagraph"/>
        <w:numPr>
          <w:ilvl w:val="0"/>
          <w:numId w:val="21"/>
        </w:numPr>
        <w:rPr>
          <w:rFonts w:cstheme="minorHAnsi"/>
          <w:sz w:val="22"/>
          <w:szCs w:val="22"/>
          <w:lang w:val="mi-NZ"/>
        </w:rPr>
      </w:pPr>
      <w:r w:rsidRPr="00124FEB">
        <w:rPr>
          <w:rFonts w:cstheme="minorHAnsi"/>
          <w:sz w:val="22"/>
          <w:szCs w:val="22"/>
          <w:lang w:val="mi-NZ"/>
        </w:rPr>
        <w:t>Of the 4,800 children in care and protection custody, 68% were tamariki Māori.</w:t>
      </w:r>
      <w:r w:rsidRPr="00124FEB">
        <w:rPr>
          <w:rFonts w:cstheme="minorHAnsi"/>
          <w:sz w:val="22"/>
          <w:szCs w:val="22"/>
          <w:vertAlign w:val="superscript"/>
          <w:lang w:val="mi-NZ"/>
        </w:rPr>
        <w:footnoteReference w:id="269"/>
      </w:r>
    </w:p>
    <w:p w14:paraId="133D51A0" w14:textId="618A551C" w:rsidR="00124FEB" w:rsidRPr="00124FEB" w:rsidRDefault="00124FEB" w:rsidP="00916EA3">
      <w:pPr>
        <w:pStyle w:val="ListParagraph"/>
        <w:numPr>
          <w:ilvl w:val="0"/>
          <w:numId w:val="21"/>
        </w:numPr>
        <w:rPr>
          <w:rFonts w:cstheme="minorHAnsi"/>
          <w:sz w:val="22"/>
          <w:szCs w:val="22"/>
          <w:lang w:val="mi-NZ"/>
        </w:rPr>
      </w:pPr>
      <w:r w:rsidRPr="00124FEB">
        <w:rPr>
          <w:rFonts w:cstheme="minorHAnsi"/>
          <w:sz w:val="22"/>
          <w:szCs w:val="22"/>
          <w:lang w:val="mi-NZ"/>
        </w:rPr>
        <w:t>Of the 140 children in youth justice custody, 86% were were tamariki Māori.</w:t>
      </w:r>
      <w:r w:rsidRPr="00124FEB">
        <w:rPr>
          <w:rFonts w:cstheme="minorHAnsi"/>
          <w:sz w:val="22"/>
          <w:szCs w:val="22"/>
          <w:vertAlign w:val="superscript"/>
          <w:lang w:val="mi-NZ"/>
        </w:rPr>
        <w:footnoteReference w:id="270"/>
      </w:r>
    </w:p>
    <w:p w14:paraId="32711DF9" w14:textId="77777777" w:rsidR="00124FEB" w:rsidRPr="00124FEB" w:rsidRDefault="00124FEB" w:rsidP="00124FEB">
      <w:pPr>
        <w:pStyle w:val="ListParagraph"/>
        <w:rPr>
          <w:rFonts w:cstheme="minorHAnsi"/>
          <w:sz w:val="22"/>
          <w:szCs w:val="22"/>
          <w:lang w:val="mi-NZ"/>
        </w:rPr>
      </w:pPr>
    </w:p>
    <w:p w14:paraId="3897B1CC" w14:textId="77777777" w:rsidR="00124FEB" w:rsidRPr="00124FEB" w:rsidRDefault="00124FEB" w:rsidP="00124FEB">
      <w:pPr>
        <w:pStyle w:val="ListParagraph"/>
        <w:numPr>
          <w:ilvl w:val="0"/>
          <w:numId w:val="9"/>
        </w:numPr>
        <w:ind w:hanging="720"/>
        <w:rPr>
          <w:rFonts w:cstheme="minorHAnsi"/>
          <w:sz w:val="22"/>
          <w:szCs w:val="22"/>
          <w:lang w:val="mi-NZ"/>
        </w:rPr>
      </w:pPr>
      <w:r w:rsidRPr="00124FEB">
        <w:rPr>
          <w:rFonts w:cstheme="minorHAnsi"/>
          <w:sz w:val="22"/>
          <w:szCs w:val="22"/>
          <w:lang w:val="mi-NZ"/>
        </w:rPr>
        <w:t>There has been investment in improving the quality of care for children in out-of-family care over recent years, including the establishment of National Care Standards, but continual improvement is needed.</w:t>
      </w:r>
      <w:r w:rsidRPr="00124FEB">
        <w:rPr>
          <w:rFonts w:cstheme="minorHAnsi"/>
          <w:sz w:val="22"/>
          <w:szCs w:val="22"/>
          <w:vertAlign w:val="superscript"/>
          <w:lang w:val="mi-NZ"/>
        </w:rPr>
        <w:footnoteReference w:id="271"/>
      </w:r>
      <w:r w:rsidRPr="00124FEB">
        <w:rPr>
          <w:rFonts w:cstheme="minorHAnsi"/>
          <w:sz w:val="22"/>
          <w:szCs w:val="22"/>
          <w:lang w:val="mi-NZ"/>
        </w:rPr>
        <w:t xml:space="preserve"> </w:t>
      </w:r>
      <w:r w:rsidRPr="00124FEB">
        <w:rPr>
          <w:rFonts w:cstheme="minorHAnsi"/>
          <w:sz w:val="22"/>
          <w:szCs w:val="22"/>
          <w:vertAlign w:val="superscript"/>
          <w:lang w:val="mi-NZ"/>
        </w:rPr>
        <w:footnoteReference w:id="272"/>
      </w:r>
    </w:p>
    <w:p w14:paraId="2E8CBEDE" w14:textId="77777777" w:rsidR="00124FEB" w:rsidRPr="00124FEB" w:rsidRDefault="00124FEB" w:rsidP="00303EE5">
      <w:pPr>
        <w:pStyle w:val="ListParagraph"/>
        <w:rPr>
          <w:rFonts w:cstheme="minorHAnsi"/>
          <w:sz w:val="22"/>
          <w:szCs w:val="22"/>
          <w:lang w:val="en-NZ"/>
        </w:rPr>
      </w:pPr>
    </w:p>
    <w:p w14:paraId="688329BB" w14:textId="77777777" w:rsidR="00124FEB" w:rsidRPr="00124FEB" w:rsidRDefault="00124FEB" w:rsidP="00124FEB">
      <w:pPr>
        <w:pStyle w:val="ListParagraph"/>
        <w:numPr>
          <w:ilvl w:val="0"/>
          <w:numId w:val="9"/>
        </w:numPr>
        <w:ind w:hanging="720"/>
        <w:rPr>
          <w:rFonts w:cstheme="minorHAnsi"/>
          <w:sz w:val="22"/>
          <w:szCs w:val="22"/>
          <w:lang w:val="en-NZ"/>
        </w:rPr>
      </w:pPr>
      <w:r w:rsidRPr="00124FEB">
        <w:rPr>
          <w:rFonts w:cstheme="minorHAnsi"/>
          <w:sz w:val="22"/>
          <w:szCs w:val="22"/>
          <w:lang w:val="en-NZ"/>
        </w:rPr>
        <w:t xml:space="preserve">The ICM has raised concerns about:  </w:t>
      </w:r>
    </w:p>
    <w:p w14:paraId="0AE4D808" w14:textId="77777777" w:rsidR="00124FEB" w:rsidRPr="00124FEB" w:rsidRDefault="00124FEB" w:rsidP="00916EA3">
      <w:pPr>
        <w:pStyle w:val="ListParagraph"/>
        <w:numPr>
          <w:ilvl w:val="0"/>
          <w:numId w:val="22"/>
        </w:numPr>
        <w:rPr>
          <w:rFonts w:cstheme="minorHAnsi"/>
          <w:sz w:val="22"/>
          <w:szCs w:val="22"/>
          <w:lang w:val="en-NZ"/>
        </w:rPr>
      </w:pPr>
      <w:r w:rsidRPr="00124FEB">
        <w:rPr>
          <w:rFonts w:cstheme="minorHAnsi"/>
          <w:sz w:val="22"/>
          <w:szCs w:val="22"/>
          <w:lang w:val="en-US"/>
        </w:rPr>
        <w:t>Self-monitoring/data collection to ensure the rights of children are met.</w:t>
      </w:r>
      <w:r w:rsidRPr="00124FEB">
        <w:rPr>
          <w:rFonts w:cstheme="minorHAnsi"/>
          <w:sz w:val="22"/>
          <w:szCs w:val="22"/>
          <w:lang w:val="en-NZ"/>
        </w:rPr>
        <w:t> </w:t>
      </w:r>
    </w:p>
    <w:p w14:paraId="0840705E" w14:textId="77777777" w:rsidR="00124FEB" w:rsidRPr="00124FEB" w:rsidRDefault="00124FEB" w:rsidP="00916EA3">
      <w:pPr>
        <w:pStyle w:val="ListParagraph"/>
        <w:numPr>
          <w:ilvl w:val="0"/>
          <w:numId w:val="22"/>
        </w:numPr>
        <w:rPr>
          <w:rFonts w:cstheme="minorHAnsi"/>
          <w:sz w:val="22"/>
          <w:szCs w:val="22"/>
          <w:lang w:val="en-NZ"/>
        </w:rPr>
      </w:pPr>
      <w:r w:rsidRPr="00124FEB">
        <w:rPr>
          <w:rFonts w:cstheme="minorHAnsi"/>
          <w:sz w:val="22"/>
          <w:szCs w:val="22"/>
          <w:lang w:val="en-US"/>
        </w:rPr>
        <w:t>Children’s knowledge of their rights and ability to complain.</w:t>
      </w:r>
      <w:r w:rsidRPr="00124FEB">
        <w:rPr>
          <w:rFonts w:cstheme="minorHAnsi"/>
          <w:sz w:val="22"/>
          <w:szCs w:val="22"/>
          <w:lang w:val="en-NZ"/>
        </w:rPr>
        <w:t> </w:t>
      </w:r>
    </w:p>
    <w:p w14:paraId="2B23883D" w14:textId="77777777" w:rsidR="00124FEB" w:rsidRPr="00124FEB" w:rsidRDefault="00124FEB" w:rsidP="00916EA3">
      <w:pPr>
        <w:pStyle w:val="ListParagraph"/>
        <w:numPr>
          <w:ilvl w:val="0"/>
          <w:numId w:val="22"/>
        </w:numPr>
        <w:rPr>
          <w:rFonts w:cstheme="minorHAnsi"/>
          <w:sz w:val="22"/>
          <w:szCs w:val="22"/>
          <w:lang w:val="en-NZ"/>
        </w:rPr>
      </w:pPr>
      <w:r w:rsidRPr="00124FEB">
        <w:rPr>
          <w:rFonts w:cstheme="minorHAnsi"/>
          <w:sz w:val="22"/>
          <w:szCs w:val="22"/>
          <w:lang w:val="en-US"/>
        </w:rPr>
        <w:t>Children not getting what is set out in their care plan.</w:t>
      </w:r>
      <w:r w:rsidRPr="00124FEB">
        <w:rPr>
          <w:rFonts w:cstheme="minorHAnsi"/>
          <w:sz w:val="22"/>
          <w:szCs w:val="22"/>
          <w:lang w:val="en-NZ"/>
        </w:rPr>
        <w:t> </w:t>
      </w:r>
    </w:p>
    <w:p w14:paraId="0D2E4795" w14:textId="77777777" w:rsidR="00124FEB" w:rsidRPr="00124FEB" w:rsidRDefault="00124FEB" w:rsidP="00916EA3">
      <w:pPr>
        <w:pStyle w:val="ListParagraph"/>
        <w:numPr>
          <w:ilvl w:val="0"/>
          <w:numId w:val="22"/>
        </w:numPr>
        <w:rPr>
          <w:rFonts w:cstheme="minorHAnsi"/>
          <w:sz w:val="22"/>
          <w:szCs w:val="22"/>
          <w:lang w:val="en-NZ"/>
        </w:rPr>
      </w:pPr>
      <w:r w:rsidRPr="00124FEB">
        <w:rPr>
          <w:rFonts w:cstheme="minorHAnsi"/>
          <w:sz w:val="22"/>
          <w:szCs w:val="22"/>
          <w:lang w:val="en-US"/>
        </w:rPr>
        <w:t>Wellbeing assessments not being completed.</w:t>
      </w:r>
      <w:r w:rsidRPr="00124FEB">
        <w:rPr>
          <w:rFonts w:cstheme="minorHAnsi"/>
          <w:sz w:val="22"/>
          <w:szCs w:val="22"/>
          <w:vertAlign w:val="superscript"/>
          <w:lang w:val="en-NZ"/>
        </w:rPr>
        <w:footnoteReference w:id="273"/>
      </w:r>
      <w:r w:rsidRPr="00124FEB">
        <w:rPr>
          <w:rFonts w:cstheme="minorHAnsi"/>
          <w:sz w:val="22"/>
          <w:szCs w:val="22"/>
          <w:lang w:val="en-NZ"/>
        </w:rPr>
        <w:t xml:space="preserve"> </w:t>
      </w:r>
      <w:r w:rsidRPr="00124FEB">
        <w:rPr>
          <w:rFonts w:cstheme="minorHAnsi"/>
          <w:sz w:val="22"/>
          <w:szCs w:val="22"/>
          <w:vertAlign w:val="superscript"/>
          <w:lang w:val="en-NZ"/>
        </w:rPr>
        <w:footnoteReference w:id="274"/>
      </w:r>
    </w:p>
    <w:p w14:paraId="7CC75CD3" w14:textId="77777777" w:rsidR="00303EE5" w:rsidRDefault="00303EE5" w:rsidP="00303EE5">
      <w:pPr>
        <w:pStyle w:val="ListParagraph"/>
        <w:rPr>
          <w:rFonts w:cstheme="minorHAnsi"/>
          <w:sz w:val="22"/>
          <w:szCs w:val="22"/>
          <w:lang w:val="mi-NZ"/>
        </w:rPr>
      </w:pPr>
    </w:p>
    <w:p w14:paraId="26E4B344" w14:textId="39CC02A4" w:rsidR="00124FEB" w:rsidRPr="00303EE5" w:rsidRDefault="00124FEB" w:rsidP="00303EE5">
      <w:pPr>
        <w:pStyle w:val="ListParagraph"/>
        <w:numPr>
          <w:ilvl w:val="0"/>
          <w:numId w:val="9"/>
        </w:numPr>
        <w:ind w:hanging="720"/>
        <w:rPr>
          <w:rFonts w:cstheme="minorHAnsi"/>
          <w:sz w:val="22"/>
          <w:szCs w:val="22"/>
          <w:lang w:val="mi-NZ"/>
        </w:rPr>
      </w:pPr>
      <w:r w:rsidRPr="00124FEB">
        <w:rPr>
          <w:rFonts w:cstheme="minorHAnsi"/>
          <w:sz w:val="22"/>
          <w:szCs w:val="22"/>
          <w:lang w:val="mi-NZ"/>
        </w:rPr>
        <w:t>Most children in care rate their experiences positively, especially around feeling loved, cared for, settled, accepted, and belonging, but are less positive about participation in decisions, relationships with their social worker, contact with whānau, knowledge of whakapapa and culture, and feeling optimistic about the future.</w:t>
      </w:r>
      <w:r w:rsidRPr="00124FEB">
        <w:rPr>
          <w:rFonts w:cstheme="minorHAnsi"/>
          <w:sz w:val="22"/>
          <w:szCs w:val="22"/>
          <w:vertAlign w:val="superscript"/>
          <w:lang w:val="mi-NZ"/>
        </w:rPr>
        <w:footnoteReference w:id="275"/>
      </w:r>
      <w:r w:rsidRPr="00124FEB">
        <w:rPr>
          <w:rFonts w:cstheme="minorHAnsi"/>
          <w:sz w:val="22"/>
          <w:szCs w:val="22"/>
          <w:lang w:val="mi-NZ"/>
        </w:rPr>
        <w:t xml:space="preserve"> </w:t>
      </w:r>
      <w:r w:rsidRPr="00124FEB">
        <w:rPr>
          <w:rFonts w:cstheme="minorHAnsi"/>
          <w:sz w:val="22"/>
          <w:szCs w:val="22"/>
          <w:vertAlign w:val="superscript"/>
          <w:lang w:val="mi-NZ"/>
        </w:rPr>
        <w:footnoteReference w:id="276"/>
      </w:r>
    </w:p>
    <w:p w14:paraId="1E4C9B7D" w14:textId="77777777" w:rsidR="00F2571F" w:rsidRDefault="00F2571F" w:rsidP="00F2571F">
      <w:pPr>
        <w:pStyle w:val="ListParagraph"/>
        <w:rPr>
          <w:rFonts w:cstheme="minorHAnsi"/>
          <w:sz w:val="22"/>
          <w:szCs w:val="22"/>
          <w:lang w:val="mi-NZ"/>
        </w:rPr>
      </w:pPr>
    </w:p>
    <w:p w14:paraId="2EBE0747" w14:textId="58786878" w:rsidR="00124FEB" w:rsidRPr="00124FEB" w:rsidRDefault="00124FEB" w:rsidP="00124FEB">
      <w:pPr>
        <w:pStyle w:val="ListParagraph"/>
        <w:numPr>
          <w:ilvl w:val="0"/>
          <w:numId w:val="9"/>
        </w:numPr>
        <w:ind w:hanging="720"/>
        <w:rPr>
          <w:rFonts w:cstheme="minorHAnsi"/>
          <w:sz w:val="22"/>
          <w:szCs w:val="22"/>
          <w:lang w:val="mi-NZ"/>
        </w:rPr>
      </w:pPr>
      <w:r w:rsidRPr="00124FEB">
        <w:rPr>
          <w:rFonts w:cstheme="minorHAnsi"/>
          <w:sz w:val="22"/>
          <w:szCs w:val="22"/>
          <w:lang w:val="mi-NZ"/>
        </w:rPr>
        <w:t>While training on children’s rights is available to OT social workers, levels of uptake are unclear, and there are gaps in training for others working in the OT system, including lawyers on children’s rights.</w:t>
      </w:r>
      <w:r w:rsidRPr="00124FEB">
        <w:rPr>
          <w:rFonts w:cstheme="minorHAnsi"/>
          <w:sz w:val="22"/>
          <w:szCs w:val="22"/>
          <w:vertAlign w:val="superscript"/>
          <w:lang w:val="mi-NZ"/>
        </w:rPr>
        <w:footnoteReference w:id="277"/>
      </w:r>
      <w:r w:rsidRPr="00124FEB">
        <w:rPr>
          <w:rFonts w:cstheme="minorHAnsi"/>
          <w:sz w:val="22"/>
          <w:szCs w:val="22"/>
          <w:lang w:val="mi-NZ"/>
        </w:rPr>
        <w:t xml:space="preserve"> </w:t>
      </w:r>
    </w:p>
    <w:p w14:paraId="00324094" w14:textId="77777777" w:rsidR="00303EE5" w:rsidRDefault="00303EE5" w:rsidP="00303EE5">
      <w:pPr>
        <w:pStyle w:val="ListParagraph"/>
        <w:rPr>
          <w:rFonts w:cstheme="minorHAnsi"/>
          <w:sz w:val="22"/>
          <w:szCs w:val="22"/>
          <w:lang w:val="mi-NZ"/>
        </w:rPr>
      </w:pPr>
    </w:p>
    <w:p w14:paraId="59C85984" w14:textId="22A54EEA" w:rsidR="00BD1907" w:rsidRPr="008D6727" w:rsidRDefault="00124FEB" w:rsidP="008D6727">
      <w:pPr>
        <w:pStyle w:val="ListParagraph"/>
        <w:numPr>
          <w:ilvl w:val="0"/>
          <w:numId w:val="9"/>
        </w:numPr>
        <w:ind w:hanging="720"/>
        <w:rPr>
          <w:rFonts w:cstheme="minorHAnsi"/>
          <w:sz w:val="22"/>
          <w:szCs w:val="22"/>
          <w:lang w:val="mi-NZ"/>
        </w:rPr>
      </w:pPr>
      <w:r w:rsidRPr="00124FEB">
        <w:rPr>
          <w:rFonts w:cstheme="minorHAnsi"/>
          <w:sz w:val="22"/>
          <w:szCs w:val="22"/>
          <w:lang w:val="mi-NZ"/>
        </w:rPr>
        <w:lastRenderedPageBreak/>
        <w:t>The RCOI recommendations will be critical to continual improvement in the care system.</w:t>
      </w:r>
      <w:r w:rsidRPr="00124FEB">
        <w:rPr>
          <w:rFonts w:cstheme="minorHAnsi"/>
          <w:sz w:val="22"/>
          <w:szCs w:val="22"/>
          <w:vertAlign w:val="superscript"/>
          <w:lang w:val="mi-NZ"/>
        </w:rPr>
        <w:footnoteReference w:id="278"/>
      </w:r>
    </w:p>
    <w:p w14:paraId="19AE57C4" w14:textId="7D62FE72" w:rsidR="00303EE5" w:rsidRPr="00303EE5" w:rsidRDefault="00303EE5" w:rsidP="00303EE5">
      <w:pPr>
        <w:pStyle w:val="IntenseQuote"/>
        <w:ind w:left="720"/>
        <w:jc w:val="left"/>
        <w:rPr>
          <w:b/>
          <w:bCs/>
          <w:i w:val="0"/>
          <w:iCs w:val="0"/>
          <w:sz w:val="24"/>
          <w:szCs w:val="24"/>
          <w:lang w:val="mi-NZ"/>
        </w:rPr>
      </w:pPr>
      <w:r w:rsidRPr="00303EE5">
        <w:rPr>
          <w:b/>
          <w:bCs/>
          <w:i w:val="0"/>
          <w:iCs w:val="0"/>
          <w:sz w:val="24"/>
          <w:szCs w:val="24"/>
          <w:lang w:val="mi-NZ"/>
        </w:rPr>
        <w:t>Recommendations</w:t>
      </w:r>
    </w:p>
    <w:p w14:paraId="5069AC7B" w14:textId="77777777" w:rsidR="00303EE5" w:rsidRPr="00303EE5" w:rsidRDefault="00303EE5" w:rsidP="00916EA3">
      <w:pPr>
        <w:pStyle w:val="IntenseQuote"/>
        <w:numPr>
          <w:ilvl w:val="0"/>
          <w:numId w:val="11"/>
        </w:numPr>
        <w:jc w:val="left"/>
        <w:rPr>
          <w:i w:val="0"/>
          <w:iCs w:val="0"/>
          <w:sz w:val="22"/>
          <w:szCs w:val="22"/>
          <w:lang w:val="mi-NZ"/>
        </w:rPr>
      </w:pPr>
      <w:r w:rsidRPr="00303EE5">
        <w:rPr>
          <w:i w:val="0"/>
          <w:iCs w:val="0"/>
          <w:sz w:val="22"/>
          <w:szCs w:val="22"/>
          <w:lang w:val="mi-NZ"/>
        </w:rPr>
        <w:t>Invest in children’s rights training and wananga for all those working in care system to develop common understanding and application of a child-centred approach, including children’s participation and best interests.</w:t>
      </w:r>
    </w:p>
    <w:p w14:paraId="010ABFF5" w14:textId="77777777" w:rsidR="00303EE5" w:rsidRPr="00303EE5" w:rsidRDefault="00303EE5" w:rsidP="00916EA3">
      <w:pPr>
        <w:pStyle w:val="IntenseQuote"/>
        <w:numPr>
          <w:ilvl w:val="0"/>
          <w:numId w:val="11"/>
        </w:numPr>
        <w:jc w:val="left"/>
        <w:rPr>
          <w:i w:val="0"/>
          <w:iCs w:val="0"/>
          <w:sz w:val="22"/>
          <w:szCs w:val="22"/>
          <w:lang w:val="mi-NZ"/>
        </w:rPr>
      </w:pPr>
      <w:r w:rsidRPr="00303EE5">
        <w:rPr>
          <w:i w:val="0"/>
          <w:iCs w:val="0"/>
          <w:sz w:val="22"/>
          <w:szCs w:val="22"/>
          <w:lang w:val="mi-NZ"/>
        </w:rPr>
        <w:t>Review new OT oversight arrangements as soon as possible (within 6 months of the RCOI final report) and design, in consultation with care experienced children, an effective OT oversight system for children.</w:t>
      </w:r>
    </w:p>
    <w:p w14:paraId="25743DC3" w14:textId="77777777" w:rsidR="003E42F3" w:rsidRPr="00E7687D" w:rsidRDefault="003E42F3" w:rsidP="003E42F3">
      <w:pPr>
        <w:pStyle w:val="Heading2"/>
        <w:rPr>
          <w:lang w:val="mi-NZ"/>
        </w:rPr>
      </w:pPr>
      <w:bookmarkStart w:id="42" w:name="_Toc111485466"/>
      <w:r w:rsidRPr="00E7687D">
        <w:rPr>
          <w:lang w:val="mi-NZ"/>
        </w:rPr>
        <w:t>Adoption – LOIPR 20</w:t>
      </w:r>
      <w:bookmarkEnd w:id="42"/>
    </w:p>
    <w:p w14:paraId="3AC8E189" w14:textId="2EB65F56" w:rsidR="00970A6D" w:rsidRPr="00303EE5" w:rsidRDefault="00970A6D" w:rsidP="00303EE5">
      <w:pPr>
        <w:rPr>
          <w:rFonts w:cstheme="minorHAnsi"/>
          <w:sz w:val="22"/>
          <w:szCs w:val="22"/>
          <w:lang w:val="mi-NZ"/>
        </w:rPr>
      </w:pPr>
    </w:p>
    <w:p w14:paraId="721A30BA" w14:textId="0408592B" w:rsidR="003E42F3" w:rsidRPr="003E42F3" w:rsidRDefault="003E42F3" w:rsidP="003E42F3">
      <w:pPr>
        <w:pStyle w:val="ListParagraph"/>
        <w:numPr>
          <w:ilvl w:val="0"/>
          <w:numId w:val="9"/>
        </w:numPr>
        <w:ind w:hanging="720"/>
        <w:rPr>
          <w:rFonts w:cstheme="minorHAnsi"/>
          <w:i/>
          <w:iCs/>
          <w:sz w:val="22"/>
          <w:szCs w:val="22"/>
          <w:lang w:val="mi-NZ"/>
        </w:rPr>
      </w:pPr>
      <w:r w:rsidRPr="003E42F3">
        <w:rPr>
          <w:rFonts w:cstheme="minorHAnsi"/>
          <w:sz w:val="22"/>
          <w:szCs w:val="22"/>
          <w:lang w:val="mi-NZ"/>
        </w:rPr>
        <w:t>Government’s commitment to ensuring adoption law aligns with Aotearoa’s values and protects children’s rights, including those set out in the CRC, is welcome.</w:t>
      </w:r>
      <w:r w:rsidRPr="003E42F3">
        <w:rPr>
          <w:rFonts w:cstheme="minorHAnsi"/>
          <w:sz w:val="22"/>
          <w:szCs w:val="22"/>
          <w:vertAlign w:val="superscript"/>
          <w:lang w:val="mi-NZ"/>
        </w:rPr>
        <w:footnoteReference w:id="279"/>
      </w:r>
      <w:r w:rsidRPr="003E42F3">
        <w:rPr>
          <w:rFonts w:cstheme="minorHAnsi"/>
          <w:sz w:val="22"/>
          <w:szCs w:val="22"/>
          <w:lang w:val="mi-NZ"/>
        </w:rPr>
        <w:t xml:space="preserve"> </w:t>
      </w:r>
    </w:p>
    <w:p w14:paraId="71CC35EB" w14:textId="77777777" w:rsidR="003E42F3" w:rsidRPr="003E42F3" w:rsidRDefault="003E42F3" w:rsidP="003E42F3">
      <w:pPr>
        <w:pStyle w:val="ListParagraph"/>
        <w:rPr>
          <w:rFonts w:cstheme="minorHAnsi"/>
          <w:sz w:val="22"/>
          <w:szCs w:val="22"/>
          <w:lang w:val="mi-NZ"/>
        </w:rPr>
      </w:pPr>
    </w:p>
    <w:p w14:paraId="4BFF68DF" w14:textId="2CFF6811" w:rsidR="003E42F3" w:rsidRPr="003E42F3" w:rsidRDefault="003E42F3" w:rsidP="003E42F3">
      <w:pPr>
        <w:pStyle w:val="ListParagraph"/>
        <w:numPr>
          <w:ilvl w:val="0"/>
          <w:numId w:val="9"/>
        </w:numPr>
        <w:ind w:hanging="720"/>
        <w:rPr>
          <w:rFonts w:cstheme="minorHAnsi"/>
          <w:sz w:val="22"/>
          <w:szCs w:val="22"/>
          <w:lang w:val="mi-NZ"/>
        </w:rPr>
      </w:pPr>
      <w:r w:rsidRPr="003E42F3">
        <w:rPr>
          <w:rFonts w:cstheme="minorHAnsi"/>
          <w:sz w:val="22"/>
          <w:szCs w:val="22"/>
          <w:lang w:val="mi-NZ"/>
        </w:rPr>
        <w:t>Currently, while most adoptions are open, adoption law creates a legal fiction that severs ties with a child’s birth family or whānau. Alongside law reform, there is a need to recognise and address the harm that has been done by the current adoption system,</w:t>
      </w:r>
      <w:r w:rsidRPr="003E42F3">
        <w:rPr>
          <w:rFonts w:cstheme="minorHAnsi"/>
          <w:sz w:val="22"/>
          <w:szCs w:val="22"/>
          <w:vertAlign w:val="superscript"/>
          <w:lang w:val="mi-NZ"/>
        </w:rPr>
        <w:footnoteReference w:id="280"/>
      </w:r>
      <w:r w:rsidRPr="003E42F3">
        <w:rPr>
          <w:rFonts w:cstheme="minorHAnsi"/>
          <w:sz w:val="22"/>
          <w:szCs w:val="22"/>
          <w:lang w:val="mi-NZ"/>
        </w:rPr>
        <w:t xml:space="preserve"> as well its legacy.</w:t>
      </w:r>
      <w:r w:rsidRPr="003E42F3">
        <w:rPr>
          <w:rFonts w:cstheme="minorHAnsi"/>
          <w:sz w:val="22"/>
          <w:szCs w:val="22"/>
          <w:vertAlign w:val="superscript"/>
          <w:lang w:val="mi-NZ"/>
        </w:rPr>
        <w:footnoteReference w:id="281"/>
      </w:r>
      <w:r w:rsidRPr="003E42F3">
        <w:rPr>
          <w:rFonts w:cstheme="minorHAnsi"/>
          <w:sz w:val="22"/>
          <w:szCs w:val="22"/>
          <w:lang w:val="mi-NZ"/>
        </w:rPr>
        <w:t xml:space="preserve"> </w:t>
      </w:r>
      <w:r w:rsidRPr="003E42F3">
        <w:rPr>
          <w:rFonts w:cstheme="minorHAnsi"/>
          <w:sz w:val="22"/>
          <w:szCs w:val="22"/>
        </w:rPr>
        <w:t xml:space="preserve">It has not upheld children’s identity rights, including the whakapapa and </w:t>
      </w:r>
      <w:proofErr w:type="spellStart"/>
      <w:r w:rsidRPr="003E42F3">
        <w:rPr>
          <w:rFonts w:cstheme="minorHAnsi"/>
          <w:sz w:val="22"/>
          <w:szCs w:val="22"/>
        </w:rPr>
        <w:t>whānaungatanga</w:t>
      </w:r>
      <w:proofErr w:type="spellEnd"/>
      <w:r w:rsidRPr="003E42F3">
        <w:rPr>
          <w:rFonts w:cstheme="minorHAnsi"/>
          <w:sz w:val="22"/>
          <w:szCs w:val="22"/>
        </w:rPr>
        <w:t xml:space="preserve"> rights of </w:t>
      </w:r>
      <w:proofErr w:type="spellStart"/>
      <w:r w:rsidRPr="003E42F3">
        <w:rPr>
          <w:rFonts w:cstheme="minorHAnsi"/>
          <w:sz w:val="22"/>
          <w:szCs w:val="22"/>
        </w:rPr>
        <w:t>tamariki</w:t>
      </w:r>
      <w:proofErr w:type="spellEnd"/>
      <w:r w:rsidRPr="003E42F3">
        <w:rPr>
          <w:rFonts w:cstheme="minorHAnsi"/>
          <w:sz w:val="22"/>
          <w:szCs w:val="22"/>
        </w:rPr>
        <w:t xml:space="preserve"> Māori. This includes their collective rights under </w:t>
      </w:r>
      <w:proofErr w:type="spellStart"/>
      <w:r w:rsidR="00C52D88">
        <w:rPr>
          <w:rFonts w:cstheme="minorHAnsi"/>
          <w:sz w:val="22"/>
          <w:szCs w:val="22"/>
        </w:rPr>
        <w:t>T</w:t>
      </w:r>
      <w:r w:rsidRPr="003E42F3">
        <w:rPr>
          <w:rFonts w:cstheme="minorHAnsi"/>
          <w:sz w:val="22"/>
          <w:szCs w:val="22"/>
        </w:rPr>
        <w:t>e</w:t>
      </w:r>
      <w:proofErr w:type="spellEnd"/>
      <w:r w:rsidRPr="003E42F3">
        <w:rPr>
          <w:rFonts w:cstheme="minorHAnsi"/>
          <w:sz w:val="22"/>
          <w:szCs w:val="22"/>
        </w:rPr>
        <w:t xml:space="preserve"> </w:t>
      </w:r>
      <w:proofErr w:type="spellStart"/>
      <w:r w:rsidRPr="003E42F3">
        <w:rPr>
          <w:rFonts w:cstheme="minorHAnsi"/>
          <w:sz w:val="22"/>
          <w:szCs w:val="22"/>
        </w:rPr>
        <w:t>Tiriti</w:t>
      </w:r>
      <w:proofErr w:type="spellEnd"/>
      <w:r w:rsidRPr="003E42F3">
        <w:rPr>
          <w:rFonts w:cstheme="minorHAnsi"/>
          <w:sz w:val="22"/>
          <w:szCs w:val="22"/>
        </w:rPr>
        <w:t xml:space="preserve"> and UNDRIP, as well as their rights under the CRC, to develop their identity and understand how they belong within their </w:t>
      </w:r>
      <w:proofErr w:type="spellStart"/>
      <w:r w:rsidRPr="003E42F3">
        <w:rPr>
          <w:rFonts w:cstheme="minorHAnsi"/>
          <w:sz w:val="22"/>
          <w:szCs w:val="22"/>
        </w:rPr>
        <w:t>whānau</w:t>
      </w:r>
      <w:proofErr w:type="spellEnd"/>
      <w:r w:rsidRPr="003E42F3">
        <w:rPr>
          <w:rFonts w:cstheme="minorHAnsi"/>
          <w:sz w:val="22"/>
          <w:szCs w:val="22"/>
        </w:rPr>
        <w:t xml:space="preserve">, </w:t>
      </w:r>
      <w:proofErr w:type="spellStart"/>
      <w:r w:rsidRPr="003E42F3">
        <w:rPr>
          <w:rFonts w:cstheme="minorHAnsi"/>
          <w:sz w:val="22"/>
          <w:szCs w:val="22"/>
        </w:rPr>
        <w:t>hapū</w:t>
      </w:r>
      <w:proofErr w:type="spellEnd"/>
      <w:r w:rsidRPr="003E42F3">
        <w:rPr>
          <w:rFonts w:cstheme="minorHAnsi"/>
          <w:sz w:val="22"/>
          <w:szCs w:val="22"/>
        </w:rPr>
        <w:t xml:space="preserve"> and iwi. </w:t>
      </w:r>
      <w:r w:rsidRPr="003E42F3">
        <w:rPr>
          <w:rFonts w:cstheme="minorHAnsi"/>
          <w:sz w:val="22"/>
          <w:szCs w:val="22"/>
          <w:lang w:val="mi-NZ"/>
        </w:rPr>
        <w:t>There are intergenerational implications for the identity rights of children descended from those adopted since 1955, under the current legislation.</w:t>
      </w:r>
    </w:p>
    <w:p w14:paraId="2640DD21" w14:textId="77777777" w:rsidR="00F2571F" w:rsidRDefault="00F2571F" w:rsidP="00F2571F">
      <w:pPr>
        <w:pStyle w:val="ListParagraph"/>
        <w:rPr>
          <w:rFonts w:cstheme="minorHAnsi"/>
          <w:sz w:val="22"/>
          <w:szCs w:val="22"/>
          <w:lang w:val="mi-NZ"/>
        </w:rPr>
      </w:pPr>
    </w:p>
    <w:p w14:paraId="2067182B" w14:textId="5BC817AB" w:rsidR="003E42F3" w:rsidRPr="003E42F3" w:rsidRDefault="003E42F3" w:rsidP="003E42F3">
      <w:pPr>
        <w:pStyle w:val="ListParagraph"/>
        <w:numPr>
          <w:ilvl w:val="0"/>
          <w:numId w:val="9"/>
        </w:numPr>
        <w:ind w:hanging="720"/>
        <w:rPr>
          <w:rFonts w:cstheme="minorHAnsi"/>
          <w:sz w:val="22"/>
          <w:szCs w:val="22"/>
          <w:lang w:val="mi-NZ"/>
        </w:rPr>
      </w:pPr>
      <w:r w:rsidRPr="003E42F3">
        <w:rPr>
          <w:rFonts w:cstheme="minorHAnsi"/>
          <w:sz w:val="22"/>
          <w:szCs w:val="22"/>
          <w:lang w:val="mi-NZ"/>
        </w:rPr>
        <w:lastRenderedPageBreak/>
        <w:t>The current adoption law review is promising,</w:t>
      </w:r>
      <w:r w:rsidRPr="003E42F3">
        <w:rPr>
          <w:rFonts w:cstheme="minorHAnsi"/>
          <w:sz w:val="22"/>
          <w:szCs w:val="22"/>
          <w:vertAlign w:val="superscript"/>
          <w:lang w:val="mi-NZ"/>
        </w:rPr>
        <w:footnoteReference w:id="282"/>
      </w:r>
      <w:r w:rsidRPr="003E42F3">
        <w:rPr>
          <w:rFonts w:cstheme="minorHAnsi"/>
          <w:sz w:val="22"/>
          <w:szCs w:val="22"/>
          <w:lang w:val="mi-NZ"/>
        </w:rPr>
        <w:t xml:space="preserve"> with the discussion document</w:t>
      </w:r>
      <w:r w:rsidRPr="003E42F3">
        <w:rPr>
          <w:rFonts w:cstheme="minorHAnsi"/>
          <w:sz w:val="22"/>
          <w:szCs w:val="22"/>
          <w:vertAlign w:val="superscript"/>
          <w:lang w:val="mi-NZ"/>
        </w:rPr>
        <w:footnoteReference w:id="283"/>
      </w:r>
      <w:r w:rsidRPr="003E42F3">
        <w:rPr>
          <w:rFonts w:cstheme="minorHAnsi"/>
          <w:sz w:val="22"/>
          <w:szCs w:val="22"/>
          <w:lang w:val="mi-NZ"/>
        </w:rPr>
        <w:t xml:space="preserve"> stating that Government proposes to place children’s rights at the centre of the new law</w:t>
      </w:r>
      <w:r w:rsidRPr="003E42F3">
        <w:rPr>
          <w:rFonts w:cstheme="minorHAnsi"/>
          <w:sz w:val="22"/>
          <w:szCs w:val="22"/>
          <w:vertAlign w:val="superscript"/>
          <w:lang w:val="mi-NZ"/>
        </w:rPr>
        <w:footnoteReference w:id="284"/>
      </w:r>
      <w:r w:rsidRPr="003E42F3">
        <w:rPr>
          <w:rFonts w:cstheme="minorHAnsi"/>
          <w:sz w:val="22"/>
          <w:szCs w:val="22"/>
          <w:lang w:val="mi-NZ"/>
        </w:rPr>
        <w:t xml:space="preserve"> and ensure it better supports and considers the needs – including cultural needs</w:t>
      </w:r>
      <w:r w:rsidRPr="003E42F3">
        <w:rPr>
          <w:rFonts w:cstheme="minorHAnsi"/>
          <w:sz w:val="22"/>
          <w:szCs w:val="22"/>
          <w:vertAlign w:val="superscript"/>
          <w:lang w:val="mi-NZ"/>
        </w:rPr>
        <w:footnoteReference w:id="285"/>
      </w:r>
      <w:r w:rsidRPr="003E42F3">
        <w:rPr>
          <w:rFonts w:cstheme="minorHAnsi"/>
          <w:sz w:val="22"/>
          <w:szCs w:val="22"/>
          <w:lang w:val="mi-NZ"/>
        </w:rPr>
        <w:t xml:space="preserve"> – of everyone involved. However, adoption law reform has been considered before and has been on the agenda for a long time.</w:t>
      </w:r>
      <w:r w:rsidRPr="003E42F3">
        <w:rPr>
          <w:rFonts w:cstheme="minorHAnsi"/>
          <w:sz w:val="22"/>
          <w:szCs w:val="22"/>
          <w:vertAlign w:val="superscript"/>
          <w:lang w:val="mi-NZ"/>
        </w:rPr>
        <w:footnoteReference w:id="286"/>
      </w:r>
      <w:r w:rsidRPr="003E42F3">
        <w:rPr>
          <w:rFonts w:cstheme="minorHAnsi"/>
          <w:sz w:val="22"/>
          <w:szCs w:val="22"/>
          <w:lang w:val="mi-NZ"/>
        </w:rPr>
        <w:t xml:space="preserve"> Changes must be made this time.  </w:t>
      </w:r>
    </w:p>
    <w:p w14:paraId="0DE9CE26" w14:textId="3AC385E6" w:rsidR="003E42F3" w:rsidRPr="003E42F3" w:rsidRDefault="003E42F3" w:rsidP="003E42F3">
      <w:pPr>
        <w:pStyle w:val="IntenseQuote"/>
        <w:ind w:left="720"/>
        <w:jc w:val="left"/>
        <w:rPr>
          <w:b/>
          <w:bCs/>
          <w:i w:val="0"/>
          <w:iCs w:val="0"/>
          <w:sz w:val="24"/>
          <w:szCs w:val="24"/>
          <w:lang w:val="mi-NZ"/>
        </w:rPr>
      </w:pPr>
      <w:r w:rsidRPr="003E42F3">
        <w:rPr>
          <w:b/>
          <w:bCs/>
          <w:i w:val="0"/>
          <w:iCs w:val="0"/>
          <w:sz w:val="24"/>
          <w:szCs w:val="24"/>
          <w:lang w:val="mi-NZ"/>
        </w:rPr>
        <w:t>Recommendations</w:t>
      </w:r>
    </w:p>
    <w:p w14:paraId="5D965175" w14:textId="111CFB4F" w:rsidR="003E42F3" w:rsidRPr="003E42F3" w:rsidRDefault="003E42F3" w:rsidP="00916EA3">
      <w:pPr>
        <w:pStyle w:val="IntenseQuote"/>
        <w:numPr>
          <w:ilvl w:val="0"/>
          <w:numId w:val="11"/>
        </w:numPr>
        <w:jc w:val="left"/>
        <w:rPr>
          <w:i w:val="0"/>
          <w:iCs w:val="0"/>
          <w:sz w:val="22"/>
          <w:szCs w:val="22"/>
          <w:lang w:val="mi-NZ"/>
        </w:rPr>
      </w:pPr>
      <w:r w:rsidRPr="003E42F3">
        <w:rPr>
          <w:i w:val="0"/>
          <w:iCs w:val="0"/>
          <w:sz w:val="22"/>
          <w:szCs w:val="22"/>
          <w:lang w:val="mi-NZ"/>
        </w:rPr>
        <w:t>Reform Aotearoa’s outdated adoption law and enact new adoption legislation that:</w:t>
      </w:r>
    </w:p>
    <w:p w14:paraId="6ABFE48C" w14:textId="31A7A8D4" w:rsidR="003E42F3" w:rsidRPr="001675BD" w:rsidRDefault="003E42F3" w:rsidP="00916EA3">
      <w:pPr>
        <w:pStyle w:val="IntenseQuote"/>
        <w:numPr>
          <w:ilvl w:val="0"/>
          <w:numId w:val="24"/>
        </w:numPr>
        <w:jc w:val="left"/>
        <w:rPr>
          <w:i w:val="0"/>
          <w:iCs w:val="0"/>
          <w:sz w:val="22"/>
          <w:szCs w:val="22"/>
          <w:lang w:val="mi-NZ"/>
        </w:rPr>
      </w:pPr>
      <w:r w:rsidRPr="001675BD">
        <w:rPr>
          <w:i w:val="0"/>
          <w:iCs w:val="0"/>
          <w:sz w:val="22"/>
          <w:szCs w:val="22"/>
          <w:lang w:val="mi-NZ"/>
        </w:rPr>
        <w:t xml:space="preserve">upholds and protects children’s rights under the CRC, </w:t>
      </w:r>
      <w:r w:rsidR="00C52D88" w:rsidRPr="001675BD">
        <w:rPr>
          <w:i w:val="0"/>
          <w:iCs w:val="0"/>
          <w:sz w:val="22"/>
          <w:szCs w:val="22"/>
          <w:lang w:val="mi-NZ"/>
        </w:rPr>
        <w:t>T</w:t>
      </w:r>
      <w:r w:rsidRPr="001675BD">
        <w:rPr>
          <w:i w:val="0"/>
          <w:iCs w:val="0"/>
          <w:sz w:val="22"/>
          <w:szCs w:val="22"/>
          <w:lang w:val="mi-NZ"/>
        </w:rPr>
        <w:t>e Tiriti o Waitangi and other relevant human rights law obligations;</w:t>
      </w:r>
    </w:p>
    <w:p w14:paraId="5EAFB00A" w14:textId="34AE47EF" w:rsidR="003E42F3" w:rsidRPr="001675BD" w:rsidRDefault="003E42F3" w:rsidP="00916EA3">
      <w:pPr>
        <w:pStyle w:val="IntenseQuote"/>
        <w:numPr>
          <w:ilvl w:val="0"/>
          <w:numId w:val="24"/>
        </w:numPr>
        <w:jc w:val="left"/>
        <w:rPr>
          <w:i w:val="0"/>
          <w:iCs w:val="0"/>
          <w:sz w:val="22"/>
          <w:szCs w:val="22"/>
          <w:lang w:val="mi-NZ"/>
        </w:rPr>
      </w:pPr>
      <w:r w:rsidRPr="001675BD">
        <w:rPr>
          <w:i w:val="0"/>
          <w:iCs w:val="0"/>
          <w:sz w:val="22"/>
          <w:szCs w:val="22"/>
          <w:lang w:val="mi-NZ"/>
        </w:rPr>
        <w:t>takes an intergenerational view of adoption and upholds the child’s rights to identity, to grow up in a family environment, and cultural</w:t>
      </w:r>
      <w:r w:rsidRPr="003E42F3">
        <w:rPr>
          <w:sz w:val="22"/>
          <w:szCs w:val="22"/>
          <w:lang w:val="mi-NZ"/>
        </w:rPr>
        <w:t xml:space="preserve"> </w:t>
      </w:r>
      <w:r w:rsidRPr="001675BD">
        <w:rPr>
          <w:i w:val="0"/>
          <w:iCs w:val="0"/>
          <w:sz w:val="22"/>
          <w:szCs w:val="22"/>
          <w:lang w:val="mi-NZ"/>
        </w:rPr>
        <w:t>rights – with special protections for the rights of tamariki Māori and their whakapapa;</w:t>
      </w:r>
    </w:p>
    <w:p w14:paraId="15016007" w14:textId="473A42E6" w:rsidR="003E42F3" w:rsidRPr="001675BD" w:rsidRDefault="003E42F3" w:rsidP="00916EA3">
      <w:pPr>
        <w:pStyle w:val="IntenseQuote"/>
        <w:numPr>
          <w:ilvl w:val="0"/>
          <w:numId w:val="24"/>
        </w:numPr>
        <w:jc w:val="left"/>
        <w:rPr>
          <w:i w:val="0"/>
          <w:iCs w:val="0"/>
          <w:sz w:val="22"/>
          <w:szCs w:val="22"/>
          <w:lang w:val="mi-NZ"/>
        </w:rPr>
      </w:pPr>
      <w:r w:rsidRPr="001675BD">
        <w:rPr>
          <w:i w:val="0"/>
          <w:iCs w:val="0"/>
          <w:sz w:val="22"/>
          <w:szCs w:val="22"/>
          <w:lang w:val="mi-NZ"/>
        </w:rPr>
        <w:t>is informed by the lived experience and views of adopted persons; and</w:t>
      </w:r>
    </w:p>
    <w:p w14:paraId="70CDB1B3" w14:textId="1A346AF1" w:rsidR="003E42F3" w:rsidRPr="001675BD" w:rsidRDefault="003E42F3" w:rsidP="00916EA3">
      <w:pPr>
        <w:pStyle w:val="IntenseQuote"/>
        <w:numPr>
          <w:ilvl w:val="0"/>
          <w:numId w:val="24"/>
        </w:numPr>
        <w:jc w:val="left"/>
        <w:rPr>
          <w:i w:val="0"/>
          <w:iCs w:val="0"/>
          <w:sz w:val="22"/>
          <w:szCs w:val="22"/>
          <w:lang w:val="mi-NZ"/>
        </w:rPr>
      </w:pPr>
      <w:r w:rsidRPr="001675BD">
        <w:rPr>
          <w:i w:val="0"/>
          <w:iCs w:val="0"/>
          <w:sz w:val="22"/>
          <w:szCs w:val="22"/>
          <w:lang w:val="mi-NZ"/>
        </w:rPr>
        <w:t xml:space="preserve">enables and supports best practice in adoption. </w:t>
      </w:r>
    </w:p>
    <w:p w14:paraId="076FA4FE" w14:textId="77777777" w:rsidR="008D6727" w:rsidRDefault="008D6727">
      <w:pPr>
        <w:rPr>
          <w:rFonts w:asciiTheme="majorHAnsi" w:eastAsiaTheme="majorEastAsia" w:hAnsiTheme="majorHAnsi" w:cstheme="majorBidi"/>
          <w:b/>
          <w:bCs/>
          <w:color w:val="25409A" w:themeColor="text2"/>
          <w:sz w:val="24"/>
          <w:szCs w:val="24"/>
        </w:rPr>
      </w:pPr>
      <w:r>
        <w:br w:type="page"/>
      </w:r>
    </w:p>
    <w:p w14:paraId="745E8E4A" w14:textId="3AD13875" w:rsidR="003E42F3" w:rsidRPr="003E42F3" w:rsidRDefault="003E42F3" w:rsidP="003E42F3">
      <w:pPr>
        <w:pStyle w:val="Heading2"/>
      </w:pPr>
      <w:bookmarkStart w:id="43" w:name="_Toc111485467"/>
      <w:r w:rsidRPr="003E42F3">
        <w:lastRenderedPageBreak/>
        <w:t>Surrogacy law reform</w:t>
      </w:r>
      <w:bookmarkEnd w:id="43"/>
    </w:p>
    <w:p w14:paraId="0CDF3B49" w14:textId="2E16E557" w:rsidR="00970A6D" w:rsidRPr="003E42F3" w:rsidRDefault="00970A6D" w:rsidP="003E42F3">
      <w:pPr>
        <w:rPr>
          <w:rFonts w:cstheme="minorHAnsi"/>
          <w:sz w:val="22"/>
          <w:szCs w:val="22"/>
          <w:lang w:val="mi-NZ"/>
        </w:rPr>
      </w:pPr>
    </w:p>
    <w:p w14:paraId="3786BE1E" w14:textId="74E791E0" w:rsidR="003E42F3" w:rsidRPr="003E42F3" w:rsidRDefault="003E42F3" w:rsidP="003E42F3">
      <w:pPr>
        <w:pStyle w:val="ListParagraph"/>
        <w:numPr>
          <w:ilvl w:val="0"/>
          <w:numId w:val="9"/>
        </w:numPr>
        <w:ind w:hanging="720"/>
        <w:rPr>
          <w:rFonts w:cstheme="minorHAnsi"/>
          <w:sz w:val="22"/>
          <w:szCs w:val="22"/>
          <w:lang w:val="mi-NZ"/>
        </w:rPr>
      </w:pPr>
      <w:r w:rsidRPr="003E42F3">
        <w:rPr>
          <w:rFonts w:cstheme="minorHAnsi"/>
          <w:sz w:val="22"/>
          <w:szCs w:val="22"/>
          <w:lang w:val="mi-NZ"/>
        </w:rPr>
        <w:t>Aotearoa’s surrogacy law is out-of-date and there is a pressing need for reform.</w:t>
      </w:r>
      <w:r w:rsidRPr="003E42F3">
        <w:rPr>
          <w:rFonts w:cstheme="minorHAnsi"/>
          <w:sz w:val="22"/>
          <w:szCs w:val="22"/>
          <w:vertAlign w:val="superscript"/>
          <w:lang w:val="mi-NZ"/>
        </w:rPr>
        <w:footnoteReference w:id="287"/>
      </w:r>
      <w:r w:rsidRPr="003E42F3">
        <w:rPr>
          <w:rFonts w:cstheme="minorHAnsi"/>
          <w:sz w:val="22"/>
          <w:szCs w:val="22"/>
          <w:lang w:val="mi-NZ"/>
        </w:rPr>
        <w:t xml:space="preserve"> The Law Commission has made 63 recommendations to establish a new legal framework to improve surrogacy law and practice.</w:t>
      </w:r>
      <w:r w:rsidRPr="003E42F3">
        <w:rPr>
          <w:rFonts w:cstheme="minorHAnsi"/>
          <w:sz w:val="22"/>
          <w:szCs w:val="22"/>
          <w:vertAlign w:val="superscript"/>
          <w:lang w:val="mi-NZ"/>
        </w:rPr>
        <w:footnoteReference w:id="288"/>
      </w:r>
      <w:r w:rsidRPr="003E42F3">
        <w:rPr>
          <w:rFonts w:cstheme="minorHAnsi"/>
          <w:sz w:val="22"/>
          <w:szCs w:val="22"/>
          <w:lang w:val="mi-NZ"/>
        </w:rPr>
        <w:t xml:space="preserve"> A Principle guiding these recommendations is that:</w:t>
      </w:r>
    </w:p>
    <w:p w14:paraId="54297D3C" w14:textId="77777777" w:rsidR="003E42F3" w:rsidRDefault="003E42F3" w:rsidP="003E42F3">
      <w:pPr>
        <w:pStyle w:val="ListParagraph"/>
        <w:rPr>
          <w:rFonts w:cstheme="minorHAnsi"/>
          <w:sz w:val="22"/>
          <w:szCs w:val="22"/>
          <w:lang w:val="en-NZ"/>
        </w:rPr>
      </w:pPr>
    </w:p>
    <w:p w14:paraId="473849FB" w14:textId="72D4435F" w:rsidR="003E42F3" w:rsidRPr="003E42F3" w:rsidRDefault="003E42F3" w:rsidP="003E42F3">
      <w:pPr>
        <w:pStyle w:val="ListParagraph"/>
        <w:rPr>
          <w:rFonts w:cstheme="minorHAnsi"/>
          <w:sz w:val="22"/>
          <w:szCs w:val="22"/>
          <w:lang w:val="en-NZ"/>
        </w:rPr>
      </w:pPr>
      <w:r w:rsidRPr="003E42F3">
        <w:rPr>
          <w:rFonts w:cstheme="minorHAnsi"/>
          <w:sz w:val="22"/>
          <w:szCs w:val="22"/>
          <w:lang w:val="en-NZ"/>
        </w:rPr>
        <w:t>The best interests of the surrogate-born child should be paramount. Children have rights under the United Nations Convention on the Rights of the Child (UNCROC) that must be protected in the surrogacy context. Under UNCROC, the best interests of the child must be a primary consideration in all actions concerning children. Given surrogacy is concerned with the creation of a child, we consider that their best interests should be paramount. This is consistent with international best practice and requires protecting and promoting children’s rights to identity, nationality, family life, health, freedom from discrimination and protection from abuse, exploitation and sale.</w:t>
      </w:r>
      <w:r w:rsidRPr="003E42F3">
        <w:rPr>
          <w:rFonts w:cstheme="minorHAnsi"/>
          <w:sz w:val="22"/>
          <w:szCs w:val="22"/>
          <w:vertAlign w:val="superscript"/>
          <w:lang w:val="en-NZ"/>
        </w:rPr>
        <w:footnoteReference w:id="289"/>
      </w:r>
      <w:r w:rsidRPr="003E42F3">
        <w:rPr>
          <w:rFonts w:cstheme="minorHAnsi"/>
          <w:sz w:val="22"/>
          <w:szCs w:val="22"/>
          <w:lang w:val="en-NZ"/>
        </w:rPr>
        <w:t xml:space="preserve"> </w:t>
      </w:r>
    </w:p>
    <w:p w14:paraId="2A8F6B3B" w14:textId="77777777" w:rsidR="003E42F3" w:rsidRDefault="003E42F3" w:rsidP="003E42F3">
      <w:pPr>
        <w:pStyle w:val="ListParagraph"/>
        <w:rPr>
          <w:rFonts w:cstheme="minorHAnsi"/>
          <w:sz w:val="22"/>
          <w:szCs w:val="22"/>
          <w:lang w:val="mi-NZ"/>
        </w:rPr>
      </w:pPr>
    </w:p>
    <w:p w14:paraId="557B0E27" w14:textId="3551136E" w:rsidR="003E42F3" w:rsidRPr="003E42F3" w:rsidRDefault="003E42F3" w:rsidP="003E42F3">
      <w:pPr>
        <w:pStyle w:val="ListParagraph"/>
        <w:numPr>
          <w:ilvl w:val="0"/>
          <w:numId w:val="9"/>
        </w:numPr>
        <w:ind w:hanging="720"/>
        <w:rPr>
          <w:rFonts w:cstheme="minorHAnsi"/>
          <w:sz w:val="22"/>
          <w:szCs w:val="22"/>
          <w:lang w:val="mi-NZ"/>
        </w:rPr>
      </w:pPr>
      <w:r w:rsidRPr="003E42F3">
        <w:rPr>
          <w:rFonts w:cstheme="minorHAnsi"/>
          <w:sz w:val="22"/>
          <w:szCs w:val="22"/>
          <w:lang w:val="mi-NZ"/>
        </w:rPr>
        <w:t xml:space="preserve">Guiding Principle 1 of the Law Commission’s review is that surrogacy law should reflect the Crown’s obligations under </w:t>
      </w:r>
      <w:r w:rsidR="00C52D88">
        <w:rPr>
          <w:rFonts w:cstheme="minorHAnsi"/>
          <w:sz w:val="22"/>
          <w:szCs w:val="22"/>
          <w:lang w:val="mi-NZ"/>
        </w:rPr>
        <w:t>T</w:t>
      </w:r>
      <w:r w:rsidRPr="003E42F3">
        <w:rPr>
          <w:rFonts w:cstheme="minorHAnsi"/>
          <w:sz w:val="22"/>
          <w:szCs w:val="22"/>
          <w:lang w:val="mi-NZ"/>
        </w:rPr>
        <w:t>e Tiriti o Waitangi to exercise kāwanatanga in a responsible manner, including facilitating the exercise of tino rangatiratanga by Māori in the context of surrogacy.</w:t>
      </w:r>
      <w:r w:rsidRPr="003E42F3">
        <w:rPr>
          <w:rFonts w:cstheme="minorHAnsi"/>
          <w:sz w:val="22"/>
          <w:szCs w:val="22"/>
          <w:vertAlign w:val="superscript"/>
          <w:lang w:val="mi-NZ"/>
        </w:rPr>
        <w:footnoteReference w:id="290"/>
      </w:r>
      <w:r w:rsidRPr="003E42F3">
        <w:rPr>
          <w:rFonts w:cstheme="minorHAnsi"/>
          <w:sz w:val="22"/>
          <w:szCs w:val="22"/>
          <w:lang w:val="mi-NZ"/>
        </w:rPr>
        <w:t xml:space="preserve"> The Law Commission notes that this requires Aotearoa to weave new law that reflects tikanga Māori and other values shared by New Zealanders, such as the importance of children’s best interests and the significance of whakapapa for tamariki Māori.</w:t>
      </w:r>
      <w:r w:rsidRPr="003E42F3">
        <w:rPr>
          <w:rFonts w:cstheme="minorHAnsi"/>
          <w:sz w:val="22"/>
          <w:szCs w:val="22"/>
          <w:vertAlign w:val="superscript"/>
          <w:lang w:val="mi-NZ"/>
        </w:rPr>
        <w:footnoteReference w:id="291"/>
      </w:r>
    </w:p>
    <w:p w14:paraId="6CDAE48D" w14:textId="77777777" w:rsidR="003E42F3" w:rsidRPr="003E42F3" w:rsidRDefault="003E42F3" w:rsidP="003E42F3">
      <w:pPr>
        <w:pStyle w:val="ListParagraph"/>
        <w:rPr>
          <w:rFonts w:cstheme="minorHAnsi"/>
          <w:sz w:val="22"/>
          <w:szCs w:val="22"/>
          <w:lang w:val="mi-NZ"/>
        </w:rPr>
      </w:pPr>
    </w:p>
    <w:p w14:paraId="247EF521" w14:textId="77777777" w:rsidR="003E42F3" w:rsidRPr="003E42F3" w:rsidRDefault="003E42F3" w:rsidP="003E42F3">
      <w:pPr>
        <w:pStyle w:val="ListParagraph"/>
        <w:numPr>
          <w:ilvl w:val="0"/>
          <w:numId w:val="9"/>
        </w:numPr>
        <w:ind w:hanging="720"/>
        <w:rPr>
          <w:rFonts w:cstheme="minorHAnsi"/>
          <w:sz w:val="22"/>
          <w:szCs w:val="22"/>
          <w:lang w:val="mi-NZ"/>
        </w:rPr>
      </w:pPr>
      <w:r w:rsidRPr="003E42F3">
        <w:rPr>
          <w:rFonts w:cstheme="minorHAnsi"/>
          <w:sz w:val="22"/>
          <w:szCs w:val="22"/>
          <w:lang w:val="mi-NZ"/>
        </w:rPr>
        <w:lastRenderedPageBreak/>
        <w:t>A Private Member’s Bill on surrogacy is currently before Parliament at Select Committee stage.</w:t>
      </w:r>
      <w:r w:rsidRPr="003E42F3">
        <w:rPr>
          <w:rFonts w:cstheme="minorHAnsi"/>
          <w:sz w:val="22"/>
          <w:szCs w:val="22"/>
          <w:vertAlign w:val="superscript"/>
          <w:lang w:val="mi-NZ"/>
        </w:rPr>
        <w:footnoteReference w:id="292"/>
      </w:r>
      <w:r w:rsidRPr="003E42F3">
        <w:rPr>
          <w:rFonts w:cstheme="minorHAnsi"/>
          <w:sz w:val="22"/>
          <w:szCs w:val="22"/>
          <w:lang w:val="mi-NZ"/>
        </w:rPr>
        <w:t xml:space="preserve"> It was drafted before the Law Commission’s recommendations were published. </w:t>
      </w:r>
    </w:p>
    <w:p w14:paraId="73C8BA43" w14:textId="3F1EF9B7" w:rsidR="003E42F3" w:rsidRPr="003E42F3" w:rsidRDefault="003E42F3" w:rsidP="003E42F3">
      <w:pPr>
        <w:pStyle w:val="IntenseQuote"/>
        <w:ind w:left="720"/>
        <w:jc w:val="left"/>
        <w:rPr>
          <w:b/>
          <w:bCs/>
          <w:i w:val="0"/>
          <w:iCs w:val="0"/>
          <w:sz w:val="24"/>
          <w:szCs w:val="24"/>
          <w:lang w:val="mi-NZ"/>
        </w:rPr>
      </w:pPr>
      <w:r w:rsidRPr="003E42F3">
        <w:rPr>
          <w:b/>
          <w:bCs/>
          <w:i w:val="0"/>
          <w:iCs w:val="0"/>
          <w:sz w:val="24"/>
          <w:szCs w:val="24"/>
          <w:lang w:val="mi-NZ"/>
        </w:rPr>
        <w:t>Recommendation</w:t>
      </w:r>
    </w:p>
    <w:p w14:paraId="769E8490" w14:textId="2ACE490C" w:rsidR="003E42F3" w:rsidRPr="003E42F3" w:rsidRDefault="003E42F3" w:rsidP="00916EA3">
      <w:pPr>
        <w:pStyle w:val="IntenseQuote"/>
        <w:numPr>
          <w:ilvl w:val="0"/>
          <w:numId w:val="11"/>
        </w:numPr>
        <w:jc w:val="left"/>
        <w:rPr>
          <w:i w:val="0"/>
          <w:iCs w:val="0"/>
          <w:sz w:val="22"/>
          <w:szCs w:val="22"/>
          <w:lang w:val="mi-NZ"/>
        </w:rPr>
      </w:pPr>
      <w:r w:rsidRPr="003E42F3">
        <w:rPr>
          <w:i w:val="0"/>
          <w:iCs w:val="0"/>
          <w:sz w:val="22"/>
          <w:szCs w:val="22"/>
          <w:lang w:val="mi-NZ"/>
        </w:rPr>
        <w:t>Implement the Law Commission’s recommendations to provide new surrogacy legislation</w:t>
      </w:r>
      <w:r w:rsidR="00992615">
        <w:rPr>
          <w:i w:val="0"/>
          <w:iCs w:val="0"/>
          <w:sz w:val="22"/>
          <w:szCs w:val="22"/>
          <w:lang w:val="mi-NZ"/>
        </w:rPr>
        <w:t>,</w:t>
      </w:r>
      <w:r w:rsidRPr="003E42F3">
        <w:rPr>
          <w:i w:val="0"/>
          <w:iCs w:val="0"/>
          <w:sz w:val="22"/>
          <w:szCs w:val="22"/>
          <w:lang w:val="mi-NZ"/>
        </w:rPr>
        <w:t xml:space="preserve"> ensuring</w:t>
      </w:r>
      <w:r w:rsidR="00992615">
        <w:rPr>
          <w:i w:val="0"/>
          <w:iCs w:val="0"/>
          <w:sz w:val="22"/>
          <w:szCs w:val="22"/>
          <w:lang w:val="mi-NZ"/>
        </w:rPr>
        <w:t>,</w:t>
      </w:r>
      <w:r w:rsidRPr="003E42F3">
        <w:rPr>
          <w:i w:val="0"/>
          <w:iCs w:val="0"/>
          <w:sz w:val="22"/>
          <w:szCs w:val="22"/>
          <w:lang w:val="mi-NZ"/>
        </w:rPr>
        <w:t xml:space="preserve"> in particular, that new surrogacy law:  </w:t>
      </w:r>
    </w:p>
    <w:p w14:paraId="3A507BA1" w14:textId="715910D3" w:rsidR="003E42F3" w:rsidRPr="002665CC" w:rsidRDefault="003E42F3" w:rsidP="00F37046">
      <w:pPr>
        <w:pStyle w:val="IntenseQuote"/>
        <w:numPr>
          <w:ilvl w:val="0"/>
          <w:numId w:val="55"/>
        </w:numPr>
        <w:jc w:val="left"/>
        <w:rPr>
          <w:i w:val="0"/>
          <w:iCs w:val="0"/>
          <w:sz w:val="22"/>
          <w:szCs w:val="22"/>
          <w:lang w:val="mi-NZ"/>
        </w:rPr>
      </w:pPr>
      <w:r w:rsidRPr="002665CC">
        <w:rPr>
          <w:i w:val="0"/>
          <w:iCs w:val="0"/>
          <w:sz w:val="22"/>
          <w:szCs w:val="22"/>
          <w:lang w:val="mi-NZ"/>
        </w:rPr>
        <w:t>Enshrines the best interests of surrogate-born children as paramount, to protect their full range of CRC rights.</w:t>
      </w:r>
    </w:p>
    <w:p w14:paraId="3CA397F2" w14:textId="330F426E" w:rsidR="003E42F3" w:rsidRPr="002665CC" w:rsidRDefault="003E42F3" w:rsidP="00F37046">
      <w:pPr>
        <w:pStyle w:val="IntenseQuote"/>
        <w:numPr>
          <w:ilvl w:val="0"/>
          <w:numId w:val="55"/>
        </w:numPr>
        <w:jc w:val="left"/>
        <w:rPr>
          <w:i w:val="0"/>
          <w:iCs w:val="0"/>
          <w:sz w:val="22"/>
          <w:szCs w:val="22"/>
          <w:lang w:val="mi-NZ"/>
        </w:rPr>
      </w:pPr>
      <w:r w:rsidRPr="002665CC">
        <w:rPr>
          <w:i w:val="0"/>
          <w:iCs w:val="0"/>
          <w:sz w:val="22"/>
          <w:szCs w:val="22"/>
          <w:lang w:val="mi-NZ"/>
        </w:rPr>
        <w:t xml:space="preserve">Is grounded in </w:t>
      </w:r>
      <w:r w:rsidR="00C52D88" w:rsidRPr="002665CC">
        <w:rPr>
          <w:i w:val="0"/>
          <w:iCs w:val="0"/>
          <w:sz w:val="22"/>
          <w:szCs w:val="22"/>
          <w:lang w:val="mi-NZ"/>
        </w:rPr>
        <w:t>T</w:t>
      </w:r>
      <w:r w:rsidRPr="002665CC">
        <w:rPr>
          <w:i w:val="0"/>
          <w:iCs w:val="0"/>
          <w:sz w:val="22"/>
          <w:szCs w:val="22"/>
          <w:lang w:val="mi-NZ"/>
        </w:rPr>
        <w:t xml:space="preserve">e Tiriti o Waitangi and tikanga Māori, upholding the rights of tamariki Māori and their whānau, including whakapapa. </w:t>
      </w:r>
    </w:p>
    <w:p w14:paraId="00930C30" w14:textId="77777777" w:rsidR="00CA7C26" w:rsidRPr="00CA7C26" w:rsidRDefault="00CA7C26" w:rsidP="00CA7C26">
      <w:pPr>
        <w:pStyle w:val="Heading1"/>
      </w:pPr>
      <w:bookmarkStart w:id="44" w:name="_Toc111485468"/>
      <w:r w:rsidRPr="00CA7C26">
        <w:t>Disabled Children – LOIPR 21</w:t>
      </w:r>
      <w:bookmarkEnd w:id="44"/>
    </w:p>
    <w:p w14:paraId="70ABED92" w14:textId="70900058" w:rsidR="00124FEB" w:rsidRDefault="00124FEB" w:rsidP="003E42F3">
      <w:pPr>
        <w:rPr>
          <w:rFonts w:cstheme="minorHAnsi"/>
          <w:sz w:val="22"/>
          <w:szCs w:val="22"/>
          <w:lang w:val="mi-NZ"/>
        </w:rPr>
      </w:pPr>
    </w:p>
    <w:p w14:paraId="5F6A108D" w14:textId="197AF1E7" w:rsidR="00CA7C26" w:rsidRDefault="00CA7C26" w:rsidP="00F2571F">
      <w:pPr>
        <w:ind w:left="720"/>
        <w:rPr>
          <w:rFonts w:cstheme="minorHAnsi"/>
          <w:i/>
          <w:iCs/>
          <w:sz w:val="22"/>
          <w:szCs w:val="22"/>
        </w:rPr>
      </w:pPr>
      <w:r w:rsidRPr="00CA7C26">
        <w:rPr>
          <w:rFonts w:cstheme="minorHAnsi"/>
          <w:i/>
          <w:iCs/>
          <w:sz w:val="22"/>
          <w:szCs w:val="22"/>
        </w:rPr>
        <w:t>When children’s rights are considered, children with disabilities tend to be forgotten. When the rights of people with disabilities are considered, children with disabilities tend to be forgotten.</w:t>
      </w:r>
      <w:r w:rsidRPr="00CA7C26">
        <w:rPr>
          <w:rStyle w:val="FootnoteReference"/>
          <w:rFonts w:cstheme="minorHAnsi"/>
          <w:i/>
          <w:iCs/>
          <w:sz w:val="22"/>
          <w:szCs w:val="22"/>
        </w:rPr>
        <w:footnoteReference w:id="293"/>
      </w:r>
      <w:r w:rsidRPr="00CA7C26">
        <w:rPr>
          <w:rFonts w:cstheme="minorHAnsi"/>
          <w:i/>
          <w:iCs/>
          <w:sz w:val="22"/>
          <w:szCs w:val="22"/>
        </w:rPr>
        <w:t xml:space="preserve"> </w:t>
      </w:r>
    </w:p>
    <w:p w14:paraId="1C9EDCD3" w14:textId="77777777" w:rsidR="00CA7C26" w:rsidRPr="00CA7C26" w:rsidRDefault="00CA7C26" w:rsidP="00CA7C26">
      <w:pPr>
        <w:ind w:left="567"/>
        <w:rPr>
          <w:rFonts w:cstheme="minorHAnsi"/>
          <w:i/>
          <w:iCs/>
          <w:sz w:val="22"/>
          <w:szCs w:val="22"/>
        </w:rPr>
      </w:pPr>
    </w:p>
    <w:p w14:paraId="15CA4D21" w14:textId="7879404A" w:rsidR="00CA7C26" w:rsidRPr="00CA7C26" w:rsidRDefault="00CA7C26" w:rsidP="00CA7C26">
      <w:pPr>
        <w:pStyle w:val="ListParagraph"/>
        <w:numPr>
          <w:ilvl w:val="0"/>
          <w:numId w:val="9"/>
        </w:numPr>
        <w:ind w:hanging="720"/>
        <w:rPr>
          <w:rFonts w:cstheme="minorHAnsi"/>
          <w:sz w:val="22"/>
          <w:szCs w:val="22"/>
          <w:lang w:val="mi-NZ"/>
        </w:rPr>
      </w:pPr>
      <w:r w:rsidRPr="00CA7C26">
        <w:rPr>
          <w:rFonts w:cstheme="minorHAnsi"/>
          <w:sz w:val="22"/>
          <w:szCs w:val="22"/>
          <w:lang w:val="en-NZ"/>
        </w:rPr>
        <w:t>Despite some progress, this statement holds true for disabled children in Aotearoa - c</w:t>
      </w:r>
      <w:r w:rsidRPr="00CA7C26">
        <w:rPr>
          <w:rFonts w:cstheme="minorHAnsi"/>
          <w:sz w:val="22"/>
          <w:szCs w:val="22"/>
          <w:lang w:val="mi-NZ"/>
        </w:rPr>
        <w:t>ontinued, sustained effort is required to ensure disabled children enjoy their rights and freedoms on an equal basis with other children.</w:t>
      </w:r>
      <w:r w:rsidRPr="00CA7C26">
        <w:rPr>
          <w:rFonts w:cstheme="minorHAnsi"/>
          <w:sz w:val="22"/>
          <w:szCs w:val="22"/>
          <w:vertAlign w:val="superscript"/>
          <w:lang w:val="mi-NZ"/>
        </w:rPr>
        <w:footnoteReference w:id="294"/>
      </w:r>
      <w:r w:rsidRPr="00CA7C26">
        <w:rPr>
          <w:rFonts w:cstheme="minorHAnsi"/>
          <w:sz w:val="22"/>
          <w:szCs w:val="22"/>
          <w:lang w:val="mi-NZ"/>
        </w:rPr>
        <w:t xml:space="preserve"> </w:t>
      </w:r>
    </w:p>
    <w:p w14:paraId="0CFD9E78" w14:textId="77777777" w:rsidR="00CA7C26" w:rsidRPr="00CA7C26" w:rsidRDefault="00CA7C26" w:rsidP="009C0184">
      <w:pPr>
        <w:pStyle w:val="ListParagraph"/>
        <w:rPr>
          <w:rFonts w:cstheme="minorHAnsi"/>
          <w:sz w:val="22"/>
          <w:szCs w:val="22"/>
          <w:lang w:val="mi-NZ"/>
        </w:rPr>
      </w:pPr>
    </w:p>
    <w:p w14:paraId="78B50CE6" w14:textId="77777777" w:rsidR="00CA7C26" w:rsidRPr="00CA7C26" w:rsidRDefault="00CA7C26" w:rsidP="00CA7C26">
      <w:pPr>
        <w:pStyle w:val="ListParagraph"/>
        <w:numPr>
          <w:ilvl w:val="0"/>
          <w:numId w:val="9"/>
        </w:numPr>
        <w:ind w:hanging="720"/>
        <w:rPr>
          <w:rFonts w:cstheme="minorHAnsi"/>
          <w:sz w:val="22"/>
          <w:szCs w:val="22"/>
          <w:lang w:val="mi-NZ"/>
        </w:rPr>
      </w:pPr>
      <w:r w:rsidRPr="00CA7C26">
        <w:rPr>
          <w:rFonts w:cstheme="minorHAnsi"/>
          <w:sz w:val="22"/>
          <w:szCs w:val="22"/>
          <w:lang w:val="mi-NZ"/>
        </w:rPr>
        <w:t>In 2018-2019, OCC spoke with disabled children about what makes a good life for them, and what gets in the way. The children talked about:</w:t>
      </w:r>
    </w:p>
    <w:p w14:paraId="54BCD34E" w14:textId="77777777" w:rsidR="00CA7C26" w:rsidRPr="00CA7C26" w:rsidRDefault="00CA7C26" w:rsidP="009C0184">
      <w:pPr>
        <w:pStyle w:val="ListParagraph"/>
        <w:rPr>
          <w:rFonts w:cstheme="minorHAnsi"/>
          <w:sz w:val="22"/>
          <w:szCs w:val="22"/>
          <w:lang w:val="mi-NZ"/>
        </w:rPr>
      </w:pPr>
    </w:p>
    <w:p w14:paraId="6B034BFF" w14:textId="77777777" w:rsidR="00CA7C26" w:rsidRPr="00CA7C26" w:rsidRDefault="00CA7C26" w:rsidP="00916EA3">
      <w:pPr>
        <w:pStyle w:val="ListParagraph"/>
        <w:numPr>
          <w:ilvl w:val="0"/>
          <w:numId w:val="28"/>
        </w:numPr>
        <w:rPr>
          <w:rFonts w:cstheme="minorHAnsi"/>
          <w:sz w:val="22"/>
          <w:szCs w:val="22"/>
          <w:lang w:val="mi-NZ"/>
        </w:rPr>
      </w:pPr>
      <w:r w:rsidRPr="00CA7C26">
        <w:rPr>
          <w:rFonts w:cstheme="minorHAnsi"/>
          <w:sz w:val="22"/>
          <w:szCs w:val="22"/>
          <w:lang w:val="mi-NZ"/>
        </w:rPr>
        <w:t>Acceptance: discrimination is widely experienced by disabled children.</w:t>
      </w:r>
    </w:p>
    <w:p w14:paraId="78876EB8" w14:textId="77777777" w:rsidR="00CA7C26" w:rsidRPr="00CA7C26" w:rsidRDefault="00CA7C26" w:rsidP="00916EA3">
      <w:pPr>
        <w:pStyle w:val="ListParagraph"/>
        <w:numPr>
          <w:ilvl w:val="0"/>
          <w:numId w:val="28"/>
        </w:numPr>
        <w:rPr>
          <w:rFonts w:cstheme="minorHAnsi"/>
          <w:sz w:val="22"/>
          <w:szCs w:val="22"/>
          <w:lang w:val="mi-NZ"/>
        </w:rPr>
      </w:pPr>
      <w:r w:rsidRPr="00CA7C26">
        <w:rPr>
          <w:rFonts w:cstheme="minorHAnsi"/>
          <w:sz w:val="22"/>
          <w:szCs w:val="22"/>
          <w:lang w:val="mi-NZ"/>
        </w:rPr>
        <w:t>Accessibility: a lack of accessibility gets in the way of a good life.</w:t>
      </w:r>
    </w:p>
    <w:p w14:paraId="7EAF770F" w14:textId="77777777" w:rsidR="00CA7C26" w:rsidRPr="00CA7C26" w:rsidRDefault="00CA7C26" w:rsidP="00916EA3">
      <w:pPr>
        <w:pStyle w:val="ListParagraph"/>
        <w:numPr>
          <w:ilvl w:val="0"/>
          <w:numId w:val="28"/>
        </w:numPr>
        <w:rPr>
          <w:rFonts w:cstheme="minorHAnsi"/>
          <w:sz w:val="22"/>
          <w:szCs w:val="22"/>
          <w:lang w:val="mi-NZ"/>
        </w:rPr>
      </w:pPr>
      <w:r w:rsidRPr="00CA7C26">
        <w:rPr>
          <w:rFonts w:cstheme="minorHAnsi"/>
          <w:sz w:val="22"/>
          <w:szCs w:val="22"/>
          <w:lang w:val="mi-NZ"/>
        </w:rPr>
        <w:t>Safety: unique for us all.</w:t>
      </w:r>
    </w:p>
    <w:p w14:paraId="2C778225" w14:textId="77777777" w:rsidR="00CA7C26" w:rsidRPr="00CA7C26" w:rsidRDefault="00CA7C26" w:rsidP="00916EA3">
      <w:pPr>
        <w:pStyle w:val="ListParagraph"/>
        <w:numPr>
          <w:ilvl w:val="0"/>
          <w:numId w:val="28"/>
        </w:numPr>
        <w:rPr>
          <w:rFonts w:cstheme="minorHAnsi"/>
          <w:sz w:val="22"/>
          <w:szCs w:val="22"/>
          <w:lang w:val="mi-NZ"/>
        </w:rPr>
      </w:pPr>
      <w:r w:rsidRPr="00CA7C26">
        <w:rPr>
          <w:rFonts w:cstheme="minorHAnsi"/>
          <w:sz w:val="22"/>
          <w:szCs w:val="22"/>
          <w:lang w:val="mi-NZ"/>
        </w:rPr>
        <w:lastRenderedPageBreak/>
        <w:t>Education: to work better for us, be flexible and supportive.</w:t>
      </w:r>
    </w:p>
    <w:p w14:paraId="7FC89D7B" w14:textId="77777777" w:rsidR="00CA7C26" w:rsidRPr="00CA7C26" w:rsidRDefault="00CA7C26" w:rsidP="00916EA3">
      <w:pPr>
        <w:pStyle w:val="ListParagraph"/>
        <w:numPr>
          <w:ilvl w:val="0"/>
          <w:numId w:val="28"/>
        </w:numPr>
        <w:rPr>
          <w:rFonts w:cstheme="minorHAnsi"/>
          <w:sz w:val="22"/>
          <w:szCs w:val="22"/>
          <w:lang w:val="mi-NZ"/>
        </w:rPr>
      </w:pPr>
      <w:r w:rsidRPr="00CA7C26">
        <w:rPr>
          <w:rFonts w:cstheme="minorHAnsi"/>
          <w:sz w:val="22"/>
          <w:szCs w:val="22"/>
          <w:lang w:val="mi-NZ"/>
        </w:rPr>
        <w:t>Employment: job opportunities and being supported is important to us.</w:t>
      </w:r>
    </w:p>
    <w:p w14:paraId="300FD72E" w14:textId="74B4D876" w:rsidR="00CA7C26" w:rsidRPr="009C0184" w:rsidRDefault="00CA7C26" w:rsidP="00916EA3">
      <w:pPr>
        <w:pStyle w:val="ListParagraph"/>
        <w:numPr>
          <w:ilvl w:val="0"/>
          <w:numId w:val="28"/>
        </w:numPr>
        <w:rPr>
          <w:rFonts w:cstheme="minorHAnsi"/>
          <w:sz w:val="22"/>
          <w:szCs w:val="22"/>
          <w:lang w:val="mi-NZ"/>
        </w:rPr>
      </w:pPr>
      <w:r w:rsidRPr="00CA7C26">
        <w:rPr>
          <w:rFonts w:cstheme="minorHAnsi"/>
          <w:sz w:val="22"/>
          <w:szCs w:val="22"/>
          <w:lang w:val="mi-NZ"/>
        </w:rPr>
        <w:t>Whānau: we want support from, and for, friends, families, whānau and communities.</w:t>
      </w:r>
      <w:r w:rsidRPr="00CA7C26">
        <w:rPr>
          <w:rFonts w:cstheme="minorHAnsi"/>
          <w:sz w:val="22"/>
          <w:szCs w:val="22"/>
          <w:vertAlign w:val="superscript"/>
          <w:lang w:val="mi-NZ"/>
        </w:rPr>
        <w:footnoteReference w:id="295"/>
      </w:r>
    </w:p>
    <w:p w14:paraId="1E537E26" w14:textId="77777777" w:rsidR="00F2571F" w:rsidRDefault="00F2571F" w:rsidP="00F2571F">
      <w:pPr>
        <w:pStyle w:val="ListParagraph"/>
        <w:rPr>
          <w:rFonts w:cstheme="minorHAnsi"/>
          <w:sz w:val="22"/>
          <w:szCs w:val="22"/>
          <w:lang w:val="mi-NZ"/>
        </w:rPr>
      </w:pPr>
    </w:p>
    <w:p w14:paraId="6ABED2E1" w14:textId="69F2AFE9" w:rsidR="00CA7C26" w:rsidRPr="00CA7C26" w:rsidRDefault="00CA7C26" w:rsidP="00CA7C26">
      <w:pPr>
        <w:pStyle w:val="ListParagraph"/>
        <w:numPr>
          <w:ilvl w:val="0"/>
          <w:numId w:val="9"/>
        </w:numPr>
        <w:ind w:hanging="720"/>
        <w:rPr>
          <w:rFonts w:cstheme="minorHAnsi"/>
          <w:sz w:val="22"/>
          <w:szCs w:val="22"/>
          <w:lang w:val="mi-NZ"/>
        </w:rPr>
      </w:pPr>
      <w:r w:rsidRPr="00CA7C26">
        <w:rPr>
          <w:rFonts w:cstheme="minorHAnsi"/>
          <w:sz w:val="22"/>
          <w:szCs w:val="22"/>
          <w:lang w:val="mi-NZ"/>
        </w:rPr>
        <w:t>Disabled students report positive family and school environments, but also major inequities compared to non-disabled students, and concerns about safety, supports, housing, income and participation.</w:t>
      </w:r>
      <w:r w:rsidRPr="00CA7C26">
        <w:rPr>
          <w:rFonts w:cstheme="minorHAnsi"/>
          <w:sz w:val="22"/>
          <w:szCs w:val="22"/>
          <w:vertAlign w:val="superscript"/>
          <w:lang w:val="mi-NZ"/>
        </w:rPr>
        <w:footnoteReference w:id="296"/>
      </w:r>
    </w:p>
    <w:p w14:paraId="35ACF368" w14:textId="77777777" w:rsidR="00CA7C26" w:rsidRPr="00CA7C26" w:rsidRDefault="00CA7C26" w:rsidP="009C0184">
      <w:pPr>
        <w:pStyle w:val="ListParagraph"/>
        <w:rPr>
          <w:rFonts w:cstheme="minorHAnsi"/>
          <w:sz w:val="22"/>
          <w:szCs w:val="22"/>
          <w:lang w:val="mi-NZ"/>
        </w:rPr>
      </w:pPr>
    </w:p>
    <w:p w14:paraId="4702A550" w14:textId="77777777" w:rsidR="00CA7C26" w:rsidRPr="00CA7C26" w:rsidRDefault="00CA7C26" w:rsidP="00CA7C26">
      <w:pPr>
        <w:pStyle w:val="ListParagraph"/>
        <w:numPr>
          <w:ilvl w:val="0"/>
          <w:numId w:val="9"/>
        </w:numPr>
        <w:ind w:hanging="720"/>
        <w:rPr>
          <w:rFonts w:cstheme="minorHAnsi"/>
          <w:sz w:val="22"/>
          <w:szCs w:val="22"/>
          <w:lang w:val="mi-NZ"/>
        </w:rPr>
      </w:pPr>
      <w:r w:rsidRPr="00CA7C26">
        <w:rPr>
          <w:rFonts w:cstheme="minorHAnsi"/>
          <w:sz w:val="22"/>
          <w:szCs w:val="22"/>
          <w:lang w:val="mi-NZ"/>
        </w:rPr>
        <w:t>Data on disabled children (e.g., rates of disability-related exclusions from school, or  the number of disabled children in emergency housing) is limited. Disabled children are more likely to experience violence and be unsafe,</w:t>
      </w:r>
      <w:r w:rsidRPr="00CA7C26">
        <w:rPr>
          <w:rFonts w:cstheme="minorHAnsi"/>
          <w:sz w:val="22"/>
          <w:szCs w:val="22"/>
          <w:vertAlign w:val="superscript"/>
          <w:lang w:val="mi-NZ"/>
        </w:rPr>
        <w:footnoteReference w:id="297"/>
      </w:r>
      <w:r w:rsidRPr="00CA7C26">
        <w:rPr>
          <w:rFonts w:cstheme="minorHAnsi"/>
          <w:sz w:val="22"/>
          <w:szCs w:val="22"/>
          <w:lang w:val="mi-NZ"/>
        </w:rPr>
        <w:t xml:space="preserve"> live in material hardship,</w:t>
      </w:r>
      <w:r w:rsidRPr="00CA7C26">
        <w:rPr>
          <w:rFonts w:cstheme="minorHAnsi"/>
          <w:sz w:val="22"/>
          <w:szCs w:val="22"/>
          <w:vertAlign w:val="superscript"/>
          <w:lang w:val="mi-NZ"/>
        </w:rPr>
        <w:footnoteReference w:id="298"/>
      </w:r>
      <w:r w:rsidRPr="00CA7C26">
        <w:rPr>
          <w:rFonts w:cstheme="minorHAnsi"/>
          <w:sz w:val="22"/>
          <w:szCs w:val="22"/>
          <w:lang w:val="mi-NZ"/>
        </w:rPr>
        <w:t xml:space="preserve"> not be included in education,</w:t>
      </w:r>
      <w:r w:rsidRPr="00CA7C26">
        <w:rPr>
          <w:rFonts w:cstheme="minorHAnsi"/>
          <w:sz w:val="22"/>
          <w:szCs w:val="22"/>
          <w:vertAlign w:val="superscript"/>
          <w:lang w:val="mi-NZ"/>
        </w:rPr>
        <w:footnoteReference w:id="299"/>
      </w:r>
      <w:r w:rsidRPr="00CA7C26">
        <w:rPr>
          <w:rFonts w:cstheme="minorHAnsi"/>
          <w:sz w:val="22"/>
          <w:szCs w:val="22"/>
          <w:lang w:val="mi-NZ"/>
        </w:rPr>
        <w:t xml:space="preserve"> and be raised by a sole parent.</w:t>
      </w:r>
      <w:r w:rsidRPr="00CA7C26">
        <w:rPr>
          <w:rFonts w:cstheme="minorHAnsi"/>
          <w:sz w:val="22"/>
          <w:szCs w:val="22"/>
          <w:vertAlign w:val="superscript"/>
          <w:lang w:val="mi-NZ"/>
        </w:rPr>
        <w:footnoteReference w:id="300"/>
      </w:r>
      <w:r w:rsidRPr="00CA7C26">
        <w:rPr>
          <w:rFonts w:cstheme="minorHAnsi"/>
          <w:sz w:val="22"/>
          <w:szCs w:val="22"/>
          <w:lang w:val="mi-NZ"/>
        </w:rPr>
        <w:t xml:space="preserve">  Climate change is likely to exacerbate these inequities.</w:t>
      </w:r>
      <w:r w:rsidRPr="00CA7C26">
        <w:rPr>
          <w:rFonts w:cstheme="minorHAnsi"/>
          <w:sz w:val="22"/>
          <w:szCs w:val="22"/>
          <w:vertAlign w:val="superscript"/>
          <w:lang w:val="mi-NZ"/>
        </w:rPr>
        <w:footnoteReference w:id="301"/>
      </w:r>
      <w:r w:rsidRPr="00CA7C26">
        <w:rPr>
          <w:rFonts w:cstheme="minorHAnsi"/>
          <w:sz w:val="22"/>
          <w:szCs w:val="22"/>
          <w:lang w:val="mi-NZ"/>
        </w:rPr>
        <w:t xml:space="preserve"> </w:t>
      </w:r>
    </w:p>
    <w:p w14:paraId="4B8CC14F" w14:textId="77777777" w:rsidR="00CA7C26" w:rsidRPr="00CA7C26" w:rsidRDefault="00CA7C26" w:rsidP="009C0184">
      <w:pPr>
        <w:pStyle w:val="ListParagraph"/>
        <w:rPr>
          <w:rFonts w:cstheme="minorHAnsi"/>
          <w:sz w:val="22"/>
          <w:szCs w:val="22"/>
          <w:lang w:val="mi-NZ"/>
        </w:rPr>
      </w:pPr>
    </w:p>
    <w:p w14:paraId="71E0C5F8" w14:textId="77777777" w:rsidR="00CA7C26" w:rsidRPr="00CA7C26" w:rsidRDefault="00CA7C26" w:rsidP="00CA7C26">
      <w:pPr>
        <w:pStyle w:val="ListParagraph"/>
        <w:numPr>
          <w:ilvl w:val="0"/>
          <w:numId w:val="9"/>
        </w:numPr>
        <w:ind w:hanging="720"/>
        <w:rPr>
          <w:rFonts w:cstheme="minorHAnsi"/>
          <w:sz w:val="22"/>
          <w:szCs w:val="22"/>
          <w:lang w:val="mi-NZ"/>
        </w:rPr>
      </w:pPr>
      <w:r w:rsidRPr="00CA7C26">
        <w:rPr>
          <w:rFonts w:cstheme="minorHAnsi"/>
          <w:sz w:val="22"/>
          <w:szCs w:val="22"/>
          <w:lang w:val="mi-NZ"/>
        </w:rPr>
        <w:t>Action is needed to uphold all rights of all disabled children, including:</w:t>
      </w:r>
    </w:p>
    <w:p w14:paraId="5717A5DE" w14:textId="2CE11006" w:rsidR="00CA7C26" w:rsidRPr="009C0184" w:rsidRDefault="00CA7C26" w:rsidP="00916EA3">
      <w:pPr>
        <w:pStyle w:val="ListParagraph"/>
        <w:numPr>
          <w:ilvl w:val="0"/>
          <w:numId w:val="29"/>
        </w:numPr>
        <w:rPr>
          <w:rFonts w:cstheme="minorHAnsi"/>
          <w:sz w:val="22"/>
          <w:szCs w:val="22"/>
          <w:lang w:val="mi-NZ"/>
        </w:rPr>
      </w:pPr>
      <w:r w:rsidRPr="009C0184">
        <w:rPr>
          <w:rFonts w:cstheme="minorHAnsi"/>
          <w:sz w:val="22"/>
          <w:szCs w:val="22"/>
          <w:lang w:val="mi-NZ"/>
        </w:rPr>
        <w:t xml:space="preserve">Support for disabled children’s participation, to ensure they can </w:t>
      </w:r>
      <w:r w:rsidRPr="009C0184">
        <w:rPr>
          <w:rFonts w:cstheme="minorHAnsi"/>
          <w:sz w:val="22"/>
          <w:szCs w:val="22"/>
          <w:lang w:val="en-NZ"/>
        </w:rPr>
        <w:t>communicate their views and preferences and have these taken into account.</w:t>
      </w:r>
      <w:r w:rsidRPr="00CA7C26">
        <w:rPr>
          <w:vertAlign w:val="superscript"/>
          <w:lang w:val="en-NZ"/>
        </w:rPr>
        <w:footnoteReference w:id="302"/>
      </w:r>
    </w:p>
    <w:p w14:paraId="41430958" w14:textId="77777777" w:rsidR="00CA7C26" w:rsidRPr="00CA7C26" w:rsidRDefault="00CA7C26" w:rsidP="00916EA3">
      <w:pPr>
        <w:pStyle w:val="ListParagraph"/>
        <w:numPr>
          <w:ilvl w:val="0"/>
          <w:numId w:val="29"/>
        </w:numPr>
        <w:rPr>
          <w:rFonts w:cstheme="minorHAnsi"/>
          <w:sz w:val="22"/>
          <w:szCs w:val="22"/>
          <w:lang w:val="mi-NZ"/>
        </w:rPr>
      </w:pPr>
      <w:r w:rsidRPr="00CA7C26">
        <w:rPr>
          <w:rFonts w:cstheme="minorHAnsi"/>
          <w:sz w:val="22"/>
          <w:szCs w:val="22"/>
          <w:lang w:val="mi-NZ"/>
        </w:rPr>
        <w:t>Provision of timely, flexible, quality disability supports.</w:t>
      </w:r>
    </w:p>
    <w:p w14:paraId="43CA4AB0" w14:textId="7E4402FD" w:rsidR="00CA7C26" w:rsidRDefault="00CA7C26" w:rsidP="00916EA3">
      <w:pPr>
        <w:pStyle w:val="ListParagraph"/>
        <w:numPr>
          <w:ilvl w:val="0"/>
          <w:numId w:val="29"/>
        </w:numPr>
        <w:rPr>
          <w:rFonts w:cstheme="minorHAnsi"/>
          <w:sz w:val="22"/>
          <w:szCs w:val="22"/>
          <w:lang w:val="mi-NZ"/>
        </w:rPr>
      </w:pPr>
      <w:r w:rsidRPr="00CA7C26">
        <w:rPr>
          <w:rFonts w:cstheme="minorHAnsi"/>
          <w:sz w:val="22"/>
          <w:szCs w:val="22"/>
          <w:lang w:val="mi-NZ"/>
        </w:rPr>
        <w:t>Ensuring an adequate standard of living to reduce family stress and to enable families to care for their disabled child.</w:t>
      </w:r>
      <w:r w:rsidRPr="00CA7C26">
        <w:rPr>
          <w:rFonts w:cstheme="minorHAnsi"/>
          <w:sz w:val="22"/>
          <w:szCs w:val="22"/>
          <w:vertAlign w:val="superscript"/>
          <w:lang w:val="mi-NZ"/>
        </w:rPr>
        <w:footnoteReference w:id="303"/>
      </w:r>
    </w:p>
    <w:p w14:paraId="64E581D5" w14:textId="77777777" w:rsidR="00E56A3C" w:rsidRDefault="00E56A3C" w:rsidP="00E56A3C">
      <w:pPr>
        <w:pStyle w:val="Heading2"/>
        <w:rPr>
          <w:lang w:val="mi-NZ"/>
        </w:rPr>
      </w:pPr>
    </w:p>
    <w:p w14:paraId="2464F121" w14:textId="77777777" w:rsidR="008D6727" w:rsidRDefault="008D6727">
      <w:pPr>
        <w:rPr>
          <w:rFonts w:asciiTheme="majorHAnsi" w:eastAsiaTheme="majorEastAsia" w:hAnsiTheme="majorHAnsi" w:cstheme="majorBidi"/>
          <w:b/>
          <w:bCs/>
          <w:color w:val="25409A" w:themeColor="text2"/>
          <w:sz w:val="24"/>
          <w:szCs w:val="24"/>
          <w:lang w:val="mi-NZ"/>
        </w:rPr>
      </w:pPr>
      <w:r>
        <w:rPr>
          <w:lang w:val="mi-NZ"/>
        </w:rPr>
        <w:br w:type="page"/>
      </w:r>
    </w:p>
    <w:p w14:paraId="1233A2C4" w14:textId="6119587F" w:rsidR="00E56A3C" w:rsidRDefault="00E56A3C" w:rsidP="00E56A3C">
      <w:pPr>
        <w:pStyle w:val="Heading2"/>
        <w:rPr>
          <w:lang w:val="mi-NZ"/>
        </w:rPr>
      </w:pPr>
      <w:bookmarkStart w:id="45" w:name="_Toc111485469"/>
      <w:r w:rsidRPr="00E7687D">
        <w:rPr>
          <w:lang w:val="mi-NZ"/>
        </w:rPr>
        <w:lastRenderedPageBreak/>
        <w:t>Ministry for Disabled People and Disability System transformation</w:t>
      </w:r>
      <w:bookmarkEnd w:id="45"/>
    </w:p>
    <w:p w14:paraId="38267651" w14:textId="77777777" w:rsidR="00E56A3C" w:rsidRPr="00E56A3C" w:rsidRDefault="00E56A3C" w:rsidP="00E56A3C">
      <w:pPr>
        <w:rPr>
          <w:lang w:val="mi-NZ"/>
        </w:rPr>
      </w:pPr>
    </w:p>
    <w:p w14:paraId="26CBD6D5" w14:textId="3BE53074" w:rsidR="00E56A3C" w:rsidRPr="00E56A3C" w:rsidRDefault="00E56A3C" w:rsidP="00E56A3C">
      <w:pPr>
        <w:pStyle w:val="ListParagraph"/>
        <w:numPr>
          <w:ilvl w:val="0"/>
          <w:numId w:val="9"/>
        </w:numPr>
        <w:ind w:hanging="720"/>
        <w:rPr>
          <w:rFonts w:cstheme="minorHAnsi"/>
          <w:sz w:val="22"/>
          <w:szCs w:val="22"/>
          <w:lang w:val="mi-NZ"/>
        </w:rPr>
      </w:pPr>
      <w:r w:rsidRPr="00E56A3C">
        <w:rPr>
          <w:rFonts w:cstheme="minorHAnsi"/>
          <w:sz w:val="22"/>
          <w:szCs w:val="22"/>
          <w:lang w:val="mi-NZ"/>
        </w:rPr>
        <w:t>A Ministry for Disabled People is being established and the disability system is being transformed to implement Enabling Good Lives.</w:t>
      </w:r>
      <w:r w:rsidRPr="00E56A3C">
        <w:rPr>
          <w:rFonts w:cstheme="minorHAnsi"/>
          <w:sz w:val="22"/>
          <w:szCs w:val="22"/>
          <w:vertAlign w:val="superscript"/>
          <w:lang w:val="mi-NZ"/>
        </w:rPr>
        <w:footnoteReference w:id="304"/>
      </w:r>
      <w:r w:rsidRPr="00E56A3C">
        <w:rPr>
          <w:rFonts w:cstheme="minorHAnsi"/>
          <w:sz w:val="22"/>
          <w:szCs w:val="22"/>
          <w:lang w:val="mi-NZ"/>
        </w:rPr>
        <w:t xml:space="preserve"> The Ministry’s role includes strengthening disability rights approaches across government strategies, including the CYWS. </w:t>
      </w:r>
    </w:p>
    <w:p w14:paraId="74FD6E16" w14:textId="77777777" w:rsidR="00E56A3C" w:rsidRPr="00E56A3C" w:rsidRDefault="00E56A3C" w:rsidP="00E56A3C">
      <w:pPr>
        <w:pStyle w:val="ListParagraph"/>
        <w:rPr>
          <w:rFonts w:cstheme="minorHAnsi"/>
          <w:sz w:val="22"/>
          <w:szCs w:val="22"/>
          <w:lang w:val="mi-NZ"/>
        </w:rPr>
      </w:pPr>
    </w:p>
    <w:p w14:paraId="3975317C" w14:textId="77777777" w:rsidR="00E56A3C" w:rsidRPr="00E56A3C" w:rsidRDefault="00E56A3C" w:rsidP="00E56A3C">
      <w:pPr>
        <w:pStyle w:val="ListParagraph"/>
        <w:numPr>
          <w:ilvl w:val="0"/>
          <w:numId w:val="9"/>
        </w:numPr>
        <w:ind w:hanging="720"/>
        <w:rPr>
          <w:rFonts w:cstheme="minorHAnsi"/>
          <w:sz w:val="22"/>
          <w:szCs w:val="22"/>
          <w:lang w:val="mi-NZ"/>
        </w:rPr>
      </w:pPr>
      <w:r w:rsidRPr="00E56A3C">
        <w:rPr>
          <w:rFonts w:cstheme="minorHAnsi"/>
          <w:sz w:val="22"/>
          <w:szCs w:val="22"/>
          <w:lang w:val="mi-NZ"/>
        </w:rPr>
        <w:t>This structural and system reform has potential to improve realisation of disabled children’s rights by promoting inclusion and providing supports.</w:t>
      </w:r>
      <w:r w:rsidRPr="00E56A3C">
        <w:rPr>
          <w:rFonts w:cstheme="minorHAnsi"/>
          <w:sz w:val="22"/>
          <w:szCs w:val="22"/>
          <w:vertAlign w:val="superscript"/>
          <w:lang w:val="mi-NZ"/>
        </w:rPr>
        <w:footnoteReference w:id="305"/>
      </w:r>
      <w:r w:rsidRPr="00E56A3C">
        <w:rPr>
          <w:rFonts w:cstheme="minorHAnsi"/>
          <w:sz w:val="22"/>
          <w:szCs w:val="22"/>
          <w:lang w:val="mi-NZ"/>
        </w:rPr>
        <w:t xml:space="preserve"> Disabled children, their views, experiences and outcomes, must be a specific focus and priority across government, including within the new Ministry.</w:t>
      </w:r>
    </w:p>
    <w:p w14:paraId="5FF846AD" w14:textId="77777777" w:rsidR="00E56A3C" w:rsidRPr="00E56A3C" w:rsidRDefault="00E56A3C" w:rsidP="00E56A3C">
      <w:pPr>
        <w:pStyle w:val="ListParagraph"/>
        <w:rPr>
          <w:rFonts w:cstheme="minorHAnsi"/>
          <w:sz w:val="22"/>
          <w:szCs w:val="22"/>
          <w:lang w:val="mi-NZ"/>
        </w:rPr>
      </w:pPr>
    </w:p>
    <w:p w14:paraId="52BC3283" w14:textId="77777777" w:rsidR="00E56A3C" w:rsidRPr="00E56A3C" w:rsidRDefault="00E56A3C" w:rsidP="00E56A3C">
      <w:pPr>
        <w:pStyle w:val="ListParagraph"/>
        <w:numPr>
          <w:ilvl w:val="0"/>
          <w:numId w:val="9"/>
        </w:numPr>
        <w:ind w:hanging="720"/>
        <w:rPr>
          <w:rFonts w:cstheme="minorHAnsi"/>
          <w:sz w:val="22"/>
          <w:szCs w:val="22"/>
          <w:lang w:val="mi-NZ"/>
        </w:rPr>
      </w:pPr>
      <w:r w:rsidRPr="00E56A3C">
        <w:rPr>
          <w:rFonts w:cstheme="minorHAnsi"/>
          <w:sz w:val="22"/>
          <w:szCs w:val="22"/>
          <w:lang w:val="mi-NZ"/>
        </w:rPr>
        <w:t>The relationships between the new Ministry, the Ministry for Education and OT will be especially critical to inclusion for all disabled children and their access to flexible and timely, quality supports when they need them.</w:t>
      </w:r>
    </w:p>
    <w:p w14:paraId="0A16CCB7" w14:textId="77777777" w:rsidR="00E56A3C" w:rsidRDefault="00E56A3C" w:rsidP="00E56A3C">
      <w:pPr>
        <w:pStyle w:val="Heading2"/>
        <w:rPr>
          <w:lang w:val="mi-NZ"/>
        </w:rPr>
      </w:pPr>
    </w:p>
    <w:p w14:paraId="5DC2FCB1" w14:textId="53B2B6AC" w:rsidR="00E56A3C" w:rsidRPr="008A4F29" w:rsidRDefault="00E56A3C" w:rsidP="00E56A3C">
      <w:pPr>
        <w:pStyle w:val="Heading2"/>
        <w:rPr>
          <w:lang w:val="mi-NZ"/>
        </w:rPr>
      </w:pPr>
      <w:bookmarkStart w:id="46" w:name="_Toc111485470"/>
      <w:r w:rsidRPr="008A4F29">
        <w:rPr>
          <w:lang w:val="mi-NZ"/>
        </w:rPr>
        <w:t>Fetal Alcohol Spectrum Disorder (FASD)</w:t>
      </w:r>
      <w:bookmarkEnd w:id="46"/>
    </w:p>
    <w:p w14:paraId="7D5B3AB5" w14:textId="2759EC36" w:rsidR="00124FEB" w:rsidRPr="00E56A3C" w:rsidRDefault="00124FEB" w:rsidP="00E56A3C">
      <w:pPr>
        <w:rPr>
          <w:rFonts w:cstheme="minorHAnsi"/>
          <w:sz w:val="22"/>
          <w:szCs w:val="22"/>
          <w:lang w:val="mi-NZ"/>
        </w:rPr>
      </w:pPr>
    </w:p>
    <w:p w14:paraId="49FE60EE" w14:textId="094B231C" w:rsidR="00E56A3C" w:rsidRPr="00E56A3C" w:rsidRDefault="00E56A3C" w:rsidP="00E56A3C">
      <w:pPr>
        <w:pStyle w:val="ListParagraph"/>
        <w:numPr>
          <w:ilvl w:val="0"/>
          <w:numId w:val="9"/>
        </w:numPr>
        <w:ind w:hanging="720"/>
        <w:rPr>
          <w:rFonts w:cstheme="minorHAnsi"/>
          <w:sz w:val="22"/>
          <w:szCs w:val="22"/>
        </w:rPr>
      </w:pPr>
      <w:r w:rsidRPr="00E56A3C">
        <w:rPr>
          <w:rFonts w:cstheme="minorHAnsi"/>
          <w:sz w:val="22"/>
          <w:szCs w:val="22"/>
          <w:lang w:val="mi-NZ"/>
        </w:rPr>
        <w:t>There are an estimated 30,000 children with FASD in Aotearoa, many undiagnosed, and a lack of understanding and awareness of this disability.</w:t>
      </w:r>
      <w:r w:rsidRPr="00E56A3C">
        <w:rPr>
          <w:rFonts w:cstheme="minorHAnsi"/>
          <w:sz w:val="22"/>
          <w:szCs w:val="22"/>
          <w:vertAlign w:val="superscript"/>
          <w:lang w:val="mi-NZ"/>
        </w:rPr>
        <w:footnoteReference w:id="306"/>
      </w:r>
      <w:r w:rsidRPr="00E56A3C">
        <w:rPr>
          <w:rFonts w:cstheme="minorHAnsi"/>
          <w:sz w:val="22"/>
          <w:szCs w:val="22"/>
          <w:lang w:val="mi-NZ"/>
        </w:rPr>
        <w:t xml:space="preserve"> Children with FASD are overrepresented in the justice system.</w:t>
      </w:r>
      <w:r w:rsidRPr="00E56A3C">
        <w:rPr>
          <w:rFonts w:cstheme="minorHAnsi"/>
          <w:sz w:val="22"/>
          <w:szCs w:val="22"/>
          <w:vertAlign w:val="superscript"/>
          <w:lang w:val="mi-NZ"/>
        </w:rPr>
        <w:footnoteReference w:id="307"/>
      </w:r>
      <w:r w:rsidRPr="00E56A3C">
        <w:rPr>
          <w:rFonts w:cstheme="minorHAnsi"/>
          <w:sz w:val="22"/>
          <w:szCs w:val="22"/>
          <w:lang w:val="mi-NZ"/>
        </w:rPr>
        <w:t xml:space="preserve"> Government has a FASD action plan</w:t>
      </w:r>
      <w:r w:rsidR="00F97288">
        <w:rPr>
          <w:rFonts w:cstheme="minorHAnsi"/>
          <w:sz w:val="22"/>
          <w:szCs w:val="22"/>
          <w:lang w:val="mi-NZ"/>
        </w:rPr>
        <w:t xml:space="preserve"> but better access to Disability Support Services is needed for </w:t>
      </w:r>
      <w:r w:rsidR="00B774D1">
        <w:rPr>
          <w:rFonts w:cstheme="minorHAnsi"/>
          <w:sz w:val="22"/>
          <w:szCs w:val="22"/>
          <w:lang w:val="mi-NZ"/>
        </w:rPr>
        <w:t>children impacted by FASD</w:t>
      </w:r>
      <w:r w:rsidRPr="00E56A3C">
        <w:rPr>
          <w:rFonts w:cstheme="minorHAnsi"/>
          <w:sz w:val="22"/>
          <w:szCs w:val="22"/>
          <w:lang w:val="mi-NZ"/>
        </w:rPr>
        <w:t>.</w:t>
      </w:r>
      <w:r w:rsidRPr="00E56A3C">
        <w:rPr>
          <w:rFonts w:cstheme="minorHAnsi"/>
          <w:sz w:val="22"/>
          <w:szCs w:val="22"/>
          <w:vertAlign w:val="superscript"/>
          <w:lang w:val="mi-NZ"/>
        </w:rPr>
        <w:footnoteReference w:id="308"/>
      </w:r>
      <w:r w:rsidRPr="00E56A3C">
        <w:rPr>
          <w:rFonts w:cstheme="minorHAnsi"/>
          <w:sz w:val="22"/>
          <w:szCs w:val="22"/>
          <w:lang w:val="mi-NZ"/>
        </w:rPr>
        <w:t xml:space="preserve"> </w:t>
      </w:r>
      <w:r w:rsidR="00B774D1">
        <w:rPr>
          <w:rStyle w:val="FootnoteReference"/>
          <w:rFonts w:cstheme="minorHAnsi"/>
          <w:sz w:val="22"/>
          <w:szCs w:val="22"/>
          <w:lang w:val="mi-NZ"/>
        </w:rPr>
        <w:footnoteReference w:id="309"/>
      </w:r>
    </w:p>
    <w:p w14:paraId="7C751460" w14:textId="77777777" w:rsidR="008D6727" w:rsidRDefault="008D6727">
      <w:pPr>
        <w:rPr>
          <w:rFonts w:asciiTheme="majorHAnsi" w:eastAsiaTheme="majorEastAsia" w:hAnsiTheme="majorHAnsi" w:cstheme="majorBidi"/>
          <w:b/>
          <w:bCs/>
          <w:color w:val="25409A" w:themeColor="text2"/>
          <w:sz w:val="24"/>
          <w:szCs w:val="24"/>
          <w:lang w:val="mi-NZ"/>
        </w:rPr>
      </w:pPr>
      <w:r>
        <w:rPr>
          <w:rFonts w:asciiTheme="majorHAnsi" w:eastAsiaTheme="majorEastAsia" w:hAnsiTheme="majorHAnsi" w:cstheme="majorBidi"/>
          <w:b/>
          <w:bCs/>
          <w:color w:val="25409A" w:themeColor="text2"/>
          <w:sz w:val="24"/>
          <w:szCs w:val="24"/>
          <w:lang w:val="mi-NZ"/>
        </w:rPr>
        <w:br w:type="page"/>
      </w:r>
    </w:p>
    <w:p w14:paraId="6A5978DD" w14:textId="4F835588" w:rsidR="00E56A3C" w:rsidRPr="00E56A3C" w:rsidRDefault="00E56A3C" w:rsidP="00E56A3C">
      <w:pPr>
        <w:rPr>
          <w:rFonts w:asciiTheme="majorHAnsi" w:eastAsiaTheme="majorEastAsia" w:hAnsiTheme="majorHAnsi" w:cstheme="majorBidi"/>
          <w:b/>
          <w:bCs/>
          <w:color w:val="25409A" w:themeColor="text2"/>
          <w:sz w:val="24"/>
          <w:szCs w:val="24"/>
          <w:lang w:val="mi-NZ"/>
        </w:rPr>
      </w:pPr>
      <w:r w:rsidRPr="00E56A3C">
        <w:rPr>
          <w:rFonts w:asciiTheme="majorHAnsi" w:eastAsiaTheme="majorEastAsia" w:hAnsiTheme="majorHAnsi" w:cstheme="majorBidi"/>
          <w:b/>
          <w:bCs/>
          <w:color w:val="25409A" w:themeColor="text2"/>
          <w:sz w:val="24"/>
          <w:szCs w:val="24"/>
          <w:lang w:val="mi-NZ"/>
        </w:rPr>
        <w:lastRenderedPageBreak/>
        <w:t xml:space="preserve">Intellectual Disability Compulsory Care and Rehabilitation (IDCCR) Act 2003 </w:t>
      </w:r>
    </w:p>
    <w:p w14:paraId="632949AB" w14:textId="77777777" w:rsidR="00E56A3C" w:rsidRPr="00E56A3C" w:rsidRDefault="00E56A3C" w:rsidP="00E56A3C">
      <w:pPr>
        <w:rPr>
          <w:rFonts w:cstheme="minorHAnsi"/>
          <w:sz w:val="22"/>
          <w:szCs w:val="22"/>
        </w:rPr>
      </w:pPr>
    </w:p>
    <w:p w14:paraId="25710055" w14:textId="29F8B8D2" w:rsidR="00E56A3C" w:rsidRPr="00E56A3C" w:rsidRDefault="00E56A3C" w:rsidP="00C75F8A">
      <w:pPr>
        <w:pStyle w:val="ListParagraph"/>
        <w:numPr>
          <w:ilvl w:val="0"/>
          <w:numId w:val="9"/>
        </w:numPr>
        <w:ind w:hanging="720"/>
        <w:rPr>
          <w:rFonts w:cstheme="minorHAnsi"/>
          <w:sz w:val="22"/>
          <w:szCs w:val="22"/>
        </w:rPr>
      </w:pPr>
      <w:r w:rsidRPr="00E56A3C">
        <w:rPr>
          <w:rFonts w:cstheme="minorHAnsi"/>
          <w:sz w:val="22"/>
          <w:szCs w:val="22"/>
          <w:lang w:val="mi-NZ"/>
        </w:rPr>
        <w:t>A small number of children are held under the IDCCR Act, which provides statutory powers for care orders, seclusion, restraint and medication.</w:t>
      </w:r>
      <w:r w:rsidRPr="00E56A3C">
        <w:rPr>
          <w:rFonts w:cstheme="minorHAnsi"/>
          <w:sz w:val="22"/>
          <w:szCs w:val="22"/>
          <w:vertAlign w:val="superscript"/>
          <w:lang w:val="mi-NZ"/>
        </w:rPr>
        <w:footnoteReference w:id="310"/>
      </w:r>
      <w:r w:rsidRPr="00E56A3C">
        <w:rPr>
          <w:rFonts w:cstheme="minorHAnsi"/>
          <w:sz w:val="22"/>
          <w:szCs w:val="22"/>
          <w:lang w:val="mi-NZ"/>
        </w:rPr>
        <w:t xml:space="preserve"> Care may be in the community, or for a few (up to eight) children, in a forensic intellectual disability inpatient unit, where </w:t>
      </w:r>
      <w:r w:rsidRPr="00E56A3C">
        <w:rPr>
          <w:rFonts w:cstheme="minorHAnsi"/>
          <w:sz w:val="22"/>
          <w:szCs w:val="22"/>
        </w:rPr>
        <w:t xml:space="preserve">the average length of stay is around 18 months. By comparison, children admitted to the </w:t>
      </w:r>
      <w:proofErr w:type="spellStart"/>
      <w:r w:rsidRPr="00E56A3C">
        <w:rPr>
          <w:rFonts w:cstheme="minorHAnsi"/>
          <w:sz w:val="22"/>
          <w:szCs w:val="22"/>
        </w:rPr>
        <w:t>Ng</w:t>
      </w:r>
      <w:r w:rsidR="00F2571F">
        <w:rPr>
          <w:rFonts w:cstheme="minorHAnsi"/>
          <w:sz w:val="22"/>
          <w:szCs w:val="22"/>
        </w:rPr>
        <w:t>ā</w:t>
      </w:r>
      <w:proofErr w:type="spellEnd"/>
      <w:r w:rsidRPr="00E56A3C">
        <w:rPr>
          <w:rFonts w:cstheme="minorHAnsi"/>
          <w:sz w:val="22"/>
          <w:szCs w:val="22"/>
        </w:rPr>
        <w:t xml:space="preserve"> </w:t>
      </w:r>
      <w:proofErr w:type="spellStart"/>
      <w:r w:rsidRPr="00E56A3C">
        <w:rPr>
          <w:rFonts w:cstheme="minorHAnsi"/>
          <w:sz w:val="22"/>
          <w:szCs w:val="22"/>
        </w:rPr>
        <w:t>Taiohi</w:t>
      </w:r>
      <w:proofErr w:type="spellEnd"/>
      <w:r w:rsidRPr="00E56A3C">
        <w:rPr>
          <w:rFonts w:cstheme="minorHAnsi"/>
          <w:sz w:val="22"/>
          <w:szCs w:val="22"/>
        </w:rPr>
        <w:t xml:space="preserve"> Unit either via court orders or the </w:t>
      </w:r>
      <w:r w:rsidRPr="00E56A3C">
        <w:rPr>
          <w:rFonts w:cstheme="minorHAnsi"/>
          <w:sz w:val="22"/>
          <w:szCs w:val="22"/>
          <w:lang w:val="mi-NZ"/>
        </w:rPr>
        <w:t xml:space="preserve">Mental Health (Compulsory Assessment and Treatment) Act 1992 </w:t>
      </w:r>
      <w:r w:rsidRPr="00E56A3C">
        <w:rPr>
          <w:rFonts w:cstheme="minorHAnsi"/>
          <w:sz w:val="22"/>
          <w:szCs w:val="22"/>
        </w:rPr>
        <w:t>MH(CAT), have an average stay of 3-4 months.</w:t>
      </w:r>
      <w:r w:rsidRPr="00E56A3C">
        <w:rPr>
          <w:rFonts w:cstheme="minorHAnsi"/>
          <w:sz w:val="22"/>
          <w:szCs w:val="22"/>
          <w:vertAlign w:val="superscript"/>
        </w:rPr>
        <w:footnoteReference w:id="311"/>
      </w:r>
      <w:r w:rsidRPr="00E56A3C">
        <w:rPr>
          <w:rFonts w:cstheme="minorHAnsi"/>
          <w:sz w:val="22"/>
          <w:szCs w:val="22"/>
        </w:rPr>
        <w:t xml:space="preserve"> </w:t>
      </w:r>
      <w:r w:rsidRPr="00E56A3C">
        <w:rPr>
          <w:rFonts w:cstheme="minorHAnsi"/>
          <w:sz w:val="22"/>
          <w:szCs w:val="22"/>
          <w:vertAlign w:val="superscript"/>
        </w:rPr>
        <w:footnoteReference w:id="312"/>
      </w:r>
      <w:r w:rsidRPr="00E56A3C">
        <w:rPr>
          <w:rFonts w:cstheme="minorHAnsi"/>
          <w:sz w:val="22"/>
          <w:szCs w:val="22"/>
        </w:rPr>
        <w:t xml:space="preserve"> The Children’s Commissioner has recently raised serious concerns about inpatient mental health care for children.</w:t>
      </w:r>
      <w:r w:rsidRPr="00E56A3C">
        <w:rPr>
          <w:rFonts w:cstheme="minorHAnsi"/>
          <w:sz w:val="22"/>
          <w:szCs w:val="22"/>
          <w:vertAlign w:val="superscript"/>
        </w:rPr>
        <w:footnoteReference w:id="313"/>
      </w:r>
    </w:p>
    <w:p w14:paraId="7B26705A" w14:textId="77777777" w:rsidR="00E56A3C" w:rsidRPr="00E56A3C" w:rsidRDefault="00E56A3C" w:rsidP="00E56A3C">
      <w:pPr>
        <w:pStyle w:val="ListParagraph"/>
        <w:rPr>
          <w:rFonts w:cstheme="minorHAnsi"/>
          <w:sz w:val="22"/>
          <w:szCs w:val="22"/>
          <w:lang w:val="mi-NZ"/>
        </w:rPr>
      </w:pPr>
    </w:p>
    <w:p w14:paraId="0CB124BC" w14:textId="77777777" w:rsidR="00E56A3C" w:rsidRPr="00E56A3C" w:rsidRDefault="00E56A3C" w:rsidP="00E56A3C">
      <w:pPr>
        <w:pStyle w:val="ListParagraph"/>
        <w:numPr>
          <w:ilvl w:val="0"/>
          <w:numId w:val="9"/>
        </w:numPr>
        <w:ind w:hanging="720"/>
        <w:rPr>
          <w:rFonts w:cstheme="minorHAnsi"/>
          <w:sz w:val="22"/>
          <w:szCs w:val="22"/>
          <w:lang w:val="mi-NZ"/>
        </w:rPr>
      </w:pPr>
      <w:r w:rsidRPr="00E56A3C">
        <w:rPr>
          <w:rFonts w:cstheme="minorHAnsi"/>
          <w:sz w:val="22"/>
          <w:szCs w:val="22"/>
          <w:lang w:val="mi-NZ"/>
        </w:rPr>
        <w:t>Work to review the framework that protects the bodily integrity of disabled children, including the issue of consent, appears to have stalled.</w:t>
      </w:r>
      <w:r w:rsidRPr="00E56A3C">
        <w:rPr>
          <w:rFonts w:cstheme="minorHAnsi"/>
          <w:sz w:val="22"/>
          <w:szCs w:val="22"/>
          <w:vertAlign w:val="superscript"/>
          <w:lang w:val="mi-NZ"/>
        </w:rPr>
        <w:footnoteReference w:id="314"/>
      </w:r>
    </w:p>
    <w:p w14:paraId="72F0774B" w14:textId="676DF010" w:rsidR="00E56A3C" w:rsidRPr="00E56A3C" w:rsidRDefault="00E56A3C" w:rsidP="00E56A3C">
      <w:pPr>
        <w:pStyle w:val="IntenseQuote"/>
        <w:ind w:left="720"/>
        <w:jc w:val="left"/>
        <w:rPr>
          <w:b/>
          <w:bCs/>
          <w:i w:val="0"/>
          <w:iCs w:val="0"/>
          <w:sz w:val="24"/>
          <w:szCs w:val="24"/>
          <w:lang w:val="mi-NZ"/>
        </w:rPr>
      </w:pPr>
      <w:r w:rsidRPr="00E56A3C">
        <w:rPr>
          <w:b/>
          <w:bCs/>
          <w:i w:val="0"/>
          <w:iCs w:val="0"/>
          <w:sz w:val="24"/>
          <w:szCs w:val="24"/>
          <w:lang w:val="mi-NZ"/>
        </w:rPr>
        <w:t>Recommendations</w:t>
      </w:r>
    </w:p>
    <w:p w14:paraId="0E1D718F" w14:textId="77777777" w:rsidR="00E56A3C" w:rsidRPr="00F70530" w:rsidRDefault="00E56A3C" w:rsidP="00916EA3">
      <w:pPr>
        <w:pStyle w:val="IntenseQuote"/>
        <w:numPr>
          <w:ilvl w:val="0"/>
          <w:numId w:val="11"/>
        </w:numPr>
        <w:jc w:val="left"/>
        <w:rPr>
          <w:i w:val="0"/>
          <w:iCs w:val="0"/>
          <w:sz w:val="22"/>
          <w:szCs w:val="22"/>
          <w:lang w:val="mi-NZ"/>
        </w:rPr>
      </w:pPr>
      <w:r w:rsidRPr="00E56A3C">
        <w:rPr>
          <w:i w:val="0"/>
          <w:iCs w:val="0"/>
          <w:sz w:val="22"/>
          <w:szCs w:val="22"/>
          <w:lang w:val="mi-NZ"/>
        </w:rPr>
        <w:t xml:space="preserve">To uphold all rights of all disabled children, ensuring they are </w:t>
      </w:r>
      <w:r w:rsidRPr="00F70530">
        <w:rPr>
          <w:i w:val="0"/>
          <w:iCs w:val="0"/>
          <w:sz w:val="22"/>
          <w:szCs w:val="22"/>
          <w:lang w:val="mi-NZ"/>
        </w:rPr>
        <w:t>included and have the supports they need for a good life:</w:t>
      </w:r>
    </w:p>
    <w:p w14:paraId="1A9A316D" w14:textId="77777777" w:rsidR="00E56A3C" w:rsidRPr="00F70530" w:rsidRDefault="00E56A3C" w:rsidP="00F2571F">
      <w:pPr>
        <w:pStyle w:val="IntenseQuote"/>
        <w:numPr>
          <w:ilvl w:val="0"/>
          <w:numId w:val="53"/>
        </w:numPr>
        <w:jc w:val="left"/>
        <w:rPr>
          <w:i w:val="0"/>
          <w:iCs w:val="0"/>
          <w:sz w:val="22"/>
          <w:szCs w:val="22"/>
          <w:lang w:val="mi-NZ"/>
        </w:rPr>
      </w:pPr>
      <w:r w:rsidRPr="00F70530">
        <w:rPr>
          <w:i w:val="0"/>
          <w:iCs w:val="0"/>
          <w:sz w:val="22"/>
          <w:szCs w:val="22"/>
          <w:lang w:val="mi-NZ"/>
        </w:rPr>
        <w:t>Make disabled children a core focus of the work of the Ministry for Disabled Peoples.</w:t>
      </w:r>
    </w:p>
    <w:p w14:paraId="2866D819" w14:textId="77777777" w:rsidR="00E56A3C" w:rsidRPr="00F70530" w:rsidRDefault="00E56A3C" w:rsidP="00F2571F">
      <w:pPr>
        <w:pStyle w:val="IntenseQuote"/>
        <w:numPr>
          <w:ilvl w:val="0"/>
          <w:numId w:val="53"/>
        </w:numPr>
        <w:jc w:val="left"/>
        <w:rPr>
          <w:i w:val="0"/>
          <w:iCs w:val="0"/>
          <w:sz w:val="22"/>
          <w:szCs w:val="22"/>
          <w:lang w:val="mi-NZ"/>
        </w:rPr>
      </w:pPr>
      <w:r w:rsidRPr="00F70530">
        <w:rPr>
          <w:i w:val="0"/>
          <w:iCs w:val="0"/>
          <w:sz w:val="22"/>
          <w:szCs w:val="22"/>
          <w:lang w:val="mi-NZ"/>
        </w:rPr>
        <w:t>Actively support disabled children’s participation in their own lives and the things that matter to them.</w:t>
      </w:r>
    </w:p>
    <w:p w14:paraId="0C7D0516" w14:textId="77777777" w:rsidR="00E56A3C" w:rsidRPr="00F70530" w:rsidRDefault="00E56A3C" w:rsidP="00F2571F">
      <w:pPr>
        <w:pStyle w:val="IntenseQuote"/>
        <w:numPr>
          <w:ilvl w:val="0"/>
          <w:numId w:val="53"/>
        </w:numPr>
        <w:jc w:val="left"/>
        <w:rPr>
          <w:i w:val="0"/>
          <w:iCs w:val="0"/>
          <w:sz w:val="22"/>
          <w:szCs w:val="22"/>
          <w:lang w:val="mi-NZ"/>
        </w:rPr>
      </w:pPr>
      <w:r w:rsidRPr="00F70530">
        <w:rPr>
          <w:i w:val="0"/>
          <w:iCs w:val="0"/>
          <w:sz w:val="22"/>
          <w:szCs w:val="22"/>
          <w:lang w:val="mi-NZ"/>
        </w:rPr>
        <w:t xml:space="preserve">Ensure all disabled children have an adequate standard of living. </w:t>
      </w:r>
    </w:p>
    <w:p w14:paraId="3338D3D7" w14:textId="6EE2292A" w:rsidR="00E56A3C" w:rsidRPr="00F70530" w:rsidRDefault="00E56A3C" w:rsidP="00F2571F">
      <w:pPr>
        <w:pStyle w:val="IntenseQuote"/>
        <w:numPr>
          <w:ilvl w:val="0"/>
          <w:numId w:val="53"/>
        </w:numPr>
        <w:jc w:val="left"/>
        <w:rPr>
          <w:i w:val="0"/>
          <w:iCs w:val="0"/>
          <w:sz w:val="22"/>
          <w:szCs w:val="22"/>
          <w:lang w:val="mi-NZ"/>
        </w:rPr>
      </w:pPr>
      <w:r w:rsidRPr="00F70530">
        <w:rPr>
          <w:i w:val="0"/>
          <w:iCs w:val="0"/>
          <w:sz w:val="22"/>
          <w:szCs w:val="22"/>
          <w:lang w:val="mi-NZ"/>
        </w:rPr>
        <w:lastRenderedPageBreak/>
        <w:t>Take a rights based approach to implementation of the FASD action plan.</w:t>
      </w:r>
    </w:p>
    <w:p w14:paraId="40792712" w14:textId="299D579E" w:rsidR="00E56A3C" w:rsidRPr="004342B5" w:rsidRDefault="00E56A3C" w:rsidP="004342B5">
      <w:pPr>
        <w:pStyle w:val="IntenseQuote"/>
        <w:numPr>
          <w:ilvl w:val="0"/>
          <w:numId w:val="53"/>
        </w:numPr>
        <w:jc w:val="left"/>
        <w:rPr>
          <w:i w:val="0"/>
          <w:iCs w:val="0"/>
          <w:sz w:val="22"/>
          <w:szCs w:val="22"/>
          <w:lang w:val="mi-NZ"/>
        </w:rPr>
      </w:pPr>
      <w:r w:rsidRPr="00F70530">
        <w:rPr>
          <w:i w:val="0"/>
          <w:iCs w:val="0"/>
          <w:sz w:val="22"/>
          <w:szCs w:val="22"/>
          <w:lang w:val="mi-NZ"/>
        </w:rPr>
        <w:t xml:space="preserve">Ensure all disabled children are included in the wider care and oversight system for children and their rights upheld on an equal basis with their peers, </w:t>
      </w:r>
      <w:r w:rsidR="004342B5" w:rsidRPr="004342B5">
        <w:rPr>
          <w:i w:val="0"/>
          <w:iCs w:val="0"/>
          <w:sz w:val="22"/>
          <w:szCs w:val="22"/>
          <w:lang w:val="mi-NZ"/>
        </w:rPr>
        <w:t xml:space="preserve">including </w:t>
      </w:r>
      <w:r w:rsidRPr="004342B5">
        <w:rPr>
          <w:i w:val="0"/>
          <w:iCs w:val="0"/>
          <w:sz w:val="22"/>
          <w:szCs w:val="22"/>
          <w:lang w:val="mi-NZ"/>
        </w:rPr>
        <w:t>by</w:t>
      </w:r>
      <w:r w:rsidR="004342B5" w:rsidRPr="004342B5">
        <w:rPr>
          <w:i w:val="0"/>
          <w:iCs w:val="0"/>
          <w:sz w:val="22"/>
          <w:szCs w:val="22"/>
          <w:lang w:val="mi-NZ"/>
        </w:rPr>
        <w:t xml:space="preserve"> removing children</w:t>
      </w:r>
      <w:r w:rsidR="004342B5">
        <w:rPr>
          <w:i w:val="0"/>
          <w:iCs w:val="0"/>
          <w:sz w:val="22"/>
          <w:szCs w:val="22"/>
          <w:lang w:val="mi-NZ"/>
        </w:rPr>
        <w:t xml:space="preserve"> </w:t>
      </w:r>
      <w:r w:rsidR="004342B5" w:rsidRPr="004342B5">
        <w:rPr>
          <w:i w:val="0"/>
          <w:iCs w:val="0"/>
          <w:sz w:val="22"/>
          <w:szCs w:val="22"/>
          <w:lang w:val="mi-NZ"/>
        </w:rPr>
        <w:t>from</w:t>
      </w:r>
      <w:r w:rsidRPr="004342B5">
        <w:rPr>
          <w:i w:val="0"/>
          <w:iCs w:val="0"/>
          <w:sz w:val="22"/>
          <w:szCs w:val="22"/>
          <w:lang w:val="mi-NZ"/>
        </w:rPr>
        <w:t xml:space="preserve"> the IDCCR and MH(CAT) Acts</w:t>
      </w:r>
      <w:r w:rsidR="00E12B81">
        <w:rPr>
          <w:i w:val="0"/>
          <w:iCs w:val="0"/>
          <w:sz w:val="22"/>
          <w:szCs w:val="22"/>
          <w:lang w:val="mi-NZ"/>
        </w:rPr>
        <w:t>,</w:t>
      </w:r>
      <w:r w:rsidRPr="004342B5">
        <w:rPr>
          <w:i w:val="0"/>
          <w:iCs w:val="0"/>
          <w:sz w:val="22"/>
          <w:szCs w:val="22"/>
          <w:lang w:val="mi-NZ"/>
        </w:rPr>
        <w:t xml:space="preserve"> and</w:t>
      </w:r>
      <w:r w:rsidR="004342B5" w:rsidRPr="004342B5">
        <w:rPr>
          <w:i w:val="0"/>
          <w:iCs w:val="0"/>
          <w:sz w:val="22"/>
          <w:szCs w:val="22"/>
          <w:lang w:val="mi-NZ"/>
        </w:rPr>
        <w:t xml:space="preserve"> </w:t>
      </w:r>
      <w:r w:rsidRPr="004342B5">
        <w:rPr>
          <w:i w:val="0"/>
          <w:iCs w:val="0"/>
          <w:sz w:val="22"/>
          <w:szCs w:val="22"/>
          <w:lang w:val="mi-NZ"/>
        </w:rPr>
        <w:t xml:space="preserve">actively monitoring, protecting and upholding all rights of children currently under </w:t>
      </w:r>
      <w:r w:rsidR="004D33FD">
        <w:rPr>
          <w:i w:val="0"/>
          <w:iCs w:val="0"/>
          <w:sz w:val="22"/>
          <w:szCs w:val="22"/>
          <w:lang w:val="mi-NZ"/>
        </w:rPr>
        <w:t xml:space="preserve">those </w:t>
      </w:r>
      <w:r w:rsidRPr="004342B5">
        <w:rPr>
          <w:i w:val="0"/>
          <w:iCs w:val="0"/>
          <w:sz w:val="22"/>
          <w:szCs w:val="22"/>
          <w:lang w:val="mi-NZ"/>
        </w:rPr>
        <w:t>Acts.</w:t>
      </w:r>
    </w:p>
    <w:p w14:paraId="3C6FBFF4" w14:textId="77777777" w:rsidR="00E56A3C" w:rsidRPr="00E7687D" w:rsidRDefault="00E56A3C" w:rsidP="00E56A3C">
      <w:pPr>
        <w:pStyle w:val="Heading1"/>
        <w:rPr>
          <w:lang w:val="mi-NZ"/>
        </w:rPr>
      </w:pPr>
      <w:bookmarkStart w:id="47" w:name="_Toc111485471"/>
      <w:r w:rsidRPr="00E7687D">
        <w:rPr>
          <w:lang w:val="mi-NZ"/>
        </w:rPr>
        <w:t>Health and Welfare – LOIPR 22 - 24</w:t>
      </w:r>
      <w:bookmarkEnd w:id="47"/>
    </w:p>
    <w:p w14:paraId="5530AAB4" w14:textId="02DAF37A" w:rsidR="00124FEB" w:rsidRPr="00E56A3C" w:rsidRDefault="00124FEB" w:rsidP="00E56A3C">
      <w:pPr>
        <w:rPr>
          <w:rFonts w:cstheme="minorHAnsi"/>
          <w:sz w:val="22"/>
          <w:szCs w:val="22"/>
          <w:lang w:val="mi-NZ"/>
        </w:rPr>
      </w:pPr>
    </w:p>
    <w:p w14:paraId="31285210" w14:textId="79C982D3" w:rsidR="00E56A3C" w:rsidRPr="00E56A3C" w:rsidRDefault="00E56A3C" w:rsidP="00E56A3C">
      <w:pPr>
        <w:pStyle w:val="ListParagraph"/>
        <w:numPr>
          <w:ilvl w:val="0"/>
          <w:numId w:val="9"/>
        </w:numPr>
        <w:ind w:hanging="720"/>
        <w:rPr>
          <w:rFonts w:cstheme="minorHAnsi"/>
          <w:sz w:val="22"/>
          <w:szCs w:val="22"/>
          <w:lang w:val="en-NZ"/>
        </w:rPr>
      </w:pPr>
      <w:r w:rsidRPr="00E56A3C">
        <w:rPr>
          <w:rFonts w:cstheme="minorHAnsi"/>
          <w:sz w:val="22"/>
          <w:szCs w:val="22"/>
          <w:lang w:val="en-NZ"/>
        </w:rPr>
        <w:t>There are significant inequities in children’s rights to health.</w:t>
      </w:r>
      <w:r w:rsidRPr="00E56A3C">
        <w:rPr>
          <w:rFonts w:cstheme="minorHAnsi"/>
          <w:sz w:val="22"/>
          <w:szCs w:val="22"/>
          <w:vertAlign w:val="superscript"/>
          <w:lang w:val="en-NZ"/>
        </w:rPr>
        <w:footnoteReference w:id="315"/>
      </w:r>
      <w:r w:rsidRPr="00E56A3C">
        <w:rPr>
          <w:rFonts w:cstheme="minorHAnsi"/>
          <w:sz w:val="22"/>
          <w:szCs w:val="22"/>
          <w:lang w:val="en-NZ"/>
        </w:rPr>
        <w:t xml:space="preserve"> The rights of all children to the highest attainable standard of health, including mental health and wellbeing,</w:t>
      </w:r>
      <w:r w:rsidRPr="00E56A3C">
        <w:rPr>
          <w:rFonts w:cstheme="minorHAnsi"/>
          <w:i/>
          <w:iCs/>
          <w:sz w:val="22"/>
          <w:szCs w:val="22"/>
          <w:lang w:val="en-NZ"/>
        </w:rPr>
        <w:t xml:space="preserve"> </w:t>
      </w:r>
      <w:r w:rsidRPr="00E56A3C">
        <w:rPr>
          <w:rFonts w:cstheme="minorHAnsi"/>
          <w:sz w:val="22"/>
          <w:szCs w:val="22"/>
          <w:lang w:val="en-NZ"/>
        </w:rPr>
        <w:t>are either already compromised or in jeopardy due to ongoing failures to address the determinants of health, including an adequate standard of living, warm safe housing, and nutritious food, as well as variable access to quality healthcare when needed.</w:t>
      </w:r>
    </w:p>
    <w:p w14:paraId="6775EBFA" w14:textId="77777777" w:rsidR="00E56A3C" w:rsidRDefault="00E56A3C" w:rsidP="00E56A3C">
      <w:pPr>
        <w:pStyle w:val="ListParagraph"/>
        <w:rPr>
          <w:rFonts w:cstheme="minorHAnsi"/>
          <w:sz w:val="22"/>
          <w:szCs w:val="22"/>
          <w:lang w:val="en-NZ"/>
        </w:rPr>
      </w:pPr>
    </w:p>
    <w:p w14:paraId="72E10EE5" w14:textId="6942E758" w:rsidR="00E56A3C" w:rsidRPr="00E56A3C" w:rsidRDefault="00E56A3C" w:rsidP="00E56A3C">
      <w:pPr>
        <w:pStyle w:val="ListParagraph"/>
        <w:numPr>
          <w:ilvl w:val="0"/>
          <w:numId w:val="9"/>
        </w:numPr>
        <w:ind w:hanging="720"/>
        <w:rPr>
          <w:rFonts w:cstheme="minorHAnsi"/>
          <w:sz w:val="22"/>
          <w:szCs w:val="22"/>
          <w:lang w:val="en-NZ"/>
        </w:rPr>
      </w:pPr>
      <w:r w:rsidRPr="00E56A3C">
        <w:rPr>
          <w:rFonts w:cstheme="minorHAnsi"/>
          <w:sz w:val="22"/>
          <w:szCs w:val="22"/>
          <w:lang w:val="en-NZ"/>
        </w:rPr>
        <w:t xml:space="preserve">Reforms in the health system, especially the establishment of the Māori Health Authority, are paving the way for a </w:t>
      </w:r>
      <w:proofErr w:type="spellStart"/>
      <w:r w:rsidR="00C52D88">
        <w:rPr>
          <w:rFonts w:cstheme="minorHAnsi"/>
          <w:sz w:val="22"/>
          <w:szCs w:val="22"/>
          <w:lang w:val="en-NZ"/>
        </w:rPr>
        <w:t>T</w:t>
      </w:r>
      <w:r w:rsidRPr="00E56A3C">
        <w:rPr>
          <w:rFonts w:cstheme="minorHAnsi"/>
          <w:sz w:val="22"/>
          <w:szCs w:val="22"/>
          <w:lang w:val="en-NZ"/>
        </w:rPr>
        <w:t>e</w:t>
      </w:r>
      <w:proofErr w:type="spellEnd"/>
      <w:r w:rsidRPr="00E56A3C">
        <w:rPr>
          <w:rFonts w:cstheme="minorHAnsi"/>
          <w:sz w:val="22"/>
          <w:szCs w:val="22"/>
          <w:lang w:val="en-NZ"/>
        </w:rPr>
        <w:t xml:space="preserve"> </w:t>
      </w:r>
      <w:proofErr w:type="spellStart"/>
      <w:r w:rsidRPr="00E56A3C">
        <w:rPr>
          <w:rFonts w:cstheme="minorHAnsi"/>
          <w:sz w:val="22"/>
          <w:szCs w:val="22"/>
          <w:lang w:val="en-NZ"/>
        </w:rPr>
        <w:t>Tiriti</w:t>
      </w:r>
      <w:proofErr w:type="spellEnd"/>
      <w:r w:rsidRPr="00E56A3C">
        <w:rPr>
          <w:rFonts w:cstheme="minorHAnsi"/>
          <w:sz w:val="22"/>
          <w:szCs w:val="22"/>
          <w:lang w:val="en-NZ"/>
        </w:rPr>
        <w:t xml:space="preserve"> based health system that supports everyone, including children, to be well.</w:t>
      </w:r>
    </w:p>
    <w:p w14:paraId="160AF96B" w14:textId="77777777" w:rsidR="00E56A3C" w:rsidRDefault="00E56A3C" w:rsidP="00E56A3C">
      <w:pPr>
        <w:pStyle w:val="ListParagraph"/>
        <w:rPr>
          <w:rFonts w:cstheme="minorHAnsi"/>
          <w:sz w:val="22"/>
          <w:szCs w:val="22"/>
          <w:lang w:val="en-NZ"/>
        </w:rPr>
      </w:pPr>
    </w:p>
    <w:p w14:paraId="3F05544A" w14:textId="31EAC16B" w:rsidR="00E56A3C" w:rsidRPr="00E56A3C" w:rsidRDefault="00E56A3C" w:rsidP="00E56A3C">
      <w:pPr>
        <w:pStyle w:val="ListParagraph"/>
        <w:numPr>
          <w:ilvl w:val="0"/>
          <w:numId w:val="9"/>
        </w:numPr>
        <w:ind w:hanging="720"/>
        <w:rPr>
          <w:rFonts w:cstheme="minorHAnsi"/>
          <w:sz w:val="22"/>
          <w:szCs w:val="22"/>
          <w:lang w:val="en-NZ"/>
        </w:rPr>
      </w:pPr>
      <w:r w:rsidRPr="00E56A3C">
        <w:rPr>
          <w:rFonts w:cstheme="minorHAnsi"/>
          <w:sz w:val="22"/>
          <w:szCs w:val="22"/>
          <w:lang w:val="en-NZ"/>
        </w:rPr>
        <w:t>It is essential that the rights of all children- as a population, groups of children, and individuals - are woven into reform of the health system from the start.</w:t>
      </w:r>
    </w:p>
    <w:p w14:paraId="20F96CDD" w14:textId="77777777" w:rsidR="00BD1907" w:rsidRDefault="00BD1907" w:rsidP="00E56A3C">
      <w:pPr>
        <w:pStyle w:val="Heading2"/>
      </w:pPr>
    </w:p>
    <w:p w14:paraId="6D9B93CB" w14:textId="761F11C3" w:rsidR="00E56A3C" w:rsidRPr="00E56A3C" w:rsidRDefault="00E56A3C" w:rsidP="00E56A3C">
      <w:pPr>
        <w:pStyle w:val="Heading2"/>
      </w:pPr>
      <w:bookmarkStart w:id="48" w:name="_Toc111485472"/>
      <w:r w:rsidRPr="00E56A3C">
        <w:t xml:space="preserve">Health, Mental </w:t>
      </w:r>
      <w:proofErr w:type="gramStart"/>
      <w:r w:rsidRPr="00E56A3C">
        <w:t>Health</w:t>
      </w:r>
      <w:proofErr w:type="gramEnd"/>
      <w:r w:rsidRPr="00E56A3C">
        <w:t xml:space="preserve"> and Health Services – LOIPR 22</w:t>
      </w:r>
      <w:bookmarkEnd w:id="48"/>
    </w:p>
    <w:p w14:paraId="453B0742" w14:textId="76E20B0F" w:rsidR="00124FEB" w:rsidRDefault="00124FEB" w:rsidP="00E56A3C">
      <w:pPr>
        <w:rPr>
          <w:rFonts w:cstheme="minorHAnsi"/>
          <w:sz w:val="22"/>
          <w:szCs w:val="22"/>
          <w:lang w:val="mi-NZ"/>
        </w:rPr>
      </w:pPr>
    </w:p>
    <w:p w14:paraId="2113A4E2" w14:textId="77777777" w:rsidR="00E56A3C" w:rsidRPr="00E7687D" w:rsidRDefault="00E56A3C" w:rsidP="00E56A3C">
      <w:pPr>
        <w:pStyle w:val="Heading3"/>
        <w:rPr>
          <w:lang w:val="mi-NZ"/>
        </w:rPr>
      </w:pPr>
      <w:r w:rsidRPr="00E7687D">
        <w:rPr>
          <w:lang w:val="mi-NZ"/>
        </w:rPr>
        <w:t>Reform of the health system</w:t>
      </w:r>
    </w:p>
    <w:p w14:paraId="58CF3AE7" w14:textId="77777777" w:rsidR="00E56A3C" w:rsidRPr="00E56A3C" w:rsidRDefault="00E56A3C" w:rsidP="00E56A3C">
      <w:pPr>
        <w:rPr>
          <w:rFonts w:cstheme="minorHAnsi"/>
          <w:sz w:val="22"/>
          <w:szCs w:val="22"/>
          <w:lang w:val="mi-NZ"/>
        </w:rPr>
      </w:pPr>
    </w:p>
    <w:p w14:paraId="045B852B" w14:textId="438525F0" w:rsidR="00E56A3C" w:rsidRPr="00E56A3C" w:rsidRDefault="00E56A3C" w:rsidP="00E56A3C">
      <w:pPr>
        <w:pStyle w:val="ListParagraph"/>
        <w:numPr>
          <w:ilvl w:val="0"/>
          <w:numId w:val="9"/>
        </w:numPr>
        <w:ind w:hanging="720"/>
        <w:rPr>
          <w:rFonts w:cstheme="minorHAnsi"/>
          <w:sz w:val="22"/>
          <w:szCs w:val="22"/>
          <w:lang w:val="mi-NZ"/>
        </w:rPr>
      </w:pPr>
      <w:r w:rsidRPr="00E56A3C">
        <w:rPr>
          <w:rFonts w:cstheme="minorHAnsi"/>
          <w:sz w:val="22"/>
          <w:szCs w:val="22"/>
          <w:lang w:val="mi-NZ"/>
        </w:rPr>
        <w:t xml:space="preserve">Aotearoa’s public health system is being reformed to create a more equitable, accessible, cohesive and people-centred system to achieve better health outcomes for Māori and other groups, especially those who have not always been served well in the past. </w:t>
      </w:r>
    </w:p>
    <w:p w14:paraId="3B9B1656" w14:textId="77777777" w:rsidR="00310228" w:rsidRDefault="00310228" w:rsidP="00310228">
      <w:pPr>
        <w:pStyle w:val="ListParagraph"/>
        <w:rPr>
          <w:rFonts w:cstheme="minorHAnsi"/>
          <w:sz w:val="22"/>
          <w:szCs w:val="22"/>
          <w:lang w:val="en-NZ"/>
        </w:rPr>
      </w:pPr>
    </w:p>
    <w:p w14:paraId="461065C3" w14:textId="5D525BDD" w:rsidR="00E56A3C" w:rsidRPr="00E56A3C" w:rsidRDefault="00E56A3C" w:rsidP="00E56A3C">
      <w:pPr>
        <w:pStyle w:val="ListParagraph"/>
        <w:numPr>
          <w:ilvl w:val="0"/>
          <w:numId w:val="9"/>
        </w:numPr>
        <w:ind w:hanging="720"/>
        <w:rPr>
          <w:rFonts w:cstheme="minorHAnsi"/>
          <w:sz w:val="22"/>
          <w:szCs w:val="22"/>
          <w:lang w:val="en-NZ"/>
        </w:rPr>
      </w:pPr>
      <w:r w:rsidRPr="00E56A3C">
        <w:rPr>
          <w:rFonts w:cstheme="minorHAnsi"/>
          <w:sz w:val="22"/>
          <w:szCs w:val="22"/>
          <w:lang w:val="en-NZ"/>
        </w:rPr>
        <w:t>The reforms offer potential to address some long-standing inequities and shortfalls in access to healthcare, including:</w:t>
      </w:r>
    </w:p>
    <w:p w14:paraId="7E1CCAF2" w14:textId="77777777" w:rsidR="00E56A3C" w:rsidRPr="00E56A3C" w:rsidRDefault="00E56A3C" w:rsidP="00916EA3">
      <w:pPr>
        <w:pStyle w:val="ListParagraph"/>
        <w:numPr>
          <w:ilvl w:val="0"/>
          <w:numId w:val="30"/>
        </w:numPr>
        <w:rPr>
          <w:rFonts w:cstheme="minorHAnsi"/>
          <w:sz w:val="22"/>
          <w:szCs w:val="22"/>
          <w:lang w:val="en-NZ"/>
        </w:rPr>
      </w:pPr>
      <w:r w:rsidRPr="00E56A3C">
        <w:rPr>
          <w:rFonts w:cstheme="minorHAnsi"/>
          <w:sz w:val="22"/>
          <w:szCs w:val="22"/>
          <w:lang w:val="en-NZ"/>
        </w:rPr>
        <w:lastRenderedPageBreak/>
        <w:t>Infant, young child and maternal health care.</w:t>
      </w:r>
      <w:r w:rsidRPr="00E56A3C">
        <w:rPr>
          <w:rFonts w:cstheme="minorHAnsi"/>
          <w:sz w:val="22"/>
          <w:szCs w:val="22"/>
          <w:vertAlign w:val="superscript"/>
          <w:lang w:val="en-NZ"/>
        </w:rPr>
        <w:footnoteReference w:id="316"/>
      </w:r>
    </w:p>
    <w:p w14:paraId="31A28F57" w14:textId="77777777" w:rsidR="00E56A3C" w:rsidRPr="00E56A3C" w:rsidRDefault="00E56A3C" w:rsidP="00916EA3">
      <w:pPr>
        <w:pStyle w:val="ListParagraph"/>
        <w:numPr>
          <w:ilvl w:val="0"/>
          <w:numId w:val="30"/>
        </w:numPr>
        <w:rPr>
          <w:rFonts w:cstheme="minorHAnsi"/>
          <w:sz w:val="22"/>
          <w:szCs w:val="22"/>
          <w:lang w:val="en-NZ"/>
        </w:rPr>
      </w:pPr>
      <w:r w:rsidRPr="00E56A3C">
        <w:rPr>
          <w:rFonts w:cstheme="minorHAnsi"/>
          <w:sz w:val="22"/>
          <w:szCs w:val="22"/>
          <w:lang w:val="en-NZ"/>
        </w:rPr>
        <w:t>Children’s primary health care, specifically access to GPs.</w:t>
      </w:r>
      <w:r w:rsidRPr="00E56A3C">
        <w:rPr>
          <w:rFonts w:cstheme="minorHAnsi"/>
          <w:sz w:val="22"/>
          <w:szCs w:val="22"/>
          <w:vertAlign w:val="superscript"/>
          <w:lang w:val="en-NZ"/>
        </w:rPr>
        <w:footnoteReference w:id="317"/>
      </w:r>
    </w:p>
    <w:p w14:paraId="4461C5F6" w14:textId="77777777" w:rsidR="00E56A3C" w:rsidRPr="00E56A3C" w:rsidRDefault="00E56A3C" w:rsidP="00916EA3">
      <w:pPr>
        <w:pStyle w:val="ListParagraph"/>
        <w:numPr>
          <w:ilvl w:val="0"/>
          <w:numId w:val="30"/>
        </w:numPr>
        <w:rPr>
          <w:rFonts w:cstheme="minorHAnsi"/>
          <w:sz w:val="22"/>
          <w:szCs w:val="22"/>
          <w:lang w:val="en-NZ"/>
        </w:rPr>
      </w:pPr>
      <w:r w:rsidRPr="00E56A3C">
        <w:rPr>
          <w:rFonts w:cstheme="minorHAnsi"/>
          <w:sz w:val="22"/>
          <w:szCs w:val="22"/>
          <w:lang w:val="en-NZ"/>
        </w:rPr>
        <w:t>Child and adolescent mental health services.</w:t>
      </w:r>
      <w:r w:rsidRPr="00E56A3C">
        <w:rPr>
          <w:rFonts w:cstheme="minorHAnsi"/>
          <w:sz w:val="22"/>
          <w:szCs w:val="22"/>
          <w:vertAlign w:val="superscript"/>
          <w:lang w:val="en-NZ"/>
        </w:rPr>
        <w:footnoteReference w:id="318"/>
      </w:r>
    </w:p>
    <w:p w14:paraId="3740C8DE" w14:textId="77777777" w:rsidR="00723230" w:rsidRDefault="00723230" w:rsidP="00723230">
      <w:pPr>
        <w:pStyle w:val="ListParagraph"/>
        <w:rPr>
          <w:rFonts w:cstheme="minorHAnsi"/>
          <w:sz w:val="22"/>
          <w:szCs w:val="22"/>
          <w:lang w:val="mi-NZ"/>
        </w:rPr>
      </w:pPr>
    </w:p>
    <w:p w14:paraId="75F44189" w14:textId="01A1CCF7" w:rsidR="00E56A3C" w:rsidRPr="00310228" w:rsidRDefault="00E56A3C" w:rsidP="00E56A3C">
      <w:pPr>
        <w:pStyle w:val="ListParagraph"/>
        <w:numPr>
          <w:ilvl w:val="0"/>
          <w:numId w:val="9"/>
        </w:numPr>
        <w:ind w:hanging="720"/>
        <w:rPr>
          <w:rFonts w:cstheme="minorHAnsi"/>
          <w:sz w:val="22"/>
          <w:szCs w:val="22"/>
          <w:lang w:val="mi-NZ"/>
        </w:rPr>
      </w:pPr>
      <w:r w:rsidRPr="00E56A3C">
        <w:rPr>
          <w:rFonts w:cstheme="minorHAnsi"/>
          <w:sz w:val="22"/>
          <w:szCs w:val="22"/>
          <w:lang w:val="mi-NZ"/>
        </w:rPr>
        <w:t>It is critical that pēpē, tamariki and rangatahi are made visible and their specific health care needs are prioritised within the structural reform of the health sector.</w:t>
      </w:r>
      <w:r w:rsidRPr="00E56A3C">
        <w:rPr>
          <w:rFonts w:cstheme="minorHAnsi"/>
          <w:sz w:val="22"/>
          <w:szCs w:val="22"/>
          <w:vertAlign w:val="superscript"/>
          <w:lang w:val="mi-NZ"/>
        </w:rPr>
        <w:footnoteReference w:id="319"/>
      </w:r>
      <w:r w:rsidRPr="00E56A3C">
        <w:rPr>
          <w:rFonts w:cstheme="minorHAnsi"/>
          <w:sz w:val="22"/>
          <w:szCs w:val="22"/>
          <w:vertAlign w:val="superscript"/>
        </w:rPr>
        <w:t xml:space="preserve"> </w:t>
      </w:r>
      <w:r w:rsidRPr="00E56A3C">
        <w:rPr>
          <w:rFonts w:cstheme="minorHAnsi"/>
          <w:sz w:val="22"/>
          <w:szCs w:val="22"/>
          <w:vertAlign w:val="superscript"/>
        </w:rPr>
        <w:footnoteReference w:id="320"/>
      </w:r>
    </w:p>
    <w:p w14:paraId="5FC1BEE9" w14:textId="3EA5A37D" w:rsidR="00310228" w:rsidRPr="00310228" w:rsidRDefault="00310228" w:rsidP="00310228">
      <w:pPr>
        <w:pStyle w:val="IntenseQuote"/>
        <w:ind w:left="720"/>
        <w:jc w:val="left"/>
        <w:rPr>
          <w:b/>
          <w:bCs/>
          <w:i w:val="0"/>
          <w:iCs w:val="0"/>
          <w:sz w:val="24"/>
          <w:szCs w:val="24"/>
          <w:lang w:val="mi-NZ"/>
        </w:rPr>
      </w:pPr>
      <w:r w:rsidRPr="00310228">
        <w:rPr>
          <w:b/>
          <w:bCs/>
          <w:i w:val="0"/>
          <w:iCs w:val="0"/>
          <w:sz w:val="24"/>
          <w:szCs w:val="24"/>
          <w:lang w:val="mi-NZ"/>
        </w:rPr>
        <w:t>Recommendation</w:t>
      </w:r>
    </w:p>
    <w:p w14:paraId="26C5E516" w14:textId="77777777" w:rsidR="00310228" w:rsidRPr="00310228" w:rsidRDefault="00310228" w:rsidP="00916EA3">
      <w:pPr>
        <w:pStyle w:val="IntenseQuote"/>
        <w:numPr>
          <w:ilvl w:val="0"/>
          <w:numId w:val="11"/>
        </w:numPr>
        <w:jc w:val="left"/>
        <w:rPr>
          <w:i w:val="0"/>
          <w:iCs w:val="0"/>
          <w:sz w:val="22"/>
          <w:szCs w:val="22"/>
          <w:lang w:val="mi-NZ"/>
        </w:rPr>
      </w:pPr>
      <w:r w:rsidRPr="00310228">
        <w:rPr>
          <w:i w:val="0"/>
          <w:iCs w:val="0"/>
          <w:sz w:val="22"/>
          <w:szCs w:val="22"/>
          <w:lang w:val="mi-NZ"/>
        </w:rPr>
        <w:t>Prioritise children within the new health system and resource (funding and workforce) accordingly.</w:t>
      </w:r>
    </w:p>
    <w:p w14:paraId="4C536D55" w14:textId="77777777" w:rsidR="008A5F19" w:rsidRDefault="008A5F19" w:rsidP="008A5F19">
      <w:pPr>
        <w:pStyle w:val="Heading3"/>
        <w:rPr>
          <w:lang w:val="mi-NZ"/>
        </w:rPr>
      </w:pPr>
      <w:r w:rsidRPr="00E7687D">
        <w:rPr>
          <w:lang w:val="mi-NZ"/>
        </w:rPr>
        <w:t>Limited data on child health</w:t>
      </w:r>
    </w:p>
    <w:p w14:paraId="69741C19" w14:textId="77777777" w:rsidR="00310228" w:rsidRPr="00310228" w:rsidRDefault="00310228" w:rsidP="00310228">
      <w:pPr>
        <w:rPr>
          <w:rFonts w:cstheme="minorHAnsi"/>
          <w:sz w:val="22"/>
          <w:szCs w:val="22"/>
          <w:lang w:val="mi-NZ"/>
        </w:rPr>
      </w:pPr>
    </w:p>
    <w:p w14:paraId="56D7004A" w14:textId="64F7D7A2" w:rsidR="008A5F19" w:rsidRDefault="008A5F19" w:rsidP="008A5F19">
      <w:pPr>
        <w:pStyle w:val="ListParagraph"/>
        <w:numPr>
          <w:ilvl w:val="0"/>
          <w:numId w:val="9"/>
        </w:numPr>
        <w:ind w:hanging="720"/>
        <w:rPr>
          <w:rFonts w:cstheme="minorHAnsi"/>
          <w:sz w:val="22"/>
          <w:szCs w:val="22"/>
          <w:lang w:val="en-NZ"/>
        </w:rPr>
      </w:pPr>
      <w:r w:rsidRPr="008A5F19">
        <w:rPr>
          <w:rFonts w:cstheme="minorHAnsi"/>
          <w:sz w:val="22"/>
          <w:szCs w:val="22"/>
          <w:lang w:val="mi-NZ"/>
        </w:rPr>
        <w:t xml:space="preserve">There are gaps in the availability of data needed to measure and monitor the state of child health and </w:t>
      </w:r>
      <w:r w:rsidRPr="008A5F19">
        <w:rPr>
          <w:rFonts w:cstheme="minorHAnsi"/>
          <w:sz w:val="22"/>
          <w:szCs w:val="22"/>
          <w:lang w:val="en-NZ"/>
        </w:rPr>
        <w:t>groups of children at risk of experiencing health inequities. These include children with disabilities, children whose families are refugees or asylum seekers, children who are culturally or linguistically diverse, who are gender or sexually diverse, who live in out-of-home or state care, who live in rural or isolated areas, and children who are involved with the youth justice system.</w:t>
      </w:r>
      <w:r w:rsidRPr="008A5F19">
        <w:rPr>
          <w:rFonts w:cstheme="minorHAnsi"/>
          <w:sz w:val="22"/>
          <w:szCs w:val="22"/>
          <w:vertAlign w:val="superscript"/>
          <w:lang w:val="en-NZ"/>
        </w:rPr>
        <w:footnoteReference w:id="321"/>
      </w:r>
      <w:r w:rsidRPr="008A5F19">
        <w:rPr>
          <w:rFonts w:cstheme="minorHAnsi"/>
          <w:sz w:val="22"/>
          <w:szCs w:val="22"/>
          <w:lang w:val="en-NZ"/>
        </w:rPr>
        <w:t xml:space="preserve"> </w:t>
      </w:r>
    </w:p>
    <w:p w14:paraId="05757329" w14:textId="79776563" w:rsidR="008A5F19" w:rsidRPr="008A5F19" w:rsidRDefault="008A5F19" w:rsidP="008A5F19">
      <w:pPr>
        <w:pStyle w:val="IntenseQuote"/>
        <w:ind w:left="720"/>
        <w:jc w:val="left"/>
        <w:rPr>
          <w:b/>
          <w:bCs/>
          <w:i w:val="0"/>
          <w:iCs w:val="0"/>
          <w:sz w:val="24"/>
          <w:szCs w:val="24"/>
          <w:lang w:val="mi-NZ"/>
        </w:rPr>
      </w:pPr>
      <w:r w:rsidRPr="008A5F19">
        <w:rPr>
          <w:b/>
          <w:bCs/>
          <w:i w:val="0"/>
          <w:iCs w:val="0"/>
          <w:sz w:val="24"/>
          <w:szCs w:val="24"/>
          <w:lang w:val="mi-NZ"/>
        </w:rPr>
        <w:t>Recommendation</w:t>
      </w:r>
    </w:p>
    <w:p w14:paraId="05CFA0B9" w14:textId="77777777" w:rsidR="008A5F19" w:rsidRPr="008A5F19" w:rsidRDefault="008A5F19" w:rsidP="00916EA3">
      <w:pPr>
        <w:pStyle w:val="IntenseQuote"/>
        <w:numPr>
          <w:ilvl w:val="0"/>
          <w:numId w:val="11"/>
        </w:numPr>
        <w:jc w:val="left"/>
        <w:rPr>
          <w:i w:val="0"/>
          <w:iCs w:val="0"/>
          <w:sz w:val="22"/>
          <w:szCs w:val="22"/>
          <w:lang w:val="mi-NZ"/>
        </w:rPr>
      </w:pPr>
      <w:r w:rsidRPr="008A5F19">
        <w:rPr>
          <w:i w:val="0"/>
          <w:iCs w:val="0"/>
          <w:sz w:val="22"/>
          <w:szCs w:val="22"/>
          <w:lang w:val="mi-NZ"/>
        </w:rPr>
        <w:t xml:space="preserve">Improve national child health data to: </w:t>
      </w:r>
    </w:p>
    <w:p w14:paraId="09558EDC" w14:textId="77777777" w:rsidR="008A5F19" w:rsidRPr="00396054" w:rsidRDefault="008A5F19" w:rsidP="00723230">
      <w:pPr>
        <w:pStyle w:val="IntenseQuote"/>
        <w:numPr>
          <w:ilvl w:val="0"/>
          <w:numId w:val="54"/>
        </w:numPr>
        <w:jc w:val="left"/>
        <w:rPr>
          <w:i w:val="0"/>
          <w:iCs w:val="0"/>
          <w:sz w:val="22"/>
          <w:szCs w:val="22"/>
          <w:lang w:val="mi-NZ"/>
        </w:rPr>
      </w:pPr>
      <w:r w:rsidRPr="00396054">
        <w:rPr>
          <w:i w:val="0"/>
          <w:iCs w:val="0"/>
          <w:sz w:val="22"/>
          <w:szCs w:val="22"/>
          <w:lang w:val="mi-NZ"/>
        </w:rPr>
        <w:lastRenderedPageBreak/>
        <w:t>detect and address preventable risk factors;</w:t>
      </w:r>
    </w:p>
    <w:p w14:paraId="3256437F" w14:textId="77777777" w:rsidR="008A5F19" w:rsidRPr="00396054" w:rsidRDefault="008A5F19" w:rsidP="00723230">
      <w:pPr>
        <w:pStyle w:val="IntenseQuote"/>
        <w:numPr>
          <w:ilvl w:val="0"/>
          <w:numId w:val="54"/>
        </w:numPr>
        <w:jc w:val="left"/>
        <w:rPr>
          <w:i w:val="0"/>
          <w:iCs w:val="0"/>
          <w:sz w:val="22"/>
          <w:szCs w:val="22"/>
          <w:lang w:val="mi-NZ"/>
        </w:rPr>
      </w:pPr>
      <w:r w:rsidRPr="00396054">
        <w:rPr>
          <w:i w:val="0"/>
          <w:iCs w:val="0"/>
          <w:sz w:val="22"/>
          <w:szCs w:val="22"/>
          <w:lang w:val="mi-NZ"/>
        </w:rPr>
        <w:t xml:space="preserve">identify and better manage mild disease; </w:t>
      </w:r>
    </w:p>
    <w:p w14:paraId="3268341B" w14:textId="77777777" w:rsidR="008A5F19" w:rsidRPr="00396054" w:rsidRDefault="008A5F19" w:rsidP="00723230">
      <w:pPr>
        <w:pStyle w:val="IntenseQuote"/>
        <w:numPr>
          <w:ilvl w:val="0"/>
          <w:numId w:val="54"/>
        </w:numPr>
        <w:jc w:val="left"/>
        <w:rPr>
          <w:i w:val="0"/>
          <w:iCs w:val="0"/>
          <w:sz w:val="22"/>
          <w:szCs w:val="22"/>
          <w:lang w:val="mi-NZ"/>
        </w:rPr>
      </w:pPr>
      <w:r w:rsidRPr="00396054">
        <w:rPr>
          <w:i w:val="0"/>
          <w:iCs w:val="0"/>
          <w:sz w:val="22"/>
          <w:szCs w:val="22"/>
          <w:lang w:val="mi-NZ"/>
        </w:rPr>
        <w:t>enable better evaluation and monitoring of healthcare interventions.</w:t>
      </w:r>
    </w:p>
    <w:p w14:paraId="4C23119E" w14:textId="77777777" w:rsidR="008A5F19" w:rsidRPr="008A5F19" w:rsidRDefault="008A5F19" w:rsidP="008A5F19">
      <w:pPr>
        <w:pStyle w:val="Heading3"/>
      </w:pPr>
      <w:r w:rsidRPr="008A5F19">
        <w:t>Mental health and wellbeing</w:t>
      </w:r>
    </w:p>
    <w:p w14:paraId="13183C71" w14:textId="77777777" w:rsidR="008A5F19" w:rsidRPr="008A5F19" w:rsidRDefault="008A5F19" w:rsidP="008A5F19">
      <w:pPr>
        <w:rPr>
          <w:rFonts w:cstheme="minorHAnsi"/>
          <w:sz w:val="22"/>
          <w:szCs w:val="22"/>
          <w:lang w:val="en-NZ"/>
        </w:rPr>
      </w:pPr>
    </w:p>
    <w:p w14:paraId="6ABA29D6" w14:textId="458C5C51" w:rsidR="008A5F19" w:rsidRDefault="008A5F19" w:rsidP="008A5F19">
      <w:pPr>
        <w:pStyle w:val="ListParagraph"/>
        <w:numPr>
          <w:ilvl w:val="0"/>
          <w:numId w:val="9"/>
        </w:numPr>
        <w:ind w:hanging="720"/>
        <w:rPr>
          <w:rFonts w:cstheme="minorHAnsi"/>
          <w:sz w:val="22"/>
          <w:szCs w:val="22"/>
          <w:lang w:val="en-NZ"/>
        </w:rPr>
      </w:pPr>
      <w:r w:rsidRPr="008A5F19">
        <w:rPr>
          <w:rFonts w:cstheme="minorHAnsi"/>
          <w:sz w:val="22"/>
          <w:szCs w:val="22"/>
          <w:lang w:val="en-NZ"/>
        </w:rPr>
        <w:t>Youth19 survey data shows that most secondary school students are happy or satisfied with their lives, have good wellbeing and are not depressed. However:</w:t>
      </w:r>
    </w:p>
    <w:p w14:paraId="34BE587B" w14:textId="77777777" w:rsidR="00396054" w:rsidRPr="008A5F19" w:rsidRDefault="00396054" w:rsidP="00396054">
      <w:pPr>
        <w:pStyle w:val="ListParagraph"/>
        <w:rPr>
          <w:rFonts w:cstheme="minorHAnsi"/>
          <w:sz w:val="22"/>
          <w:szCs w:val="22"/>
          <w:lang w:val="en-NZ"/>
        </w:rPr>
      </w:pPr>
    </w:p>
    <w:p w14:paraId="02E3D83A" w14:textId="44219491" w:rsidR="008A5F19" w:rsidRPr="008A5F19" w:rsidRDefault="008A5F19" w:rsidP="00916EA3">
      <w:pPr>
        <w:pStyle w:val="ListParagraph"/>
        <w:numPr>
          <w:ilvl w:val="0"/>
          <w:numId w:val="32"/>
        </w:numPr>
        <w:rPr>
          <w:rFonts w:cstheme="minorHAnsi"/>
          <w:sz w:val="22"/>
          <w:szCs w:val="22"/>
          <w:lang w:val="en-NZ"/>
        </w:rPr>
      </w:pPr>
      <w:r w:rsidRPr="008A5F19">
        <w:rPr>
          <w:rFonts w:cstheme="minorHAnsi"/>
          <w:sz w:val="22"/>
          <w:szCs w:val="22"/>
          <w:lang w:val="en-NZ"/>
        </w:rPr>
        <w:t>A large number reported high levels of distress, with symptoms of depression</w:t>
      </w:r>
      <w:r>
        <w:rPr>
          <w:rFonts w:cstheme="minorHAnsi"/>
          <w:sz w:val="22"/>
          <w:szCs w:val="22"/>
          <w:lang w:val="en-NZ"/>
        </w:rPr>
        <w:t xml:space="preserve"> </w:t>
      </w:r>
      <w:r w:rsidRPr="008A5F19">
        <w:rPr>
          <w:rFonts w:cstheme="minorHAnsi"/>
          <w:sz w:val="22"/>
          <w:szCs w:val="22"/>
          <w:lang w:val="en-NZ"/>
        </w:rPr>
        <w:t>generally particularly high among female students.</w:t>
      </w:r>
    </w:p>
    <w:p w14:paraId="79EAE89B" w14:textId="77777777" w:rsidR="008A5F19" w:rsidRPr="008A5F19" w:rsidRDefault="008A5F19" w:rsidP="00916EA3">
      <w:pPr>
        <w:pStyle w:val="ListParagraph"/>
        <w:numPr>
          <w:ilvl w:val="0"/>
          <w:numId w:val="32"/>
        </w:numPr>
        <w:rPr>
          <w:rFonts w:cstheme="minorHAnsi"/>
          <w:sz w:val="22"/>
          <w:szCs w:val="22"/>
          <w:lang w:val="en-NZ"/>
        </w:rPr>
      </w:pPr>
      <w:r w:rsidRPr="008A5F19">
        <w:rPr>
          <w:rFonts w:cstheme="minorHAnsi"/>
          <w:sz w:val="22"/>
          <w:szCs w:val="22"/>
          <w:lang w:val="en-NZ"/>
        </w:rPr>
        <w:t>Youth emotional and mental health appears to have worsened compared to previous Youth2000 surveys in 2001, 2007 and 2012, with most of this change occurring since 2012.</w:t>
      </w:r>
    </w:p>
    <w:p w14:paraId="43EA83B6" w14:textId="77777777" w:rsidR="008A5F19" w:rsidRPr="008A5F19" w:rsidRDefault="008A5F19" w:rsidP="00916EA3">
      <w:pPr>
        <w:pStyle w:val="ListParagraph"/>
        <w:numPr>
          <w:ilvl w:val="0"/>
          <w:numId w:val="32"/>
        </w:numPr>
        <w:rPr>
          <w:rFonts w:cstheme="minorHAnsi"/>
          <w:sz w:val="22"/>
          <w:szCs w:val="22"/>
          <w:lang w:val="en-NZ"/>
        </w:rPr>
      </w:pPr>
      <w:r w:rsidRPr="008A5F19">
        <w:rPr>
          <w:rFonts w:cstheme="minorHAnsi"/>
          <w:sz w:val="22"/>
          <w:szCs w:val="22"/>
          <w:lang w:val="en-NZ"/>
        </w:rPr>
        <w:t xml:space="preserve">There is persistent and growing mental health inequity between </w:t>
      </w:r>
      <w:proofErr w:type="spellStart"/>
      <w:r w:rsidRPr="008A5F19">
        <w:rPr>
          <w:rFonts w:cstheme="minorHAnsi"/>
          <w:sz w:val="22"/>
          <w:szCs w:val="22"/>
          <w:lang w:val="en-NZ"/>
        </w:rPr>
        <w:t>Ma</w:t>
      </w:r>
      <w:r w:rsidRPr="008A5F19">
        <w:rPr>
          <w:rFonts w:ascii="Arial" w:hAnsi="Arial" w:cs="Arial"/>
          <w:sz w:val="22"/>
          <w:szCs w:val="22"/>
          <w:lang w:val="en-NZ"/>
        </w:rPr>
        <w:t>̄</w:t>
      </w:r>
      <w:r w:rsidRPr="008A5F19">
        <w:rPr>
          <w:rFonts w:cstheme="minorHAnsi"/>
          <w:sz w:val="22"/>
          <w:szCs w:val="22"/>
          <w:lang w:val="en-NZ"/>
        </w:rPr>
        <w:t>ori</w:t>
      </w:r>
      <w:proofErr w:type="spellEnd"/>
      <w:r w:rsidRPr="008A5F19">
        <w:rPr>
          <w:rFonts w:cstheme="minorHAnsi"/>
          <w:sz w:val="22"/>
          <w:szCs w:val="22"/>
          <w:lang w:val="en-NZ"/>
        </w:rPr>
        <w:t xml:space="preserve"> and other ethnic groups. </w:t>
      </w:r>
    </w:p>
    <w:p w14:paraId="16CBC233" w14:textId="77777777" w:rsidR="008A5F19" w:rsidRPr="008A5F19" w:rsidRDefault="008A5F19" w:rsidP="00916EA3">
      <w:pPr>
        <w:pStyle w:val="ListParagraph"/>
        <w:numPr>
          <w:ilvl w:val="0"/>
          <w:numId w:val="32"/>
        </w:numPr>
        <w:rPr>
          <w:rFonts w:cstheme="minorHAnsi"/>
          <w:sz w:val="22"/>
          <w:szCs w:val="22"/>
          <w:lang w:val="en-NZ"/>
        </w:rPr>
      </w:pPr>
      <w:r w:rsidRPr="008A5F19">
        <w:rPr>
          <w:rFonts w:cstheme="minorHAnsi"/>
          <w:sz w:val="22"/>
          <w:szCs w:val="22"/>
          <w:lang w:val="en-NZ"/>
        </w:rPr>
        <w:t xml:space="preserve">Socioeconomic deprivation is important, with symptoms of depression and rates of suicide attempts generally higher among those living in lower income communities. </w:t>
      </w:r>
    </w:p>
    <w:p w14:paraId="21E5D347" w14:textId="05554459" w:rsidR="008A5F19" w:rsidRPr="008A5F19" w:rsidRDefault="008A5F19" w:rsidP="00916EA3">
      <w:pPr>
        <w:pStyle w:val="ListParagraph"/>
        <w:numPr>
          <w:ilvl w:val="0"/>
          <w:numId w:val="32"/>
        </w:numPr>
        <w:rPr>
          <w:rFonts w:cstheme="minorHAnsi"/>
          <w:sz w:val="22"/>
          <w:szCs w:val="22"/>
          <w:lang w:val="mi-NZ"/>
        </w:rPr>
      </w:pPr>
      <w:r w:rsidRPr="008A5F19">
        <w:rPr>
          <w:rFonts w:cstheme="minorHAnsi"/>
          <w:sz w:val="22"/>
          <w:szCs w:val="22"/>
          <w:lang w:val="en-NZ"/>
        </w:rPr>
        <w:t>Rainbow youth are more like to be negatively affected by poor mental health and wellbeing outcomes, higher rates of depression, self-harm attempts, exclusion and suicide.</w:t>
      </w:r>
      <w:r w:rsidRPr="008A5F19">
        <w:rPr>
          <w:rFonts w:cstheme="minorHAnsi"/>
          <w:sz w:val="22"/>
          <w:szCs w:val="22"/>
          <w:vertAlign w:val="superscript"/>
          <w:lang w:val="en-NZ"/>
        </w:rPr>
        <w:footnoteReference w:id="322"/>
      </w:r>
      <w:r w:rsidRPr="008A5F19">
        <w:rPr>
          <w:rFonts w:cstheme="minorHAnsi"/>
          <w:sz w:val="22"/>
          <w:szCs w:val="22"/>
          <w:lang w:val="en-NZ"/>
        </w:rPr>
        <w:t xml:space="preserve"> </w:t>
      </w:r>
    </w:p>
    <w:p w14:paraId="4D88CEC7" w14:textId="77777777" w:rsidR="008A5F19" w:rsidRDefault="008A5F19" w:rsidP="008A5F19">
      <w:pPr>
        <w:pStyle w:val="ListParagraph"/>
        <w:rPr>
          <w:rFonts w:cstheme="minorHAnsi"/>
          <w:sz w:val="22"/>
          <w:szCs w:val="22"/>
          <w:lang w:val="mi-NZ"/>
        </w:rPr>
      </w:pPr>
    </w:p>
    <w:p w14:paraId="08E71FD7" w14:textId="574D5A2A" w:rsidR="008A5F19" w:rsidRPr="008A5F19" w:rsidRDefault="008A5F19" w:rsidP="008A5F19">
      <w:pPr>
        <w:pStyle w:val="ListParagraph"/>
        <w:numPr>
          <w:ilvl w:val="0"/>
          <w:numId w:val="9"/>
        </w:numPr>
        <w:ind w:hanging="720"/>
        <w:rPr>
          <w:rFonts w:cstheme="minorHAnsi"/>
          <w:sz w:val="22"/>
          <w:szCs w:val="22"/>
          <w:lang w:val="mi-NZ"/>
        </w:rPr>
      </w:pPr>
      <w:r w:rsidRPr="008A5F19">
        <w:rPr>
          <w:rFonts w:cstheme="minorHAnsi"/>
          <w:sz w:val="22"/>
          <w:szCs w:val="22"/>
          <w:lang w:val="mi-NZ"/>
        </w:rPr>
        <w:t>Those working in the child and youth mental health report a number of concerning issues:</w:t>
      </w:r>
    </w:p>
    <w:p w14:paraId="25BD34CD" w14:textId="77777777" w:rsidR="008A5F19" w:rsidRPr="008A5F19" w:rsidRDefault="008A5F19" w:rsidP="00916EA3">
      <w:pPr>
        <w:pStyle w:val="ListParagraph"/>
        <w:numPr>
          <w:ilvl w:val="0"/>
          <w:numId w:val="31"/>
        </w:numPr>
        <w:rPr>
          <w:rFonts w:cstheme="minorHAnsi"/>
          <w:sz w:val="22"/>
          <w:szCs w:val="22"/>
          <w:lang w:val="mi-NZ"/>
        </w:rPr>
      </w:pPr>
      <w:r w:rsidRPr="008A5F19">
        <w:rPr>
          <w:rFonts w:cstheme="minorHAnsi"/>
          <w:sz w:val="22"/>
          <w:szCs w:val="22"/>
          <w:lang w:val="mi-NZ"/>
        </w:rPr>
        <w:t>Increased suicidality presentation, by younger age groups and with increasingly sophisticated planning.</w:t>
      </w:r>
      <w:r w:rsidRPr="008A5F19">
        <w:rPr>
          <w:rFonts w:cstheme="minorHAnsi"/>
          <w:sz w:val="22"/>
          <w:szCs w:val="22"/>
          <w:vertAlign w:val="superscript"/>
          <w:lang w:val="mi-NZ"/>
        </w:rPr>
        <w:footnoteReference w:id="323"/>
      </w:r>
    </w:p>
    <w:p w14:paraId="669F7111" w14:textId="77777777" w:rsidR="008A5F19" w:rsidRPr="008A5F19" w:rsidRDefault="008A5F19" w:rsidP="00916EA3">
      <w:pPr>
        <w:pStyle w:val="ListParagraph"/>
        <w:numPr>
          <w:ilvl w:val="0"/>
          <w:numId w:val="31"/>
        </w:numPr>
        <w:rPr>
          <w:rFonts w:cstheme="minorHAnsi"/>
          <w:sz w:val="22"/>
          <w:szCs w:val="22"/>
          <w:lang w:val="mi-NZ"/>
        </w:rPr>
      </w:pPr>
      <w:r w:rsidRPr="008A5F19">
        <w:rPr>
          <w:rFonts w:cstheme="minorHAnsi"/>
          <w:sz w:val="22"/>
          <w:szCs w:val="22"/>
          <w:lang w:val="mi-NZ"/>
        </w:rPr>
        <w:t>Increased complexity of risk and support needs together with reduced service capacity. There is an urgent need for increased capacity, especially of crisis/specialist services.</w:t>
      </w:r>
    </w:p>
    <w:p w14:paraId="6531FAA3" w14:textId="65007F96" w:rsidR="008A5F19" w:rsidRPr="008A5F19" w:rsidRDefault="008A5F19" w:rsidP="00916EA3">
      <w:pPr>
        <w:pStyle w:val="ListParagraph"/>
        <w:numPr>
          <w:ilvl w:val="0"/>
          <w:numId w:val="31"/>
        </w:numPr>
        <w:rPr>
          <w:rFonts w:cstheme="minorHAnsi"/>
          <w:sz w:val="22"/>
          <w:szCs w:val="22"/>
          <w:lang w:val="mi-NZ"/>
        </w:rPr>
      </w:pPr>
      <w:r w:rsidRPr="008A5F19">
        <w:rPr>
          <w:rFonts w:cstheme="minorHAnsi"/>
          <w:sz w:val="22"/>
          <w:szCs w:val="22"/>
          <w:lang w:val="mi-NZ"/>
        </w:rPr>
        <w:t>Large gaps in the mental health services available with long wait times for access.</w:t>
      </w:r>
    </w:p>
    <w:p w14:paraId="51D08D57" w14:textId="14719A1D" w:rsidR="008A5F19" w:rsidRPr="008A5F19" w:rsidRDefault="008A5F19" w:rsidP="00916EA3">
      <w:pPr>
        <w:pStyle w:val="ListParagraph"/>
        <w:numPr>
          <w:ilvl w:val="0"/>
          <w:numId w:val="31"/>
        </w:numPr>
        <w:rPr>
          <w:rFonts w:cstheme="minorHAnsi"/>
          <w:sz w:val="22"/>
          <w:szCs w:val="22"/>
          <w:lang w:val="mi-NZ"/>
        </w:rPr>
      </w:pPr>
      <w:r w:rsidRPr="008A5F19">
        <w:rPr>
          <w:rFonts w:cstheme="minorHAnsi"/>
          <w:sz w:val="22"/>
          <w:szCs w:val="22"/>
          <w:lang w:val="mi-NZ"/>
        </w:rPr>
        <w:lastRenderedPageBreak/>
        <w:t xml:space="preserve">Regional variances in the services available and different ways of working across teams. It can be hard for children and their families and </w:t>
      </w:r>
      <w:proofErr w:type="spellStart"/>
      <w:r w:rsidRPr="008A5F19">
        <w:rPr>
          <w:rFonts w:cstheme="minorHAnsi"/>
          <w:sz w:val="22"/>
          <w:szCs w:val="22"/>
          <w:lang w:val="en-NZ"/>
        </w:rPr>
        <w:t>whānau</w:t>
      </w:r>
      <w:proofErr w:type="spellEnd"/>
      <w:r w:rsidRPr="008A5F19">
        <w:rPr>
          <w:rFonts w:cstheme="minorHAnsi"/>
          <w:sz w:val="22"/>
          <w:szCs w:val="22"/>
          <w:lang w:val="mi-NZ"/>
        </w:rPr>
        <w:t xml:space="preserve"> to navigate the system. </w:t>
      </w:r>
    </w:p>
    <w:p w14:paraId="48CB1CF8" w14:textId="77777777" w:rsidR="008A5F19" w:rsidRPr="008A5F19" w:rsidRDefault="008A5F19" w:rsidP="00916EA3">
      <w:pPr>
        <w:pStyle w:val="ListParagraph"/>
        <w:numPr>
          <w:ilvl w:val="0"/>
          <w:numId w:val="31"/>
        </w:numPr>
        <w:rPr>
          <w:rFonts w:cstheme="minorHAnsi"/>
          <w:sz w:val="22"/>
          <w:szCs w:val="22"/>
          <w:lang w:val="mi-NZ"/>
        </w:rPr>
      </w:pPr>
      <w:r w:rsidRPr="008A5F19">
        <w:rPr>
          <w:rFonts w:cstheme="minorHAnsi"/>
          <w:sz w:val="22"/>
          <w:szCs w:val="22"/>
          <w:lang w:val="mi-NZ"/>
        </w:rPr>
        <w:t xml:space="preserve">The need to build knowledge about mental health amongst children and their families and </w:t>
      </w:r>
      <w:proofErr w:type="spellStart"/>
      <w:r w:rsidRPr="008A5F19">
        <w:rPr>
          <w:rFonts w:cstheme="minorHAnsi"/>
          <w:sz w:val="22"/>
          <w:szCs w:val="22"/>
          <w:lang w:val="en-NZ"/>
        </w:rPr>
        <w:t>whānau</w:t>
      </w:r>
      <w:proofErr w:type="spellEnd"/>
      <w:r w:rsidRPr="008A5F19">
        <w:rPr>
          <w:rFonts w:cstheme="minorHAnsi"/>
          <w:sz w:val="22"/>
          <w:szCs w:val="22"/>
          <w:lang w:val="mi-NZ"/>
        </w:rPr>
        <w:t>, including more education to help prevent children reaching crisis.</w:t>
      </w:r>
      <w:r w:rsidRPr="008A5F19">
        <w:rPr>
          <w:rFonts w:cstheme="minorHAnsi"/>
          <w:sz w:val="22"/>
          <w:szCs w:val="22"/>
          <w:vertAlign w:val="superscript"/>
          <w:lang w:val="mi-NZ"/>
        </w:rPr>
        <w:footnoteReference w:id="324"/>
      </w:r>
    </w:p>
    <w:p w14:paraId="3323322F" w14:textId="332BBFC2" w:rsidR="008A5F19" w:rsidRPr="00E81C92" w:rsidRDefault="008A5F19" w:rsidP="00916EA3">
      <w:pPr>
        <w:pStyle w:val="ListParagraph"/>
        <w:numPr>
          <w:ilvl w:val="0"/>
          <w:numId w:val="31"/>
        </w:numPr>
        <w:rPr>
          <w:rFonts w:cstheme="minorHAnsi"/>
          <w:sz w:val="22"/>
          <w:szCs w:val="22"/>
          <w:lang w:val="mi-NZ"/>
        </w:rPr>
      </w:pPr>
      <w:r w:rsidRPr="00E81C92">
        <w:rPr>
          <w:rFonts w:cstheme="minorHAnsi"/>
          <w:sz w:val="22"/>
          <w:szCs w:val="22"/>
          <w:lang w:val="mi-NZ"/>
        </w:rPr>
        <w:t>Limited availability of child and youth specific services.</w:t>
      </w:r>
      <w:r w:rsidRPr="00E81C92">
        <w:rPr>
          <w:rFonts w:cstheme="minorHAnsi"/>
          <w:sz w:val="22"/>
          <w:szCs w:val="22"/>
          <w:vertAlign w:val="superscript"/>
          <w:lang w:val="mi-NZ"/>
        </w:rPr>
        <w:footnoteReference w:id="325"/>
      </w:r>
      <w:r w:rsidRPr="00E81C92">
        <w:rPr>
          <w:rFonts w:cstheme="minorHAnsi"/>
          <w:sz w:val="22"/>
          <w:szCs w:val="22"/>
          <w:lang w:val="mi-NZ"/>
        </w:rPr>
        <w:t xml:space="preserve">  </w:t>
      </w:r>
    </w:p>
    <w:p w14:paraId="1C4E12DB" w14:textId="72968E26" w:rsidR="00E81C92" w:rsidRPr="00E81C92" w:rsidRDefault="00E81C92" w:rsidP="00E81C92">
      <w:pPr>
        <w:pStyle w:val="ListParagraph"/>
        <w:numPr>
          <w:ilvl w:val="0"/>
          <w:numId w:val="31"/>
        </w:numPr>
        <w:rPr>
          <w:rFonts w:cstheme="minorHAnsi"/>
          <w:sz w:val="22"/>
          <w:szCs w:val="22"/>
          <w:lang w:val="mi-NZ"/>
        </w:rPr>
      </w:pPr>
      <w:r>
        <w:rPr>
          <w:rFonts w:cstheme="minorHAnsi"/>
          <w:sz w:val="22"/>
          <w:szCs w:val="22"/>
          <w:lang w:val="mi-NZ"/>
        </w:rPr>
        <w:t>Some c</w:t>
      </w:r>
      <w:r w:rsidRPr="00E81C92">
        <w:rPr>
          <w:rFonts w:cstheme="minorHAnsi"/>
          <w:sz w:val="22"/>
          <w:szCs w:val="22"/>
          <w:lang w:val="mi-NZ"/>
        </w:rPr>
        <w:t>hildren are prevented from acessing counselling or therapy in relation to their experiences of violence and abuse by either their abusive parent using guardianship rights to withhold consent, or Family Court orders.</w:t>
      </w:r>
      <w:r w:rsidRPr="00E81C92">
        <w:rPr>
          <w:rFonts w:cstheme="minorHAnsi"/>
          <w:sz w:val="22"/>
          <w:szCs w:val="22"/>
          <w:vertAlign w:val="superscript"/>
          <w:lang w:val="mi-NZ"/>
        </w:rPr>
        <w:footnoteReference w:id="326"/>
      </w:r>
    </w:p>
    <w:p w14:paraId="00DC096C" w14:textId="77777777" w:rsidR="00E81C92" w:rsidRPr="008A5F19" w:rsidRDefault="00E81C92" w:rsidP="00E81C92">
      <w:pPr>
        <w:pStyle w:val="ListParagraph"/>
        <w:ind w:left="1080"/>
        <w:rPr>
          <w:rFonts w:cstheme="minorHAnsi"/>
          <w:sz w:val="22"/>
          <w:szCs w:val="22"/>
          <w:lang w:val="mi-NZ"/>
        </w:rPr>
      </w:pPr>
    </w:p>
    <w:p w14:paraId="516A0B3F" w14:textId="77777777" w:rsidR="008A5F19" w:rsidRPr="008A5F19" w:rsidRDefault="008A5F19" w:rsidP="008A5F19">
      <w:pPr>
        <w:pStyle w:val="ListParagraph"/>
        <w:rPr>
          <w:rFonts w:cstheme="minorHAnsi"/>
          <w:sz w:val="22"/>
          <w:szCs w:val="22"/>
          <w:lang w:val="mi-NZ"/>
        </w:rPr>
      </w:pPr>
    </w:p>
    <w:p w14:paraId="6C3E4959" w14:textId="2E30E993" w:rsidR="008A5F19" w:rsidRDefault="008A5F19" w:rsidP="008A5F19">
      <w:pPr>
        <w:pStyle w:val="ListParagraph"/>
        <w:numPr>
          <w:ilvl w:val="0"/>
          <w:numId w:val="9"/>
        </w:numPr>
        <w:ind w:hanging="720"/>
        <w:rPr>
          <w:rFonts w:cstheme="minorHAnsi"/>
          <w:sz w:val="22"/>
          <w:szCs w:val="22"/>
        </w:rPr>
      </w:pPr>
      <w:r w:rsidRPr="008A5F19">
        <w:rPr>
          <w:rFonts w:cstheme="minorHAnsi"/>
          <w:sz w:val="22"/>
          <w:szCs w:val="22"/>
        </w:rPr>
        <w:t>Calls to What’s Up</w:t>
      </w:r>
      <w:r w:rsidRPr="008A5F19">
        <w:rPr>
          <w:rFonts w:cstheme="minorHAnsi"/>
          <w:sz w:val="22"/>
          <w:szCs w:val="22"/>
          <w:vertAlign w:val="superscript"/>
        </w:rPr>
        <w:footnoteReference w:id="327"/>
      </w:r>
      <w:r w:rsidRPr="008A5F19">
        <w:rPr>
          <w:rFonts w:cstheme="minorHAnsi"/>
          <w:sz w:val="22"/>
          <w:szCs w:val="22"/>
        </w:rPr>
        <w:t xml:space="preserve"> over the last three years (2019/20 – 2021/22) have shown a continued high number of calls relating to mental distress, anxiety, mental health, suicide ideation, bullying, family relationships, and partner and peer relationships. During the year to December 2021, What’s Up were contacted 23,846 times during opening hours; a 46% increase compared to the previous year.</w:t>
      </w:r>
      <w:r w:rsidRPr="008A5F19">
        <w:rPr>
          <w:rFonts w:cstheme="minorHAnsi"/>
          <w:sz w:val="22"/>
          <w:szCs w:val="22"/>
          <w:vertAlign w:val="superscript"/>
        </w:rPr>
        <w:footnoteReference w:id="328"/>
      </w:r>
      <w:r w:rsidRPr="008A5F19">
        <w:rPr>
          <w:rFonts w:cstheme="minorHAnsi"/>
          <w:sz w:val="22"/>
          <w:szCs w:val="22"/>
        </w:rPr>
        <w:t xml:space="preserve"> </w:t>
      </w:r>
    </w:p>
    <w:p w14:paraId="0CFC1A7C" w14:textId="15AEDF15" w:rsidR="00DE3F8F" w:rsidRPr="00DE3F8F" w:rsidRDefault="00DE3F8F" w:rsidP="00DE3F8F">
      <w:pPr>
        <w:pStyle w:val="IntenseQuote"/>
        <w:ind w:left="720"/>
        <w:jc w:val="left"/>
        <w:rPr>
          <w:b/>
          <w:bCs/>
          <w:i w:val="0"/>
          <w:iCs w:val="0"/>
          <w:sz w:val="24"/>
          <w:szCs w:val="24"/>
          <w:lang w:val="mi-NZ"/>
        </w:rPr>
      </w:pPr>
      <w:r w:rsidRPr="00DE3F8F">
        <w:rPr>
          <w:b/>
          <w:bCs/>
          <w:i w:val="0"/>
          <w:iCs w:val="0"/>
          <w:sz w:val="24"/>
          <w:szCs w:val="24"/>
          <w:lang w:val="mi-NZ"/>
        </w:rPr>
        <w:t>Recommendations</w:t>
      </w:r>
    </w:p>
    <w:p w14:paraId="3E90C0E4" w14:textId="77777777" w:rsidR="00DE3F8F" w:rsidRPr="00DE3F8F" w:rsidRDefault="00DE3F8F" w:rsidP="00916EA3">
      <w:pPr>
        <w:pStyle w:val="IntenseQuote"/>
        <w:numPr>
          <w:ilvl w:val="0"/>
          <w:numId w:val="23"/>
        </w:numPr>
        <w:jc w:val="left"/>
        <w:rPr>
          <w:sz w:val="22"/>
          <w:szCs w:val="22"/>
          <w:lang w:val="mi-NZ"/>
        </w:rPr>
      </w:pPr>
      <w:r w:rsidRPr="00DE3F8F">
        <w:rPr>
          <w:i w:val="0"/>
          <w:iCs w:val="0"/>
          <w:sz w:val="22"/>
          <w:szCs w:val="22"/>
          <w:lang w:val="mi-NZ"/>
        </w:rPr>
        <w:t>Urgently prioritise and uphold children’s rights to mental health and wellbeing, including by:</w:t>
      </w:r>
    </w:p>
    <w:p w14:paraId="5244CD5C" w14:textId="78EBAD4D" w:rsidR="00DE3F8F" w:rsidRPr="00396054" w:rsidRDefault="00DE3F8F" w:rsidP="00916EA3">
      <w:pPr>
        <w:pStyle w:val="IntenseQuote"/>
        <w:numPr>
          <w:ilvl w:val="0"/>
          <w:numId w:val="34"/>
        </w:numPr>
        <w:jc w:val="left"/>
        <w:rPr>
          <w:i w:val="0"/>
          <w:iCs w:val="0"/>
          <w:sz w:val="22"/>
          <w:szCs w:val="22"/>
          <w:lang w:val="mi-NZ"/>
        </w:rPr>
      </w:pPr>
      <w:r w:rsidRPr="00396054">
        <w:rPr>
          <w:i w:val="0"/>
          <w:iCs w:val="0"/>
          <w:sz w:val="22"/>
          <w:szCs w:val="22"/>
          <w:lang w:val="mi-NZ"/>
        </w:rPr>
        <w:t>Embedding a children’s-rights approach</w:t>
      </w:r>
      <w:r w:rsidRPr="00396054">
        <w:rPr>
          <w:rFonts w:cstheme="minorHAnsi"/>
          <w:i w:val="0"/>
          <w:iCs w:val="0"/>
          <w:color w:val="00AE6D" w:themeColor="accent6"/>
          <w:sz w:val="22"/>
          <w:szCs w:val="22"/>
          <w:vertAlign w:val="superscript"/>
          <w:lang w:val="mi-NZ"/>
        </w:rPr>
        <w:footnoteReference w:id="329"/>
      </w:r>
      <w:r w:rsidRPr="00396054">
        <w:rPr>
          <w:i w:val="0"/>
          <w:iCs w:val="0"/>
          <w:sz w:val="22"/>
          <w:szCs w:val="22"/>
          <w:lang w:val="mi-NZ"/>
        </w:rPr>
        <w:t xml:space="preserve"> across Government, to ensure co-ordination and to address preventable risk factors such</w:t>
      </w:r>
      <w:r w:rsidRPr="00DE3F8F">
        <w:rPr>
          <w:sz w:val="22"/>
          <w:szCs w:val="22"/>
          <w:lang w:val="mi-NZ"/>
        </w:rPr>
        <w:t xml:space="preserve"> </w:t>
      </w:r>
      <w:r w:rsidRPr="00396054">
        <w:rPr>
          <w:i w:val="0"/>
          <w:iCs w:val="0"/>
          <w:sz w:val="22"/>
          <w:szCs w:val="22"/>
          <w:lang w:val="mi-NZ"/>
        </w:rPr>
        <w:lastRenderedPageBreak/>
        <w:t>as inadequate standards of living (especially income, housing and nutritious food) and climate change.</w:t>
      </w:r>
    </w:p>
    <w:p w14:paraId="348716CB" w14:textId="77777777" w:rsidR="00DE3F8F" w:rsidRPr="00396054" w:rsidRDefault="00DE3F8F" w:rsidP="00916EA3">
      <w:pPr>
        <w:pStyle w:val="IntenseQuote"/>
        <w:numPr>
          <w:ilvl w:val="0"/>
          <w:numId w:val="34"/>
        </w:numPr>
        <w:jc w:val="left"/>
        <w:rPr>
          <w:i w:val="0"/>
          <w:iCs w:val="0"/>
          <w:sz w:val="22"/>
          <w:szCs w:val="22"/>
          <w:lang w:val="mi-NZ"/>
        </w:rPr>
      </w:pPr>
      <w:r w:rsidRPr="00396054">
        <w:rPr>
          <w:i w:val="0"/>
          <w:iCs w:val="0"/>
          <w:sz w:val="22"/>
          <w:szCs w:val="22"/>
          <w:lang w:val="mi-NZ"/>
        </w:rPr>
        <w:t>Ensuring a focus on children’s mental health within the Mental Health and Wellbeing Commission, the Suicide Prevention Office, and implementation of the Every Life Matters Strategy and Action Plan, and resourcing accordingly (funding and workforce).</w:t>
      </w:r>
    </w:p>
    <w:p w14:paraId="3D823174" w14:textId="77777777" w:rsidR="00DE3F8F" w:rsidRPr="00396054" w:rsidRDefault="00DE3F8F" w:rsidP="00916EA3">
      <w:pPr>
        <w:pStyle w:val="IntenseQuote"/>
        <w:numPr>
          <w:ilvl w:val="0"/>
          <w:numId w:val="34"/>
        </w:numPr>
        <w:jc w:val="left"/>
        <w:rPr>
          <w:i w:val="0"/>
          <w:iCs w:val="0"/>
          <w:sz w:val="22"/>
          <w:szCs w:val="22"/>
          <w:lang w:val="mi-NZ"/>
        </w:rPr>
      </w:pPr>
      <w:r w:rsidRPr="00396054">
        <w:rPr>
          <w:i w:val="0"/>
          <w:iCs w:val="0"/>
          <w:sz w:val="22"/>
          <w:szCs w:val="22"/>
          <w:lang w:val="mi-NZ"/>
        </w:rPr>
        <w:t>Increasing the availability and accessibility of mental health services for children.</w:t>
      </w:r>
    </w:p>
    <w:p w14:paraId="2C13A5B2" w14:textId="77777777" w:rsidR="00DE3F8F" w:rsidRPr="00E7687D" w:rsidRDefault="00DE3F8F" w:rsidP="00DE3F8F">
      <w:pPr>
        <w:pStyle w:val="Heading3"/>
        <w:rPr>
          <w:lang w:val="mi-NZ"/>
        </w:rPr>
      </w:pPr>
      <w:r w:rsidRPr="00E7687D">
        <w:rPr>
          <w:lang w:val="mi-NZ"/>
        </w:rPr>
        <w:t xml:space="preserve">Preventable and Infectious Diseases – LOIPR 22(a) </w:t>
      </w:r>
    </w:p>
    <w:p w14:paraId="5C5E6B95" w14:textId="6FDC646E" w:rsidR="00DE3F8F" w:rsidRDefault="00DE3F8F" w:rsidP="00DE3F8F">
      <w:pPr>
        <w:rPr>
          <w:rFonts w:cstheme="minorHAnsi"/>
          <w:sz w:val="22"/>
          <w:szCs w:val="22"/>
          <w:lang w:val="en-NZ"/>
        </w:rPr>
      </w:pPr>
    </w:p>
    <w:p w14:paraId="77275A02" w14:textId="77777777" w:rsidR="00DE3F8F" w:rsidRPr="00DE3F8F" w:rsidRDefault="00DE3F8F" w:rsidP="00723230">
      <w:pPr>
        <w:ind w:left="720"/>
        <w:rPr>
          <w:rFonts w:cstheme="minorHAnsi"/>
          <w:i/>
          <w:iCs/>
          <w:color w:val="000000" w:themeColor="text1"/>
          <w:sz w:val="22"/>
          <w:szCs w:val="22"/>
        </w:rPr>
      </w:pPr>
      <w:r w:rsidRPr="00DE3F8F">
        <w:rPr>
          <w:rFonts w:cstheme="minorHAnsi"/>
          <w:i/>
          <w:iCs/>
          <w:color w:val="000000" w:themeColor="text1"/>
          <w:sz w:val="22"/>
          <w:szCs w:val="22"/>
          <w:shd w:val="clear" w:color="auto" w:fill="FFFFFF"/>
        </w:rPr>
        <w:t>This report highlights the inexcusable inequity that exists in our health outcomes for children. We can no longer just provide the ambulance at the bottom of the cliff. Focused effort is required to detect and improve preventable risk factors, to identify and better manage mild disease, and to have better national data to enable us to evaluate and monitor healthcare interventions in real time</w:t>
      </w:r>
      <w:r w:rsidRPr="00DE3F8F">
        <w:rPr>
          <w:rFonts w:cstheme="minorHAnsi"/>
          <w:color w:val="000000" w:themeColor="text1"/>
          <w:sz w:val="22"/>
          <w:szCs w:val="22"/>
          <w:shd w:val="clear" w:color="auto" w:fill="FFFFFF"/>
        </w:rPr>
        <w:t>.</w:t>
      </w:r>
      <w:r w:rsidRPr="00DE3F8F">
        <w:rPr>
          <w:rStyle w:val="FootnoteReference"/>
          <w:rFonts w:cstheme="minorHAnsi"/>
          <w:color w:val="000000" w:themeColor="text1"/>
          <w:sz w:val="22"/>
          <w:szCs w:val="22"/>
          <w:shd w:val="clear" w:color="auto" w:fill="FFFFFF"/>
        </w:rPr>
        <w:footnoteReference w:id="330"/>
      </w:r>
    </w:p>
    <w:p w14:paraId="7505B616" w14:textId="77777777" w:rsidR="00DE3F8F" w:rsidRPr="00DE3F8F" w:rsidRDefault="00DE3F8F" w:rsidP="00DE3F8F">
      <w:pPr>
        <w:rPr>
          <w:rFonts w:cstheme="minorHAnsi"/>
          <w:sz w:val="22"/>
          <w:szCs w:val="22"/>
          <w:lang w:val="en-NZ"/>
        </w:rPr>
      </w:pPr>
    </w:p>
    <w:p w14:paraId="1707544F" w14:textId="0BCD41B5" w:rsidR="00DE3F8F" w:rsidRPr="00DE3F8F" w:rsidRDefault="00DE3F8F" w:rsidP="00DE3F8F">
      <w:pPr>
        <w:pStyle w:val="ListParagraph"/>
        <w:numPr>
          <w:ilvl w:val="0"/>
          <w:numId w:val="9"/>
        </w:numPr>
        <w:ind w:hanging="720"/>
        <w:rPr>
          <w:rFonts w:cstheme="minorHAnsi"/>
          <w:sz w:val="22"/>
          <w:szCs w:val="22"/>
          <w:lang w:val="en-NZ"/>
        </w:rPr>
      </w:pPr>
      <w:r w:rsidRPr="00DE3F8F">
        <w:rPr>
          <w:rFonts w:cstheme="minorHAnsi"/>
          <w:sz w:val="22"/>
          <w:szCs w:val="22"/>
          <w:lang w:val="en-NZ"/>
        </w:rPr>
        <w:t>Children in Aotearoa are being sent to hospital at increasing rates for respiratory conditions, dental disease, skin infections, rheumatic fever and rheumatic heart disease:</w:t>
      </w:r>
      <w:r w:rsidRPr="00DE3F8F">
        <w:rPr>
          <w:rFonts w:cstheme="minorHAnsi"/>
          <w:sz w:val="22"/>
          <w:szCs w:val="22"/>
          <w:vertAlign w:val="superscript"/>
          <w:lang w:val="en-NZ"/>
        </w:rPr>
        <w:footnoteReference w:id="331"/>
      </w:r>
      <w:r w:rsidRPr="00DE3F8F">
        <w:rPr>
          <w:rFonts w:cstheme="minorHAnsi"/>
          <w:sz w:val="22"/>
          <w:szCs w:val="22"/>
          <w:lang w:val="en-NZ"/>
        </w:rPr>
        <w:t xml:space="preserve"> </w:t>
      </w:r>
      <w:r w:rsidRPr="00DE3F8F">
        <w:rPr>
          <w:rFonts w:cstheme="minorHAnsi"/>
          <w:sz w:val="22"/>
          <w:szCs w:val="22"/>
          <w:vertAlign w:val="superscript"/>
          <w:lang w:val="en-NZ"/>
        </w:rPr>
        <w:footnoteReference w:id="332"/>
      </w:r>
    </w:p>
    <w:p w14:paraId="0EFB3DC1" w14:textId="77777777" w:rsidR="00396054" w:rsidRDefault="00396054" w:rsidP="00396054">
      <w:pPr>
        <w:pStyle w:val="ListParagraph"/>
        <w:ind w:left="1080"/>
        <w:rPr>
          <w:rFonts w:cstheme="minorHAnsi"/>
          <w:sz w:val="22"/>
          <w:szCs w:val="22"/>
          <w:lang w:val="en-NZ"/>
        </w:rPr>
      </w:pPr>
    </w:p>
    <w:p w14:paraId="0F3A0F01" w14:textId="1BA11DA7" w:rsidR="00DE3F8F" w:rsidRPr="00DE3F8F" w:rsidRDefault="00DE3F8F" w:rsidP="00916EA3">
      <w:pPr>
        <w:pStyle w:val="ListParagraph"/>
        <w:numPr>
          <w:ilvl w:val="0"/>
          <w:numId w:val="33"/>
        </w:numPr>
        <w:rPr>
          <w:rFonts w:cstheme="minorHAnsi"/>
          <w:sz w:val="22"/>
          <w:szCs w:val="22"/>
          <w:lang w:val="en-NZ"/>
        </w:rPr>
      </w:pPr>
      <w:r w:rsidRPr="00DE3F8F">
        <w:rPr>
          <w:rFonts w:cstheme="minorHAnsi"/>
          <w:sz w:val="22"/>
          <w:szCs w:val="22"/>
          <w:lang w:val="en-NZ"/>
        </w:rPr>
        <w:t>Since 2000, the rate of hospitalisations for children with serious respiratory conditions has increased, most notably for acute bronchiolitis, asthma and wheeze. In 2020, one in seven children aged 2-14 years were being treated for asthma.</w:t>
      </w:r>
    </w:p>
    <w:p w14:paraId="415E4499" w14:textId="77777777" w:rsidR="00DE3F8F" w:rsidRPr="00DE3F8F" w:rsidRDefault="00DE3F8F" w:rsidP="00916EA3">
      <w:pPr>
        <w:pStyle w:val="ListParagraph"/>
        <w:numPr>
          <w:ilvl w:val="0"/>
          <w:numId w:val="33"/>
        </w:numPr>
        <w:rPr>
          <w:rFonts w:cstheme="minorHAnsi"/>
          <w:sz w:val="22"/>
          <w:szCs w:val="22"/>
          <w:lang w:val="en-NZ"/>
        </w:rPr>
      </w:pPr>
      <w:r w:rsidRPr="00DE3F8F">
        <w:rPr>
          <w:rFonts w:cstheme="minorHAnsi"/>
          <w:sz w:val="22"/>
          <w:szCs w:val="22"/>
          <w:lang w:val="en-NZ"/>
        </w:rPr>
        <w:t>On average in 2019, 41% of 5-year-olds and 31% of Year-8 children had evidence of tooth decay. Since 2000, average rates of dental decay have declined overall, but the rate of hospitalisations for children with serious dental decay has increased steadily. Rates of tooth decay and hospitalisation have been consistently highest for Pacific and Māori children. Those living in the most deprived areas had three times the number of tooth extractions as those in the least deprived areas.</w:t>
      </w:r>
    </w:p>
    <w:p w14:paraId="587A7401" w14:textId="77777777" w:rsidR="00DE3F8F" w:rsidRPr="00DE3F8F" w:rsidRDefault="00DE3F8F" w:rsidP="00916EA3">
      <w:pPr>
        <w:pStyle w:val="ListParagraph"/>
        <w:numPr>
          <w:ilvl w:val="0"/>
          <w:numId w:val="33"/>
        </w:numPr>
        <w:rPr>
          <w:rFonts w:cstheme="minorHAnsi"/>
          <w:sz w:val="22"/>
          <w:szCs w:val="22"/>
          <w:lang w:val="en-NZ"/>
        </w:rPr>
      </w:pPr>
      <w:r w:rsidRPr="00DE3F8F">
        <w:rPr>
          <w:rFonts w:cstheme="minorHAnsi"/>
          <w:sz w:val="22"/>
          <w:szCs w:val="22"/>
          <w:lang w:val="en-NZ"/>
        </w:rPr>
        <w:lastRenderedPageBreak/>
        <w:t>The rate of hospitalisations for children with serious infections was increasing until 2011, but has since been gradually decreasing. Serious skin infections, like cellulitis, make up nearly 4% of hospital admissions for children, with the highest rates in 1-year-olds and other young children.</w:t>
      </w:r>
    </w:p>
    <w:p w14:paraId="6CC11CB5" w14:textId="77777777" w:rsidR="00DE3F8F" w:rsidRPr="00DE3F8F" w:rsidRDefault="00DE3F8F" w:rsidP="00916EA3">
      <w:pPr>
        <w:pStyle w:val="ListParagraph"/>
        <w:numPr>
          <w:ilvl w:val="0"/>
          <w:numId w:val="33"/>
        </w:numPr>
        <w:rPr>
          <w:rFonts w:cstheme="minorHAnsi"/>
          <w:sz w:val="22"/>
          <w:szCs w:val="22"/>
          <w:lang w:val="en-NZ"/>
        </w:rPr>
      </w:pPr>
      <w:r w:rsidRPr="00DE3F8F">
        <w:rPr>
          <w:rFonts w:cstheme="minorHAnsi"/>
          <w:sz w:val="22"/>
          <w:szCs w:val="22"/>
          <w:lang w:val="en-NZ"/>
        </w:rPr>
        <w:t>Rates of hospital admissions for children with acute rheumatic fever and rheumatic heart disease have remained high over the past 20 years in Aotearoa, despite efforts to reduce them. This burden of disease is particularly high for Pacific children, who were admitted to hospital for rheumatic fever 140 times more often than children of European or Other ethnicities. Māori children were admitted to hospital for rheumatic fever 50 times more often than children of European or Other ethnicities.</w:t>
      </w:r>
      <w:r w:rsidRPr="00DE3F8F">
        <w:rPr>
          <w:rFonts w:cstheme="minorHAnsi"/>
          <w:sz w:val="22"/>
          <w:szCs w:val="22"/>
          <w:vertAlign w:val="superscript"/>
          <w:lang w:val="en-NZ"/>
        </w:rPr>
        <w:footnoteReference w:id="333"/>
      </w:r>
      <w:r w:rsidRPr="00DE3F8F">
        <w:rPr>
          <w:rFonts w:cstheme="minorHAnsi"/>
          <w:sz w:val="22"/>
          <w:szCs w:val="22"/>
          <w:lang w:val="en-NZ"/>
        </w:rPr>
        <w:t xml:space="preserve"> </w:t>
      </w:r>
      <w:r w:rsidRPr="00DE3F8F">
        <w:rPr>
          <w:rFonts w:cstheme="minorHAnsi"/>
          <w:sz w:val="22"/>
          <w:szCs w:val="22"/>
          <w:vertAlign w:val="superscript"/>
          <w:lang w:val="en-NZ"/>
        </w:rPr>
        <w:footnoteReference w:id="334"/>
      </w:r>
    </w:p>
    <w:p w14:paraId="6B08E8DD" w14:textId="442FFD24" w:rsidR="00DE3F8F" w:rsidRPr="00DE3F8F" w:rsidRDefault="00DE3F8F" w:rsidP="00DE3F8F">
      <w:pPr>
        <w:pStyle w:val="IntenseQuote"/>
        <w:ind w:left="720"/>
        <w:jc w:val="left"/>
        <w:rPr>
          <w:b/>
          <w:bCs/>
          <w:i w:val="0"/>
          <w:iCs w:val="0"/>
          <w:sz w:val="24"/>
          <w:szCs w:val="24"/>
          <w:lang w:val="mi-NZ"/>
        </w:rPr>
      </w:pPr>
      <w:r w:rsidRPr="00DE3F8F">
        <w:rPr>
          <w:b/>
          <w:bCs/>
          <w:i w:val="0"/>
          <w:iCs w:val="0"/>
          <w:sz w:val="24"/>
          <w:szCs w:val="24"/>
          <w:lang w:val="mi-NZ"/>
        </w:rPr>
        <w:t>Recommendations</w:t>
      </w:r>
    </w:p>
    <w:p w14:paraId="4FDA4F8F" w14:textId="0FAB75D0" w:rsidR="00DE3F8F" w:rsidRPr="00DE3F8F" w:rsidRDefault="00DE3F8F" w:rsidP="00916EA3">
      <w:pPr>
        <w:pStyle w:val="IntenseQuote"/>
        <w:numPr>
          <w:ilvl w:val="0"/>
          <w:numId w:val="23"/>
        </w:numPr>
        <w:jc w:val="left"/>
        <w:rPr>
          <w:i w:val="0"/>
          <w:iCs w:val="0"/>
          <w:sz w:val="22"/>
          <w:szCs w:val="22"/>
          <w:lang w:val="mi-NZ"/>
        </w:rPr>
      </w:pPr>
      <w:r w:rsidRPr="00DE3F8F">
        <w:rPr>
          <w:i w:val="0"/>
          <w:iCs w:val="0"/>
          <w:sz w:val="22"/>
          <w:szCs w:val="22"/>
          <w:lang w:val="mi-NZ"/>
        </w:rPr>
        <w:t>Use a children’s-rights approach</w:t>
      </w:r>
      <w:r w:rsidRPr="00DE3F8F">
        <w:rPr>
          <w:rFonts w:cstheme="minorHAnsi"/>
          <w:i w:val="0"/>
          <w:iCs w:val="0"/>
          <w:color w:val="00AE6D" w:themeColor="accent6"/>
          <w:sz w:val="22"/>
          <w:szCs w:val="22"/>
          <w:vertAlign w:val="superscript"/>
          <w:lang w:val="mi-NZ"/>
        </w:rPr>
        <w:footnoteReference w:id="335"/>
      </w:r>
      <w:r w:rsidRPr="00DE3F8F">
        <w:rPr>
          <w:rFonts w:cstheme="minorHAnsi"/>
          <w:i w:val="0"/>
          <w:iCs w:val="0"/>
          <w:color w:val="00AE6D" w:themeColor="accent6"/>
          <w:sz w:val="22"/>
          <w:szCs w:val="22"/>
          <w:vertAlign w:val="superscript"/>
          <w:lang w:val="mi-NZ"/>
        </w:rPr>
        <w:t xml:space="preserve"> </w:t>
      </w:r>
      <w:r w:rsidRPr="00DE3F8F">
        <w:rPr>
          <w:i w:val="0"/>
          <w:iCs w:val="0"/>
          <w:sz w:val="22"/>
          <w:szCs w:val="22"/>
          <w:lang w:val="mi-NZ"/>
        </w:rPr>
        <w:t>and co-ordinate across Government to address preventable risk factors, such as inadequate standards of living (especially housing and nutr</w:t>
      </w:r>
      <w:r>
        <w:rPr>
          <w:i w:val="0"/>
          <w:iCs w:val="0"/>
          <w:sz w:val="22"/>
          <w:szCs w:val="22"/>
          <w:lang w:val="mi-NZ"/>
        </w:rPr>
        <w:t xml:space="preserve">itious </w:t>
      </w:r>
      <w:r w:rsidRPr="00DE3F8F">
        <w:rPr>
          <w:i w:val="0"/>
          <w:iCs w:val="0"/>
          <w:sz w:val="22"/>
          <w:szCs w:val="22"/>
          <w:lang w:val="mi-NZ"/>
        </w:rPr>
        <w:t>food) and climate change, and ensure good health for all children.</w:t>
      </w:r>
    </w:p>
    <w:p w14:paraId="052B02BC" w14:textId="77777777" w:rsidR="00DE3F8F" w:rsidRPr="00DE3F8F" w:rsidRDefault="00DE3F8F" w:rsidP="00916EA3">
      <w:pPr>
        <w:pStyle w:val="IntenseQuote"/>
        <w:numPr>
          <w:ilvl w:val="0"/>
          <w:numId w:val="23"/>
        </w:numPr>
        <w:jc w:val="left"/>
        <w:rPr>
          <w:i w:val="0"/>
          <w:iCs w:val="0"/>
          <w:sz w:val="22"/>
          <w:szCs w:val="22"/>
          <w:lang w:val="mi-NZ"/>
        </w:rPr>
      </w:pPr>
      <w:r w:rsidRPr="00DE3F8F">
        <w:rPr>
          <w:i w:val="0"/>
          <w:iCs w:val="0"/>
          <w:sz w:val="22"/>
          <w:szCs w:val="22"/>
          <w:lang w:val="mi-NZ"/>
        </w:rPr>
        <w:t>Increase the availability of child health services, so all children can access primary health care when they need to.</w:t>
      </w:r>
    </w:p>
    <w:p w14:paraId="29FB9E1C" w14:textId="764ED225" w:rsidR="00DE3F8F" w:rsidRPr="00D154E7" w:rsidRDefault="00DE3F8F" w:rsidP="00D154E7">
      <w:pPr>
        <w:pStyle w:val="Heading3"/>
      </w:pPr>
      <w:r w:rsidRPr="00DE3F8F">
        <w:t>Immunisation</w:t>
      </w:r>
    </w:p>
    <w:p w14:paraId="5FB2E897" w14:textId="6491BDB5" w:rsidR="00124FEB" w:rsidRPr="00DE3F8F" w:rsidRDefault="00124FEB" w:rsidP="00DE3F8F">
      <w:pPr>
        <w:rPr>
          <w:rFonts w:cstheme="minorHAnsi"/>
          <w:sz w:val="22"/>
          <w:szCs w:val="22"/>
          <w:lang w:val="mi-NZ"/>
        </w:rPr>
      </w:pPr>
    </w:p>
    <w:p w14:paraId="1E0CB921" w14:textId="11726B76" w:rsidR="00DE3F8F" w:rsidRPr="00DE3F8F" w:rsidRDefault="00DE3F8F" w:rsidP="00DE3F8F">
      <w:pPr>
        <w:pStyle w:val="ListParagraph"/>
        <w:numPr>
          <w:ilvl w:val="0"/>
          <w:numId w:val="9"/>
        </w:numPr>
        <w:ind w:hanging="720"/>
        <w:rPr>
          <w:rFonts w:cstheme="minorHAnsi"/>
          <w:sz w:val="22"/>
          <w:szCs w:val="22"/>
          <w:lang w:val="en-NZ"/>
        </w:rPr>
      </w:pPr>
      <w:r w:rsidRPr="00DE3F8F">
        <w:rPr>
          <w:rFonts w:cstheme="minorHAnsi"/>
          <w:sz w:val="22"/>
          <w:szCs w:val="22"/>
          <w:lang w:val="en-NZ"/>
        </w:rPr>
        <w:t>Immunisation coverage at six months of age is the lowest it has been in 10 years, at only 71% in September 2021. Coverage at eight months of age during 2021 was the lowest since 2012 at only 87%.</w:t>
      </w:r>
      <w:r w:rsidRPr="00DE3F8F">
        <w:rPr>
          <w:rFonts w:cstheme="minorHAnsi"/>
          <w:sz w:val="22"/>
          <w:szCs w:val="22"/>
          <w:vertAlign w:val="superscript"/>
          <w:lang w:val="en-NZ"/>
        </w:rPr>
        <w:footnoteReference w:id="336"/>
      </w:r>
      <w:r w:rsidRPr="00DE3F8F">
        <w:rPr>
          <w:rFonts w:cstheme="minorHAnsi"/>
          <w:sz w:val="22"/>
          <w:szCs w:val="22"/>
          <w:lang w:val="en-NZ"/>
        </w:rPr>
        <w:t xml:space="preserve"> Of particular concern is the threat of measles, with gaps in immunisation coverage across the population creating heightened risk of the disease taking off, leaving non-immunised infants vulnerable.</w:t>
      </w:r>
      <w:r w:rsidRPr="00DE3F8F">
        <w:rPr>
          <w:rFonts w:cstheme="minorHAnsi"/>
          <w:sz w:val="22"/>
          <w:szCs w:val="22"/>
          <w:vertAlign w:val="superscript"/>
          <w:lang w:val="en-NZ"/>
        </w:rPr>
        <w:footnoteReference w:id="337"/>
      </w:r>
      <w:r w:rsidRPr="00DE3F8F">
        <w:rPr>
          <w:rFonts w:cstheme="minorHAnsi"/>
          <w:sz w:val="22"/>
          <w:szCs w:val="22"/>
          <w:lang w:val="en-NZ"/>
        </w:rPr>
        <w:t xml:space="preserve"> Efforts are underway to increase </w:t>
      </w:r>
      <w:r w:rsidRPr="00DE3F8F">
        <w:rPr>
          <w:rFonts w:cstheme="minorHAnsi"/>
          <w:sz w:val="22"/>
          <w:szCs w:val="22"/>
          <w:lang w:val="en-NZ"/>
        </w:rPr>
        <w:lastRenderedPageBreak/>
        <w:t>immunisation rates, but are going more slowly than immunisation experts recommend.</w:t>
      </w:r>
      <w:r w:rsidRPr="00DE3F8F">
        <w:rPr>
          <w:rFonts w:cstheme="minorHAnsi"/>
          <w:sz w:val="22"/>
          <w:szCs w:val="22"/>
          <w:vertAlign w:val="superscript"/>
          <w:lang w:val="en-NZ"/>
        </w:rPr>
        <w:footnoteReference w:id="338"/>
      </w:r>
      <w:r w:rsidRPr="00DE3F8F">
        <w:rPr>
          <w:rFonts w:cstheme="minorHAnsi"/>
          <w:sz w:val="22"/>
          <w:szCs w:val="22"/>
          <w:lang w:val="en-NZ"/>
        </w:rPr>
        <w:t xml:space="preserve"> </w:t>
      </w:r>
      <w:r w:rsidRPr="00DE3F8F">
        <w:rPr>
          <w:rFonts w:cstheme="minorHAnsi"/>
          <w:sz w:val="22"/>
          <w:szCs w:val="22"/>
          <w:vertAlign w:val="superscript"/>
          <w:lang w:val="en-NZ"/>
        </w:rPr>
        <w:footnoteReference w:id="339"/>
      </w:r>
      <w:r w:rsidRPr="00DE3F8F">
        <w:rPr>
          <w:rFonts w:cstheme="minorHAnsi"/>
          <w:sz w:val="22"/>
          <w:szCs w:val="22"/>
          <w:lang w:val="en-NZ"/>
        </w:rPr>
        <w:t xml:space="preserve"> There are worrying inequities in immunisation coverage.</w:t>
      </w:r>
      <w:r w:rsidRPr="00DE3F8F">
        <w:rPr>
          <w:rFonts w:cstheme="minorHAnsi"/>
          <w:sz w:val="22"/>
          <w:szCs w:val="22"/>
          <w:vertAlign w:val="superscript"/>
          <w:lang w:val="en-NZ"/>
        </w:rPr>
        <w:footnoteReference w:id="340"/>
      </w:r>
    </w:p>
    <w:p w14:paraId="6926DFC8" w14:textId="77777777" w:rsidR="00DE3F8F" w:rsidRPr="00DE3F8F" w:rsidRDefault="00DE3F8F" w:rsidP="00DE3F8F">
      <w:pPr>
        <w:pStyle w:val="ListParagraph"/>
        <w:rPr>
          <w:rFonts w:cstheme="minorHAnsi"/>
          <w:sz w:val="22"/>
          <w:szCs w:val="22"/>
          <w:lang w:val="mi-NZ"/>
        </w:rPr>
      </w:pPr>
    </w:p>
    <w:p w14:paraId="1363EFB9" w14:textId="77777777" w:rsidR="00DE3F8F" w:rsidRPr="00DE3F8F" w:rsidRDefault="00DE3F8F" w:rsidP="00DE3F8F">
      <w:pPr>
        <w:pStyle w:val="ListParagraph"/>
        <w:numPr>
          <w:ilvl w:val="0"/>
          <w:numId w:val="9"/>
        </w:numPr>
        <w:ind w:hanging="720"/>
        <w:rPr>
          <w:rFonts w:cstheme="minorHAnsi"/>
          <w:sz w:val="22"/>
          <w:szCs w:val="22"/>
          <w:lang w:val="mi-NZ"/>
        </w:rPr>
      </w:pPr>
      <w:r w:rsidRPr="00DE3F8F">
        <w:rPr>
          <w:rFonts w:cstheme="minorHAnsi"/>
          <w:sz w:val="22"/>
          <w:szCs w:val="22"/>
          <w:lang w:val="mi-NZ"/>
        </w:rPr>
        <w:t>Providers are taking steps to encourage childhood immunisation access and uptake, with vaccines delivered in a range of ways and places where people feel comfortable and safe to encourage uptake.</w:t>
      </w:r>
      <w:r w:rsidRPr="00DE3F8F">
        <w:rPr>
          <w:rFonts w:cstheme="minorHAnsi"/>
          <w:sz w:val="22"/>
          <w:szCs w:val="22"/>
          <w:vertAlign w:val="superscript"/>
          <w:lang w:val="mi-NZ"/>
        </w:rPr>
        <w:footnoteReference w:id="341"/>
      </w:r>
      <w:r w:rsidRPr="00DE3F8F">
        <w:rPr>
          <w:rFonts w:cstheme="minorHAnsi"/>
          <w:sz w:val="22"/>
          <w:szCs w:val="22"/>
          <w:lang w:val="mi-NZ"/>
        </w:rPr>
        <w:t xml:space="preserve"> </w:t>
      </w:r>
      <w:r w:rsidRPr="00DE3F8F">
        <w:rPr>
          <w:rFonts w:cstheme="minorHAnsi"/>
          <w:sz w:val="22"/>
          <w:szCs w:val="22"/>
          <w:vertAlign w:val="superscript"/>
          <w:lang w:val="mi-NZ"/>
        </w:rPr>
        <w:footnoteReference w:id="342"/>
      </w:r>
      <w:r w:rsidRPr="00DE3F8F">
        <w:rPr>
          <w:rFonts w:cstheme="minorHAnsi"/>
          <w:sz w:val="22"/>
          <w:szCs w:val="22"/>
          <w:lang w:val="mi-NZ"/>
        </w:rPr>
        <w:t xml:space="preserve">  These initiatives need to be resourced to increase </w:t>
      </w:r>
      <w:r w:rsidRPr="00DE3F8F">
        <w:rPr>
          <w:rFonts w:cstheme="minorHAnsi"/>
          <w:sz w:val="22"/>
          <w:szCs w:val="22"/>
          <w:lang w:val="en-NZ"/>
        </w:rPr>
        <w:t xml:space="preserve">childhood immunisation rates, fill childhood immunisation gaps that have developed during the pandemic, and </w:t>
      </w:r>
      <w:r w:rsidRPr="00DE3F8F">
        <w:rPr>
          <w:rFonts w:cstheme="minorHAnsi"/>
          <w:sz w:val="22"/>
          <w:szCs w:val="22"/>
          <w:lang w:val="mi-NZ"/>
        </w:rPr>
        <w:t>keep rates of preventable childhood diseases on a downward trajectory.</w:t>
      </w:r>
    </w:p>
    <w:p w14:paraId="05CEB5C4" w14:textId="77777777" w:rsidR="00FF702E" w:rsidRPr="00FF702E" w:rsidRDefault="00FF702E" w:rsidP="00FF702E">
      <w:pPr>
        <w:pStyle w:val="IntenseQuote"/>
        <w:ind w:left="720"/>
        <w:jc w:val="left"/>
        <w:rPr>
          <w:b/>
          <w:bCs/>
          <w:i w:val="0"/>
          <w:iCs w:val="0"/>
          <w:sz w:val="24"/>
          <w:szCs w:val="24"/>
          <w:lang w:val="mi-NZ"/>
        </w:rPr>
      </w:pPr>
      <w:r w:rsidRPr="00FF702E">
        <w:rPr>
          <w:b/>
          <w:bCs/>
          <w:i w:val="0"/>
          <w:iCs w:val="0"/>
          <w:sz w:val="24"/>
          <w:szCs w:val="24"/>
          <w:lang w:val="mi-NZ"/>
        </w:rPr>
        <w:t>Recommendation</w:t>
      </w:r>
    </w:p>
    <w:p w14:paraId="661FE296" w14:textId="23240735" w:rsidR="00FF702E" w:rsidRPr="00FF702E" w:rsidRDefault="00FF702E" w:rsidP="00916EA3">
      <w:pPr>
        <w:pStyle w:val="IntenseQuote"/>
        <w:numPr>
          <w:ilvl w:val="0"/>
          <w:numId w:val="23"/>
        </w:numPr>
        <w:jc w:val="left"/>
        <w:rPr>
          <w:i w:val="0"/>
          <w:iCs w:val="0"/>
          <w:sz w:val="22"/>
          <w:szCs w:val="22"/>
          <w:lang w:val="mi-NZ"/>
        </w:rPr>
      </w:pPr>
      <w:r w:rsidRPr="00FF702E">
        <w:rPr>
          <w:i w:val="0"/>
          <w:iCs w:val="0"/>
          <w:sz w:val="22"/>
          <w:szCs w:val="22"/>
          <w:lang w:val="mi-NZ"/>
        </w:rPr>
        <w:t>Take sustained action to achieve high and equitable coverage of childhood immunisations</w:t>
      </w:r>
      <w:r>
        <w:rPr>
          <w:i w:val="0"/>
          <w:iCs w:val="0"/>
          <w:sz w:val="22"/>
          <w:szCs w:val="22"/>
          <w:lang w:val="mi-NZ"/>
        </w:rPr>
        <w:t>.</w:t>
      </w:r>
    </w:p>
    <w:p w14:paraId="015C780E" w14:textId="77777777" w:rsidR="00396054" w:rsidRDefault="00396054" w:rsidP="00853CF0">
      <w:pPr>
        <w:pStyle w:val="Heading3"/>
        <w:rPr>
          <w:lang w:val="mi-NZ"/>
        </w:rPr>
      </w:pPr>
    </w:p>
    <w:p w14:paraId="480036E0" w14:textId="094D9BBE" w:rsidR="00853CF0" w:rsidRPr="00E7687D" w:rsidRDefault="00853CF0" w:rsidP="00853CF0">
      <w:pPr>
        <w:pStyle w:val="Heading3"/>
        <w:rPr>
          <w:lang w:val="mi-NZ"/>
        </w:rPr>
      </w:pPr>
      <w:r w:rsidRPr="00E7687D">
        <w:rPr>
          <w:lang w:val="mi-NZ"/>
        </w:rPr>
        <w:t xml:space="preserve">Adolescent Health– LOIPR 22(b) </w:t>
      </w:r>
    </w:p>
    <w:p w14:paraId="2E362C8E" w14:textId="3457CC46" w:rsidR="00124FEB" w:rsidRDefault="00124FEB" w:rsidP="00FF702E">
      <w:pPr>
        <w:rPr>
          <w:rFonts w:cstheme="minorHAnsi"/>
          <w:sz w:val="22"/>
          <w:szCs w:val="22"/>
          <w:lang w:val="mi-NZ"/>
        </w:rPr>
      </w:pPr>
    </w:p>
    <w:p w14:paraId="06F2FC28" w14:textId="77777777" w:rsidR="00853CF0" w:rsidRPr="00853CF0" w:rsidRDefault="00853CF0" w:rsidP="00853CF0">
      <w:pPr>
        <w:pStyle w:val="Heading4"/>
        <w:rPr>
          <w:color w:val="25409A" w:themeColor="text2"/>
          <w:sz w:val="24"/>
          <w:szCs w:val="24"/>
          <w:lang w:val="mi-NZ"/>
        </w:rPr>
      </w:pPr>
      <w:r w:rsidRPr="00853CF0">
        <w:rPr>
          <w:color w:val="25409A" w:themeColor="text2"/>
          <w:sz w:val="24"/>
          <w:szCs w:val="24"/>
          <w:lang w:val="mi-NZ"/>
        </w:rPr>
        <w:t>Vaping and smoking</w:t>
      </w:r>
    </w:p>
    <w:p w14:paraId="27446C14" w14:textId="77777777" w:rsidR="00853CF0" w:rsidRPr="00FF702E" w:rsidRDefault="00853CF0" w:rsidP="00FF702E">
      <w:pPr>
        <w:rPr>
          <w:rFonts w:cstheme="minorHAnsi"/>
          <w:sz w:val="22"/>
          <w:szCs w:val="22"/>
          <w:lang w:val="mi-NZ"/>
        </w:rPr>
      </w:pPr>
    </w:p>
    <w:p w14:paraId="3FEDAB6C" w14:textId="269D7874" w:rsidR="00853CF0" w:rsidRPr="00853CF0" w:rsidRDefault="00853CF0" w:rsidP="00853CF0">
      <w:pPr>
        <w:pStyle w:val="ListParagraph"/>
        <w:numPr>
          <w:ilvl w:val="0"/>
          <w:numId w:val="9"/>
        </w:numPr>
        <w:ind w:hanging="720"/>
        <w:rPr>
          <w:rFonts w:cstheme="minorHAnsi"/>
          <w:sz w:val="22"/>
          <w:szCs w:val="22"/>
          <w:lang w:val="en-NZ"/>
        </w:rPr>
      </w:pPr>
      <w:r w:rsidRPr="00853CF0">
        <w:rPr>
          <w:rFonts w:cstheme="minorHAnsi"/>
          <w:sz w:val="22"/>
          <w:szCs w:val="22"/>
          <w:lang w:val="en-NZ"/>
        </w:rPr>
        <w:t>Substance use is a major cause of health and social harm in adolescents (aged 13-19) and is linked to the two leading causes of death in this age group: road crashes and suicide.</w:t>
      </w:r>
      <w:r w:rsidRPr="00853CF0">
        <w:rPr>
          <w:rFonts w:cstheme="minorHAnsi"/>
          <w:sz w:val="22"/>
          <w:szCs w:val="22"/>
          <w:vertAlign w:val="superscript"/>
          <w:lang w:val="en-NZ"/>
        </w:rPr>
        <w:footnoteReference w:id="343"/>
      </w:r>
    </w:p>
    <w:p w14:paraId="1BD61A10" w14:textId="77777777" w:rsidR="00853CF0" w:rsidRPr="00853CF0" w:rsidRDefault="00853CF0" w:rsidP="00853CF0">
      <w:pPr>
        <w:pStyle w:val="ListParagraph"/>
        <w:rPr>
          <w:rFonts w:cstheme="minorHAnsi"/>
          <w:sz w:val="22"/>
          <w:szCs w:val="22"/>
          <w:lang w:val="mi-NZ"/>
        </w:rPr>
      </w:pPr>
    </w:p>
    <w:p w14:paraId="7FB2AAC1" w14:textId="77777777" w:rsidR="00853CF0" w:rsidRPr="00853CF0" w:rsidRDefault="00853CF0" w:rsidP="00853CF0">
      <w:pPr>
        <w:pStyle w:val="ListParagraph"/>
        <w:numPr>
          <w:ilvl w:val="0"/>
          <w:numId w:val="9"/>
        </w:numPr>
        <w:ind w:hanging="720"/>
        <w:rPr>
          <w:rFonts w:cstheme="minorHAnsi"/>
          <w:sz w:val="22"/>
          <w:szCs w:val="22"/>
          <w:lang w:val="mi-NZ"/>
        </w:rPr>
      </w:pPr>
      <w:r w:rsidRPr="00853CF0">
        <w:rPr>
          <w:rFonts w:cstheme="minorHAnsi"/>
          <w:sz w:val="22"/>
          <w:szCs w:val="22"/>
          <w:lang w:val="mi-NZ"/>
        </w:rPr>
        <w:t>Emerging evidence about rates of vaping and vaping uptake amongst adolescents are of concern, as are reports of younger, intermediate school-</w:t>
      </w:r>
      <w:r w:rsidRPr="00853CF0">
        <w:rPr>
          <w:rFonts w:cstheme="minorHAnsi"/>
          <w:sz w:val="22"/>
          <w:szCs w:val="22"/>
          <w:lang w:val="mi-NZ"/>
        </w:rPr>
        <w:lastRenderedPageBreak/>
        <w:t>age children vaping.</w:t>
      </w:r>
      <w:r w:rsidRPr="00853CF0">
        <w:rPr>
          <w:rFonts w:cstheme="minorHAnsi"/>
          <w:sz w:val="22"/>
          <w:szCs w:val="22"/>
          <w:vertAlign w:val="superscript"/>
          <w:lang w:val="mi-NZ"/>
        </w:rPr>
        <w:footnoteReference w:id="344"/>
      </w:r>
      <w:r w:rsidRPr="00853CF0">
        <w:rPr>
          <w:rFonts w:cstheme="minorHAnsi"/>
          <w:sz w:val="22"/>
          <w:szCs w:val="22"/>
          <w:lang w:val="mi-NZ"/>
        </w:rPr>
        <w:t xml:space="preserve"> More needs to be done to protect children from the physical and social harms associated with vaping, including by raising awareness about the potential harms and restricting targeted marketing to youth.</w:t>
      </w:r>
      <w:r w:rsidRPr="00853CF0">
        <w:rPr>
          <w:rFonts w:cstheme="minorHAnsi"/>
          <w:sz w:val="22"/>
          <w:szCs w:val="22"/>
          <w:vertAlign w:val="superscript"/>
          <w:lang w:val="mi-NZ"/>
        </w:rPr>
        <w:footnoteReference w:id="345"/>
      </w:r>
      <w:r w:rsidRPr="00853CF0">
        <w:rPr>
          <w:rFonts w:cstheme="minorHAnsi"/>
          <w:sz w:val="22"/>
          <w:szCs w:val="22"/>
          <w:lang w:val="mi-NZ"/>
        </w:rPr>
        <w:t xml:space="preserve"> There is concern that vaping is fuelling smoking.</w:t>
      </w:r>
      <w:r w:rsidRPr="00853CF0">
        <w:rPr>
          <w:rFonts w:cstheme="minorHAnsi"/>
          <w:sz w:val="22"/>
          <w:szCs w:val="22"/>
          <w:vertAlign w:val="superscript"/>
          <w:lang w:val="mi-NZ"/>
        </w:rPr>
        <w:footnoteReference w:id="346"/>
      </w:r>
      <w:r w:rsidRPr="00853CF0">
        <w:rPr>
          <w:rFonts w:cstheme="minorHAnsi"/>
          <w:sz w:val="22"/>
          <w:szCs w:val="22"/>
          <w:lang w:val="mi-NZ"/>
        </w:rPr>
        <w:t xml:space="preserve"> </w:t>
      </w:r>
    </w:p>
    <w:p w14:paraId="044DB13E" w14:textId="77777777" w:rsidR="00853CF0" w:rsidRPr="00853CF0" w:rsidRDefault="00853CF0" w:rsidP="00853CF0">
      <w:pPr>
        <w:pStyle w:val="ListParagraph"/>
        <w:rPr>
          <w:rFonts w:cstheme="minorHAnsi"/>
          <w:sz w:val="22"/>
          <w:szCs w:val="22"/>
          <w:lang w:val="mi-NZ"/>
        </w:rPr>
      </w:pPr>
    </w:p>
    <w:p w14:paraId="2BD97C94" w14:textId="2B4689B1" w:rsidR="00C8436B" w:rsidRPr="00D154E7" w:rsidRDefault="00853CF0" w:rsidP="00D154E7">
      <w:pPr>
        <w:pStyle w:val="ListParagraph"/>
        <w:numPr>
          <w:ilvl w:val="0"/>
          <w:numId w:val="9"/>
        </w:numPr>
        <w:ind w:hanging="720"/>
        <w:rPr>
          <w:rFonts w:cstheme="minorHAnsi"/>
          <w:sz w:val="22"/>
          <w:szCs w:val="22"/>
          <w:lang w:val="en-NZ"/>
        </w:rPr>
      </w:pPr>
      <w:r w:rsidRPr="00853CF0">
        <w:rPr>
          <w:rFonts w:cstheme="minorHAnsi"/>
          <w:sz w:val="22"/>
          <w:szCs w:val="22"/>
          <w:lang w:val="mi-NZ"/>
        </w:rPr>
        <w:t>The Hashtags</w:t>
      </w:r>
      <w:r w:rsidRPr="00853CF0">
        <w:rPr>
          <w:rFonts w:cstheme="minorHAnsi"/>
          <w:sz w:val="22"/>
          <w:szCs w:val="22"/>
          <w:vertAlign w:val="superscript"/>
          <w:lang w:val="mi-NZ"/>
        </w:rPr>
        <w:footnoteReference w:id="347"/>
      </w:r>
      <w:r w:rsidRPr="00853CF0">
        <w:rPr>
          <w:rFonts w:cstheme="minorHAnsi"/>
          <w:sz w:val="22"/>
          <w:szCs w:val="22"/>
          <w:lang w:val="mi-NZ"/>
        </w:rPr>
        <w:t xml:space="preserve"> have petitioned Parliament to </w:t>
      </w:r>
      <w:r w:rsidRPr="00853CF0">
        <w:rPr>
          <w:rFonts w:cstheme="minorHAnsi"/>
          <w:sz w:val="22"/>
          <w:szCs w:val="22"/>
          <w:lang w:val="en-NZ"/>
        </w:rPr>
        <w:t>restrict the sale of vaping products to licenced R18 specialist vape retailers and to develop and implement proximity and density limits to limit the number of vape retailers near schools, marae and other youth facilities.</w:t>
      </w:r>
      <w:r w:rsidRPr="00853CF0">
        <w:rPr>
          <w:rFonts w:cstheme="minorHAnsi"/>
          <w:sz w:val="22"/>
          <w:szCs w:val="22"/>
          <w:vertAlign w:val="superscript"/>
          <w:lang w:val="en-NZ"/>
        </w:rPr>
        <w:footnoteReference w:id="348"/>
      </w:r>
    </w:p>
    <w:p w14:paraId="09CB668E" w14:textId="2D297E27" w:rsidR="00853CF0" w:rsidRPr="00853CF0" w:rsidRDefault="00853CF0" w:rsidP="00853CF0">
      <w:pPr>
        <w:pStyle w:val="IntenseQuote"/>
        <w:ind w:left="720"/>
        <w:jc w:val="left"/>
        <w:rPr>
          <w:b/>
          <w:bCs/>
          <w:i w:val="0"/>
          <w:iCs w:val="0"/>
          <w:sz w:val="24"/>
          <w:szCs w:val="24"/>
          <w:lang w:val="mi-NZ"/>
        </w:rPr>
      </w:pPr>
      <w:r w:rsidRPr="00853CF0">
        <w:rPr>
          <w:b/>
          <w:bCs/>
          <w:i w:val="0"/>
          <w:iCs w:val="0"/>
          <w:sz w:val="24"/>
          <w:szCs w:val="24"/>
          <w:lang w:val="mi-NZ"/>
        </w:rPr>
        <w:t>Recommendations</w:t>
      </w:r>
    </w:p>
    <w:p w14:paraId="5B2A19EB" w14:textId="77777777" w:rsidR="00853CF0" w:rsidRPr="00853CF0" w:rsidRDefault="00853CF0" w:rsidP="00916EA3">
      <w:pPr>
        <w:pStyle w:val="IntenseQuote"/>
        <w:numPr>
          <w:ilvl w:val="0"/>
          <w:numId w:val="23"/>
        </w:numPr>
        <w:jc w:val="left"/>
        <w:rPr>
          <w:i w:val="0"/>
          <w:iCs w:val="0"/>
          <w:sz w:val="22"/>
          <w:szCs w:val="22"/>
          <w:lang w:val="mi-NZ"/>
        </w:rPr>
      </w:pPr>
      <w:r w:rsidRPr="00853CF0">
        <w:rPr>
          <w:i w:val="0"/>
          <w:iCs w:val="0"/>
          <w:sz w:val="22"/>
          <w:szCs w:val="22"/>
          <w:lang w:val="mi-NZ"/>
        </w:rPr>
        <w:t>Adopt a public health approach to reduce the harm caused by children’s substance use.</w:t>
      </w:r>
    </w:p>
    <w:p w14:paraId="79313F62" w14:textId="77777777" w:rsidR="00853CF0" w:rsidRPr="00853CF0" w:rsidRDefault="00853CF0" w:rsidP="00916EA3">
      <w:pPr>
        <w:pStyle w:val="IntenseQuote"/>
        <w:numPr>
          <w:ilvl w:val="0"/>
          <w:numId w:val="23"/>
        </w:numPr>
        <w:jc w:val="left"/>
        <w:rPr>
          <w:i w:val="0"/>
          <w:iCs w:val="0"/>
          <w:sz w:val="22"/>
          <w:szCs w:val="22"/>
          <w:lang w:val="mi-NZ"/>
        </w:rPr>
      </w:pPr>
      <w:r w:rsidRPr="00853CF0">
        <w:rPr>
          <w:i w:val="0"/>
          <w:iCs w:val="0"/>
          <w:sz w:val="22"/>
          <w:szCs w:val="22"/>
          <w:lang w:val="mi-NZ"/>
        </w:rPr>
        <w:t>Restrict the sale of vaping products.</w:t>
      </w:r>
    </w:p>
    <w:p w14:paraId="00B134FE" w14:textId="7B405A96" w:rsidR="00853CF0" w:rsidRPr="00853CF0" w:rsidRDefault="00853CF0" w:rsidP="00853CF0">
      <w:pPr>
        <w:pStyle w:val="Heading4"/>
        <w:rPr>
          <w:color w:val="25409A" w:themeColor="text2"/>
          <w:sz w:val="24"/>
          <w:szCs w:val="24"/>
          <w:lang w:val="mi-NZ"/>
        </w:rPr>
      </w:pPr>
      <w:r w:rsidRPr="00853CF0">
        <w:rPr>
          <w:color w:val="25409A" w:themeColor="text2"/>
          <w:sz w:val="24"/>
          <w:szCs w:val="24"/>
          <w:lang w:val="mi-NZ"/>
        </w:rPr>
        <w:t xml:space="preserve">Sexual and Reproductive Health – LOIPR 22(c) </w:t>
      </w:r>
    </w:p>
    <w:p w14:paraId="0A841FFA" w14:textId="77777777" w:rsidR="00853CF0" w:rsidRPr="00853CF0" w:rsidRDefault="00853CF0" w:rsidP="00853CF0">
      <w:pPr>
        <w:rPr>
          <w:rFonts w:cstheme="minorHAnsi"/>
          <w:sz w:val="22"/>
          <w:szCs w:val="22"/>
          <w:lang w:val="mi-NZ"/>
        </w:rPr>
      </w:pPr>
    </w:p>
    <w:p w14:paraId="1B6D224E" w14:textId="59E57CC8" w:rsidR="00D154E7" w:rsidRPr="009C383E" w:rsidRDefault="00853CF0" w:rsidP="009C383E">
      <w:pPr>
        <w:pStyle w:val="ListParagraph"/>
        <w:numPr>
          <w:ilvl w:val="0"/>
          <w:numId w:val="9"/>
        </w:numPr>
        <w:ind w:hanging="720"/>
        <w:rPr>
          <w:rFonts w:cstheme="minorHAnsi"/>
          <w:sz w:val="22"/>
          <w:szCs w:val="22"/>
          <w:lang w:val="mi-NZ"/>
        </w:rPr>
      </w:pPr>
      <w:r w:rsidRPr="00853CF0">
        <w:rPr>
          <w:rFonts w:cstheme="minorHAnsi"/>
          <w:sz w:val="22"/>
          <w:szCs w:val="22"/>
          <w:lang w:val="mi-NZ"/>
        </w:rPr>
        <w:t>Sexual and reproductive health is strongly influenced by healthcare access, access to quality realtionship and sexuality education, discrimination, stigma and poverty.</w:t>
      </w:r>
      <w:r w:rsidRPr="00853CF0">
        <w:rPr>
          <w:rFonts w:cstheme="minorHAnsi"/>
          <w:sz w:val="22"/>
          <w:szCs w:val="22"/>
          <w:vertAlign w:val="superscript"/>
          <w:lang w:val="mi-NZ"/>
        </w:rPr>
        <w:footnoteReference w:id="349"/>
      </w:r>
      <w:r w:rsidRPr="00853CF0">
        <w:rPr>
          <w:rFonts w:cstheme="minorHAnsi"/>
          <w:sz w:val="22"/>
          <w:szCs w:val="22"/>
          <w:lang w:val="mi-NZ"/>
        </w:rPr>
        <w:t xml:space="preserve"> There is inequitable access to sexual and reproductive </w:t>
      </w:r>
      <w:r w:rsidRPr="00853CF0">
        <w:rPr>
          <w:rFonts w:cstheme="minorHAnsi"/>
          <w:sz w:val="22"/>
          <w:szCs w:val="22"/>
          <w:lang w:val="mi-NZ"/>
        </w:rPr>
        <w:lastRenderedPageBreak/>
        <w:t>healthcare and education that supports young people to talk with non-judgemental health professionals and trusted adults with confidence.</w:t>
      </w:r>
      <w:r w:rsidRPr="00853CF0">
        <w:rPr>
          <w:rFonts w:cstheme="minorHAnsi"/>
          <w:sz w:val="22"/>
          <w:szCs w:val="22"/>
          <w:vertAlign w:val="superscript"/>
          <w:lang w:val="mi-NZ"/>
        </w:rPr>
        <w:footnoteReference w:id="350"/>
      </w:r>
      <w:r w:rsidR="00410FE2">
        <w:rPr>
          <w:rFonts w:cstheme="minorHAnsi"/>
          <w:sz w:val="22"/>
          <w:szCs w:val="22"/>
          <w:lang w:val="mi-NZ"/>
        </w:rPr>
        <w:t xml:space="preserve"> </w:t>
      </w:r>
      <w:r w:rsidR="00410FE2">
        <w:rPr>
          <w:rStyle w:val="FootnoteReference"/>
          <w:rFonts w:cstheme="minorHAnsi"/>
          <w:sz w:val="22"/>
          <w:szCs w:val="22"/>
          <w:lang w:val="mi-NZ"/>
        </w:rPr>
        <w:footnoteReference w:id="351"/>
      </w:r>
    </w:p>
    <w:p w14:paraId="6BD4C91F" w14:textId="7729D8C0" w:rsidR="00853CF0" w:rsidRPr="00853CF0" w:rsidRDefault="00853CF0" w:rsidP="00853CF0">
      <w:pPr>
        <w:pStyle w:val="IntenseQuote"/>
        <w:ind w:left="720"/>
        <w:jc w:val="left"/>
        <w:rPr>
          <w:b/>
          <w:bCs/>
          <w:i w:val="0"/>
          <w:iCs w:val="0"/>
          <w:sz w:val="24"/>
          <w:szCs w:val="24"/>
          <w:lang w:val="mi-NZ"/>
        </w:rPr>
      </w:pPr>
      <w:r w:rsidRPr="00853CF0">
        <w:rPr>
          <w:b/>
          <w:bCs/>
          <w:i w:val="0"/>
          <w:iCs w:val="0"/>
          <w:sz w:val="24"/>
          <w:szCs w:val="24"/>
          <w:lang w:val="mi-NZ"/>
        </w:rPr>
        <w:t>Recommendations</w:t>
      </w:r>
    </w:p>
    <w:p w14:paraId="5D34964F" w14:textId="68AB2991" w:rsidR="00853CF0" w:rsidRPr="00853CF0" w:rsidRDefault="00853CF0" w:rsidP="00916EA3">
      <w:pPr>
        <w:pStyle w:val="IntenseQuote"/>
        <w:numPr>
          <w:ilvl w:val="0"/>
          <w:numId w:val="23"/>
        </w:numPr>
        <w:jc w:val="left"/>
        <w:rPr>
          <w:i w:val="0"/>
          <w:iCs w:val="0"/>
          <w:sz w:val="22"/>
          <w:szCs w:val="22"/>
          <w:lang w:val="mi-NZ"/>
        </w:rPr>
      </w:pPr>
      <w:r w:rsidRPr="00853CF0">
        <w:rPr>
          <w:i w:val="0"/>
          <w:iCs w:val="0"/>
          <w:sz w:val="22"/>
          <w:szCs w:val="22"/>
          <w:lang w:val="mi-NZ"/>
        </w:rPr>
        <w:t>Expand access to low-cost or free youth-friendly sexual and reproductive health services in primary care, including school-based health services</w:t>
      </w:r>
      <w:r>
        <w:rPr>
          <w:i w:val="0"/>
          <w:iCs w:val="0"/>
          <w:sz w:val="22"/>
          <w:szCs w:val="22"/>
          <w:lang w:val="mi-NZ"/>
        </w:rPr>
        <w:t>.</w:t>
      </w:r>
      <w:r w:rsidRPr="00853CF0">
        <w:rPr>
          <w:i w:val="0"/>
          <w:iCs w:val="0"/>
          <w:sz w:val="22"/>
          <w:szCs w:val="22"/>
          <w:lang w:val="mi-NZ"/>
        </w:rPr>
        <w:t> </w:t>
      </w:r>
    </w:p>
    <w:p w14:paraId="45772BD7" w14:textId="0966946B" w:rsidR="00853CF0" w:rsidRPr="00853CF0" w:rsidRDefault="00853CF0" w:rsidP="00916EA3">
      <w:pPr>
        <w:pStyle w:val="IntenseQuote"/>
        <w:numPr>
          <w:ilvl w:val="0"/>
          <w:numId w:val="23"/>
        </w:numPr>
        <w:jc w:val="left"/>
        <w:rPr>
          <w:i w:val="0"/>
          <w:iCs w:val="0"/>
          <w:sz w:val="22"/>
          <w:szCs w:val="22"/>
          <w:lang w:val="mi-NZ"/>
        </w:rPr>
      </w:pPr>
      <w:r w:rsidRPr="00853CF0">
        <w:rPr>
          <w:i w:val="0"/>
          <w:iCs w:val="0"/>
          <w:sz w:val="22"/>
          <w:szCs w:val="22"/>
          <w:lang w:val="mi-NZ"/>
        </w:rPr>
        <w:t>Support improved delivery of relationship and sexuality education in all schools across New Zealand by resourcing effective implementation of Ministry of Education guidelines</w:t>
      </w:r>
      <w:r>
        <w:rPr>
          <w:i w:val="0"/>
          <w:iCs w:val="0"/>
          <w:sz w:val="22"/>
          <w:szCs w:val="22"/>
          <w:lang w:val="mi-NZ"/>
        </w:rPr>
        <w:t>.</w:t>
      </w:r>
    </w:p>
    <w:p w14:paraId="413AE843" w14:textId="6810B953" w:rsidR="00853CF0" w:rsidRPr="00D154E7" w:rsidRDefault="00853CF0" w:rsidP="00D154E7">
      <w:pPr>
        <w:pStyle w:val="Heading1"/>
        <w:rPr>
          <w:lang w:val="mi-NZ"/>
        </w:rPr>
      </w:pPr>
      <w:bookmarkStart w:id="49" w:name="_Toc111485473"/>
      <w:r w:rsidRPr="00E7687D">
        <w:rPr>
          <w:lang w:val="mi-NZ"/>
        </w:rPr>
        <w:t>Climate Change – LOIPR 23</w:t>
      </w:r>
      <w:bookmarkEnd w:id="49"/>
    </w:p>
    <w:p w14:paraId="5E4A6317" w14:textId="25C1DDBC" w:rsidR="00124FEB" w:rsidRPr="00853CF0" w:rsidRDefault="00124FEB" w:rsidP="00853CF0">
      <w:pPr>
        <w:rPr>
          <w:rFonts w:cstheme="minorHAnsi"/>
          <w:sz w:val="22"/>
          <w:szCs w:val="22"/>
          <w:lang w:val="mi-NZ"/>
        </w:rPr>
      </w:pPr>
    </w:p>
    <w:p w14:paraId="757ED42B" w14:textId="5328778B" w:rsidR="00853CF0" w:rsidRPr="00853CF0" w:rsidRDefault="00853CF0" w:rsidP="00853CF0">
      <w:pPr>
        <w:pStyle w:val="ListParagraph"/>
        <w:numPr>
          <w:ilvl w:val="0"/>
          <w:numId w:val="9"/>
        </w:numPr>
        <w:ind w:hanging="720"/>
        <w:rPr>
          <w:rFonts w:cstheme="minorHAnsi"/>
          <w:sz w:val="22"/>
          <w:szCs w:val="22"/>
          <w:lang w:val="en-NZ"/>
        </w:rPr>
      </w:pPr>
      <w:r w:rsidRPr="00853CF0">
        <w:rPr>
          <w:rFonts w:cstheme="minorHAnsi"/>
          <w:sz w:val="22"/>
          <w:szCs w:val="22"/>
          <w:lang w:val="mi-NZ"/>
        </w:rPr>
        <w:t>Climate change and its implications for children’s rights, including their environmental rights, is a significant issue in Aotearoa, as it is globally.</w:t>
      </w:r>
      <w:r w:rsidRPr="00853CF0">
        <w:rPr>
          <w:rFonts w:cstheme="minorHAnsi"/>
          <w:sz w:val="22"/>
          <w:szCs w:val="22"/>
          <w:vertAlign w:val="superscript"/>
          <w:lang w:val="mi-NZ"/>
        </w:rPr>
        <w:footnoteReference w:id="352"/>
      </w:r>
      <w:r w:rsidRPr="00853CF0">
        <w:rPr>
          <w:rFonts w:cstheme="minorHAnsi"/>
          <w:sz w:val="22"/>
          <w:szCs w:val="22"/>
          <w:lang w:val="mi-NZ"/>
        </w:rPr>
        <w:t xml:space="preserve"> </w:t>
      </w:r>
      <w:r w:rsidRPr="00853CF0">
        <w:rPr>
          <w:rFonts w:cstheme="minorHAnsi"/>
          <w:sz w:val="22"/>
          <w:szCs w:val="22"/>
          <w:lang w:val="en-NZ"/>
        </w:rPr>
        <w:t>Climate change is now the greatest threat to the realisation of health. The health of land, air, and water is indivisible from child health.</w:t>
      </w:r>
      <w:r w:rsidRPr="00853CF0">
        <w:rPr>
          <w:rFonts w:cstheme="minorHAnsi"/>
          <w:sz w:val="22"/>
          <w:szCs w:val="22"/>
          <w:vertAlign w:val="superscript"/>
          <w:lang w:val="en-NZ"/>
        </w:rPr>
        <w:footnoteReference w:id="353"/>
      </w:r>
      <w:r w:rsidRPr="00853CF0">
        <w:rPr>
          <w:rFonts w:cstheme="minorHAnsi"/>
          <w:sz w:val="22"/>
          <w:szCs w:val="22"/>
          <w:lang w:val="en-NZ"/>
        </w:rPr>
        <w:t xml:space="preserve"> </w:t>
      </w:r>
    </w:p>
    <w:p w14:paraId="1D9E6E8F" w14:textId="77777777" w:rsidR="00853CF0" w:rsidRPr="00853CF0" w:rsidRDefault="00853CF0" w:rsidP="00853CF0">
      <w:pPr>
        <w:pStyle w:val="ListParagraph"/>
        <w:rPr>
          <w:rFonts w:cstheme="minorHAnsi"/>
          <w:sz w:val="22"/>
          <w:szCs w:val="22"/>
          <w:lang w:val="en-NZ"/>
        </w:rPr>
      </w:pPr>
    </w:p>
    <w:p w14:paraId="62041E04" w14:textId="77777777" w:rsidR="00853CF0" w:rsidRPr="00853CF0" w:rsidRDefault="00853CF0" w:rsidP="00853CF0">
      <w:pPr>
        <w:pStyle w:val="ListParagraph"/>
        <w:numPr>
          <w:ilvl w:val="0"/>
          <w:numId w:val="9"/>
        </w:numPr>
        <w:ind w:hanging="720"/>
        <w:rPr>
          <w:rFonts w:cstheme="minorHAnsi"/>
          <w:sz w:val="22"/>
          <w:szCs w:val="22"/>
          <w:lang w:val="en-NZ"/>
        </w:rPr>
      </w:pPr>
      <w:r w:rsidRPr="00853CF0">
        <w:rPr>
          <w:rFonts w:cstheme="minorHAnsi"/>
          <w:sz w:val="22"/>
          <w:szCs w:val="22"/>
          <w:lang w:val="mi-NZ"/>
        </w:rPr>
        <w:t>Yet, Government has no climate change policies or programmes specifically aimed at addressing the special vulnerabilities, needs and views of children.</w:t>
      </w:r>
      <w:r w:rsidRPr="00853CF0">
        <w:rPr>
          <w:rFonts w:cstheme="minorHAnsi"/>
          <w:sz w:val="22"/>
          <w:szCs w:val="22"/>
          <w:vertAlign w:val="superscript"/>
          <w:lang w:val="mi-NZ"/>
        </w:rPr>
        <w:footnoteReference w:id="354"/>
      </w:r>
      <w:r w:rsidRPr="00853CF0">
        <w:rPr>
          <w:rFonts w:cstheme="minorHAnsi"/>
          <w:sz w:val="22"/>
          <w:szCs w:val="22"/>
          <w:lang w:val="mi-NZ"/>
        </w:rPr>
        <w:t xml:space="preserve"> This is a significant gap given the impacts that climate change is having on children’s rights now, and will continue to have on successive generations of children. </w:t>
      </w:r>
    </w:p>
    <w:p w14:paraId="530076E3" w14:textId="77777777" w:rsidR="00853CF0" w:rsidRPr="00853CF0" w:rsidRDefault="00853CF0" w:rsidP="00853CF0">
      <w:pPr>
        <w:pStyle w:val="ListParagraph"/>
        <w:rPr>
          <w:rFonts w:cstheme="minorHAnsi"/>
          <w:sz w:val="22"/>
          <w:szCs w:val="22"/>
          <w:lang w:val="en-NZ"/>
        </w:rPr>
      </w:pPr>
    </w:p>
    <w:p w14:paraId="53DDD0D5" w14:textId="77777777" w:rsidR="00853CF0" w:rsidRPr="00853CF0" w:rsidRDefault="00853CF0" w:rsidP="00853CF0">
      <w:pPr>
        <w:pStyle w:val="ListParagraph"/>
        <w:numPr>
          <w:ilvl w:val="0"/>
          <w:numId w:val="9"/>
        </w:numPr>
        <w:ind w:hanging="720"/>
        <w:rPr>
          <w:rFonts w:cstheme="minorHAnsi"/>
          <w:sz w:val="22"/>
          <w:szCs w:val="22"/>
          <w:lang w:val="en-NZ"/>
        </w:rPr>
      </w:pPr>
      <w:r w:rsidRPr="00853CF0">
        <w:rPr>
          <w:rFonts w:cstheme="minorHAnsi"/>
          <w:sz w:val="22"/>
          <w:szCs w:val="22"/>
          <w:lang w:val="mi-NZ"/>
        </w:rPr>
        <w:t>‘</w:t>
      </w:r>
      <w:r>
        <w:fldChar w:fldCharType="begin"/>
      </w:r>
      <w:r>
        <w:instrText xml:space="preserve"> HYPERLINK "https://www.youtube.com/watch?v=GWeG_UEMf-E" </w:instrText>
      </w:r>
      <w:r>
        <w:fldChar w:fldCharType="separate"/>
      </w:r>
      <w:r w:rsidRPr="00853CF0">
        <w:rPr>
          <w:rStyle w:val="Hyperlink"/>
          <w:rFonts w:cstheme="minorHAnsi"/>
          <w:sz w:val="22"/>
          <w:szCs w:val="22"/>
          <w:lang w:val="mi-NZ"/>
        </w:rPr>
        <w:t>We ask to be heard’</w:t>
      </w:r>
      <w:r>
        <w:rPr>
          <w:rStyle w:val="Hyperlink"/>
          <w:rFonts w:cstheme="minorHAnsi"/>
          <w:sz w:val="22"/>
          <w:szCs w:val="22"/>
          <w:lang w:val="mi-NZ"/>
        </w:rPr>
        <w:fldChar w:fldCharType="end"/>
      </w:r>
      <w:r w:rsidRPr="00853CF0">
        <w:rPr>
          <w:rFonts w:cstheme="minorHAnsi"/>
          <w:sz w:val="22"/>
          <w:szCs w:val="22"/>
          <w:lang w:val="mi-NZ"/>
        </w:rPr>
        <w:t xml:space="preserve"> demonstrates the power of teaching and supporting climate change hope, and the difference that can be made when children are </w:t>
      </w:r>
      <w:r w:rsidRPr="00853CF0">
        <w:rPr>
          <w:rFonts w:cstheme="minorHAnsi"/>
          <w:sz w:val="22"/>
          <w:szCs w:val="22"/>
          <w:lang w:val="mi-NZ"/>
        </w:rPr>
        <w:lastRenderedPageBreak/>
        <w:t>respected as active participants in responding and adapting to the climate crisis.</w:t>
      </w:r>
      <w:r w:rsidRPr="00853CF0">
        <w:rPr>
          <w:rFonts w:cstheme="minorHAnsi"/>
          <w:sz w:val="22"/>
          <w:szCs w:val="22"/>
          <w:vertAlign w:val="superscript"/>
          <w:lang w:val="mi-NZ"/>
        </w:rPr>
        <w:footnoteReference w:id="355"/>
      </w:r>
      <w:r w:rsidRPr="00853CF0">
        <w:rPr>
          <w:rFonts w:cstheme="minorHAnsi"/>
          <w:sz w:val="22"/>
          <w:szCs w:val="22"/>
          <w:lang w:val="mi-NZ"/>
        </w:rPr>
        <w:t xml:space="preserve"> </w:t>
      </w:r>
      <w:r w:rsidRPr="00853CF0">
        <w:rPr>
          <w:rFonts w:cstheme="minorHAnsi"/>
          <w:sz w:val="22"/>
          <w:szCs w:val="22"/>
          <w:vertAlign w:val="superscript"/>
          <w:lang w:val="mi-NZ"/>
        </w:rPr>
        <w:footnoteReference w:id="356"/>
      </w:r>
      <w:r w:rsidRPr="00853CF0">
        <w:rPr>
          <w:rFonts w:cstheme="minorHAnsi"/>
          <w:sz w:val="22"/>
          <w:szCs w:val="22"/>
          <w:lang w:val="mi-NZ"/>
        </w:rPr>
        <w:t xml:space="preserve"> </w:t>
      </w:r>
    </w:p>
    <w:p w14:paraId="7FA16A92" w14:textId="77777777" w:rsidR="00853CF0" w:rsidRPr="00853CF0" w:rsidRDefault="00853CF0" w:rsidP="00853CF0">
      <w:pPr>
        <w:pStyle w:val="ListParagraph"/>
        <w:rPr>
          <w:rFonts w:cstheme="minorHAnsi"/>
          <w:sz w:val="22"/>
          <w:szCs w:val="22"/>
          <w:lang w:val="mi-NZ"/>
        </w:rPr>
      </w:pPr>
    </w:p>
    <w:p w14:paraId="6E825228" w14:textId="77777777" w:rsidR="00853CF0" w:rsidRPr="00853CF0" w:rsidRDefault="00853CF0" w:rsidP="00853CF0">
      <w:pPr>
        <w:pStyle w:val="ListParagraph"/>
        <w:numPr>
          <w:ilvl w:val="0"/>
          <w:numId w:val="9"/>
        </w:numPr>
        <w:ind w:hanging="720"/>
        <w:rPr>
          <w:rFonts w:cstheme="minorHAnsi"/>
          <w:sz w:val="22"/>
          <w:szCs w:val="22"/>
          <w:lang w:val="en-NZ"/>
        </w:rPr>
      </w:pPr>
      <w:r w:rsidRPr="00853CF0">
        <w:rPr>
          <w:rFonts w:cstheme="minorHAnsi"/>
          <w:sz w:val="22"/>
          <w:szCs w:val="22"/>
          <w:lang w:val="en-NZ"/>
        </w:rPr>
        <w:t>It is imperative that children, their experiences, views and outcomes, are systematically factored into the development of policies and programmes addressing climate change (mitigation and adaptation).</w:t>
      </w:r>
    </w:p>
    <w:p w14:paraId="1896B0C2" w14:textId="77777777" w:rsidR="00853CF0" w:rsidRPr="00853CF0" w:rsidRDefault="00853CF0" w:rsidP="00853CF0">
      <w:pPr>
        <w:pStyle w:val="ListParagraph"/>
        <w:rPr>
          <w:rFonts w:cstheme="minorHAnsi"/>
          <w:sz w:val="22"/>
          <w:szCs w:val="22"/>
          <w:lang w:val="en-NZ"/>
        </w:rPr>
      </w:pPr>
    </w:p>
    <w:p w14:paraId="6807CF6D" w14:textId="77777777" w:rsidR="00853CF0" w:rsidRPr="00853CF0" w:rsidRDefault="00853CF0" w:rsidP="00853CF0">
      <w:pPr>
        <w:pStyle w:val="ListParagraph"/>
        <w:numPr>
          <w:ilvl w:val="0"/>
          <w:numId w:val="9"/>
        </w:numPr>
        <w:ind w:hanging="720"/>
        <w:rPr>
          <w:rFonts w:cstheme="minorHAnsi"/>
          <w:sz w:val="22"/>
          <w:szCs w:val="22"/>
          <w:lang w:val="en-NZ"/>
        </w:rPr>
      </w:pPr>
      <w:r w:rsidRPr="00853CF0">
        <w:rPr>
          <w:rFonts w:cstheme="minorHAnsi"/>
          <w:sz w:val="22"/>
          <w:szCs w:val="22"/>
          <w:lang w:val="mi-NZ"/>
        </w:rPr>
        <w:t xml:space="preserve">At a minimum, to safeguard and uphold children’s rights now and intergenerationally, as the climate crisis deepens, Government must take urgent action to: </w:t>
      </w:r>
      <w:r w:rsidRPr="00853CF0">
        <w:rPr>
          <w:rFonts w:cstheme="minorHAnsi"/>
          <w:sz w:val="22"/>
          <w:szCs w:val="22"/>
          <w:lang w:val="en-NZ"/>
        </w:rPr>
        <w:t>reduce emissions;</w:t>
      </w:r>
      <w:r w:rsidRPr="00853CF0">
        <w:rPr>
          <w:rFonts w:cstheme="minorHAnsi"/>
          <w:sz w:val="22"/>
          <w:szCs w:val="22"/>
          <w:vertAlign w:val="superscript"/>
          <w:lang w:val="en-NZ"/>
        </w:rPr>
        <w:footnoteReference w:id="357"/>
      </w:r>
      <w:r w:rsidRPr="00853CF0">
        <w:rPr>
          <w:rFonts w:cstheme="minorHAnsi"/>
          <w:sz w:val="22"/>
          <w:szCs w:val="22"/>
          <w:lang w:val="en-NZ"/>
        </w:rPr>
        <w:t xml:space="preserve"> move to carbon-neutrality;</w:t>
      </w:r>
      <w:r w:rsidRPr="00853CF0">
        <w:rPr>
          <w:rFonts w:cstheme="minorHAnsi"/>
          <w:sz w:val="22"/>
          <w:szCs w:val="22"/>
          <w:vertAlign w:val="superscript"/>
          <w:lang w:val="en-NZ"/>
        </w:rPr>
        <w:footnoteReference w:id="358"/>
      </w:r>
      <w:r w:rsidRPr="00853CF0">
        <w:rPr>
          <w:rFonts w:cstheme="minorHAnsi"/>
          <w:sz w:val="22"/>
          <w:szCs w:val="22"/>
          <w:lang w:val="en-NZ"/>
        </w:rPr>
        <w:t xml:space="preserve"> monitor, evaluate and reduce the impact of the agricultural sector (especially the dairy industry) on children’s rights; </w:t>
      </w:r>
      <w:r w:rsidRPr="00853CF0">
        <w:rPr>
          <w:rFonts w:cstheme="minorHAnsi"/>
          <w:sz w:val="22"/>
          <w:szCs w:val="22"/>
          <w:vertAlign w:val="superscript"/>
          <w:lang w:val="mi-NZ"/>
        </w:rPr>
        <w:footnoteReference w:id="359"/>
      </w:r>
      <w:r w:rsidRPr="00853CF0">
        <w:rPr>
          <w:rFonts w:cstheme="minorHAnsi"/>
          <w:sz w:val="22"/>
          <w:szCs w:val="22"/>
          <w:lang w:val="en-NZ"/>
        </w:rPr>
        <w:t xml:space="preserve"> raise awareness and educate, with active participation by schools, on climate change and environmental health;</w:t>
      </w:r>
      <w:r w:rsidRPr="00853CF0">
        <w:rPr>
          <w:rFonts w:cstheme="minorHAnsi"/>
          <w:sz w:val="22"/>
          <w:szCs w:val="22"/>
          <w:vertAlign w:val="superscript"/>
          <w:lang w:val="en-NZ"/>
        </w:rPr>
        <w:footnoteReference w:id="360"/>
      </w:r>
      <w:r w:rsidRPr="00853CF0">
        <w:rPr>
          <w:rFonts w:cstheme="minorHAnsi"/>
          <w:sz w:val="22"/>
          <w:szCs w:val="22"/>
          <w:lang w:val="en-NZ"/>
        </w:rPr>
        <w:t xml:space="preserve"> </w:t>
      </w:r>
      <w:r w:rsidRPr="00853CF0">
        <w:rPr>
          <w:rFonts w:cstheme="minorHAnsi"/>
          <w:sz w:val="22"/>
          <w:szCs w:val="22"/>
          <w:vertAlign w:val="superscript"/>
          <w:lang w:val="en-NZ"/>
        </w:rPr>
        <w:footnoteReference w:id="361"/>
      </w:r>
      <w:r w:rsidRPr="00853CF0">
        <w:rPr>
          <w:rFonts w:cstheme="minorHAnsi"/>
          <w:sz w:val="22"/>
          <w:szCs w:val="22"/>
          <w:lang w:val="en-NZ"/>
        </w:rPr>
        <w:t xml:space="preserve"> collect data on the impact of climate change on children; and contribute to child-centred bilateral, multilateral, regional and international cooperation on climate change and environmental degradation.</w:t>
      </w:r>
      <w:r w:rsidRPr="00853CF0">
        <w:rPr>
          <w:rFonts w:cstheme="minorHAnsi"/>
          <w:sz w:val="22"/>
          <w:szCs w:val="22"/>
          <w:vertAlign w:val="superscript"/>
          <w:lang w:val="en-NZ"/>
        </w:rPr>
        <w:footnoteReference w:id="362"/>
      </w:r>
    </w:p>
    <w:p w14:paraId="0EAD7758" w14:textId="77777777" w:rsidR="00853CF0" w:rsidRPr="00853CF0" w:rsidRDefault="00853CF0" w:rsidP="00853CF0">
      <w:pPr>
        <w:pStyle w:val="ListParagraph"/>
        <w:rPr>
          <w:rFonts w:cstheme="minorHAnsi"/>
          <w:sz w:val="22"/>
          <w:szCs w:val="22"/>
          <w:lang w:val="mi-NZ"/>
        </w:rPr>
      </w:pPr>
    </w:p>
    <w:p w14:paraId="2BD0131E" w14:textId="7149B505" w:rsidR="00D154E7" w:rsidRPr="009C383E" w:rsidRDefault="00853CF0" w:rsidP="009C383E">
      <w:pPr>
        <w:pStyle w:val="ListParagraph"/>
        <w:numPr>
          <w:ilvl w:val="0"/>
          <w:numId w:val="9"/>
        </w:numPr>
        <w:ind w:hanging="720"/>
        <w:rPr>
          <w:rFonts w:cstheme="minorHAnsi"/>
          <w:sz w:val="22"/>
          <w:szCs w:val="22"/>
          <w:lang w:val="mi-NZ"/>
        </w:rPr>
      </w:pPr>
      <w:r w:rsidRPr="00853CF0">
        <w:rPr>
          <w:rFonts w:cstheme="minorHAnsi"/>
          <w:sz w:val="22"/>
          <w:szCs w:val="22"/>
          <w:lang w:val="mi-NZ"/>
        </w:rPr>
        <w:t>Pleas</w:t>
      </w:r>
      <w:r w:rsidR="00583EF6">
        <w:rPr>
          <w:rFonts w:cstheme="minorHAnsi"/>
          <w:sz w:val="22"/>
          <w:szCs w:val="22"/>
          <w:lang w:val="mi-NZ"/>
        </w:rPr>
        <w:t>e s</w:t>
      </w:r>
      <w:r>
        <w:rPr>
          <w:rFonts w:cstheme="minorHAnsi"/>
          <w:sz w:val="22"/>
          <w:szCs w:val="22"/>
          <w:lang w:val="mi-NZ"/>
        </w:rPr>
        <w:t>e</w:t>
      </w:r>
      <w:r w:rsidRPr="00853CF0">
        <w:rPr>
          <w:rFonts w:cstheme="minorHAnsi"/>
          <w:sz w:val="22"/>
          <w:szCs w:val="22"/>
          <w:lang w:val="mi-NZ"/>
        </w:rPr>
        <w:t xml:space="preserve">e the Children’s Rights in </w:t>
      </w:r>
      <w:r w:rsidR="00292ADC">
        <w:rPr>
          <w:rFonts w:cstheme="minorHAnsi"/>
          <w:sz w:val="22"/>
          <w:szCs w:val="22"/>
          <w:lang w:val="mi-NZ"/>
        </w:rPr>
        <w:t>a Changing Climate</w:t>
      </w:r>
      <w:r w:rsidRPr="00853CF0">
        <w:rPr>
          <w:rFonts w:cstheme="minorHAnsi"/>
          <w:sz w:val="22"/>
          <w:szCs w:val="22"/>
          <w:lang w:val="mi-NZ"/>
        </w:rPr>
        <w:t xml:space="preserve"> Thematic Report.</w:t>
      </w:r>
    </w:p>
    <w:p w14:paraId="18A50B8E" w14:textId="14F8E75A" w:rsidR="00853CF0" w:rsidRPr="00853CF0" w:rsidRDefault="00853CF0" w:rsidP="00853CF0">
      <w:pPr>
        <w:pStyle w:val="IntenseQuote"/>
        <w:ind w:left="720"/>
        <w:jc w:val="left"/>
        <w:rPr>
          <w:b/>
          <w:bCs/>
          <w:i w:val="0"/>
          <w:iCs w:val="0"/>
          <w:sz w:val="24"/>
          <w:szCs w:val="24"/>
          <w:lang w:val="mi-NZ"/>
        </w:rPr>
      </w:pPr>
      <w:r w:rsidRPr="00853CF0">
        <w:rPr>
          <w:b/>
          <w:bCs/>
          <w:i w:val="0"/>
          <w:iCs w:val="0"/>
          <w:sz w:val="24"/>
          <w:szCs w:val="24"/>
          <w:lang w:val="mi-NZ"/>
        </w:rPr>
        <w:t>Recommendations</w:t>
      </w:r>
    </w:p>
    <w:p w14:paraId="6D1E1E49" w14:textId="2A2635A0" w:rsidR="00853CF0" w:rsidRPr="00853CF0" w:rsidRDefault="00853CF0" w:rsidP="00916EA3">
      <w:pPr>
        <w:pStyle w:val="IntenseQuote"/>
        <w:numPr>
          <w:ilvl w:val="0"/>
          <w:numId w:val="23"/>
        </w:numPr>
        <w:jc w:val="left"/>
        <w:rPr>
          <w:i w:val="0"/>
          <w:iCs w:val="0"/>
          <w:sz w:val="22"/>
          <w:szCs w:val="22"/>
          <w:lang w:val="mi-NZ"/>
        </w:rPr>
      </w:pPr>
      <w:r w:rsidRPr="00853CF0">
        <w:rPr>
          <w:i w:val="0"/>
          <w:iCs w:val="0"/>
          <w:sz w:val="22"/>
          <w:szCs w:val="22"/>
          <w:lang w:val="mi-NZ"/>
        </w:rPr>
        <w:t>Use a children’s rights approach to develop, implement, monitor and evaluate climate change policies, paying particular attention to the rights of tamariki Māori, Pacific children, disabled children, and children living in low-income settings.</w:t>
      </w:r>
    </w:p>
    <w:p w14:paraId="4BE741B6" w14:textId="2148251F" w:rsidR="00853CF0" w:rsidRPr="00853CF0" w:rsidRDefault="00853CF0" w:rsidP="00916EA3">
      <w:pPr>
        <w:pStyle w:val="IntenseQuote"/>
        <w:numPr>
          <w:ilvl w:val="0"/>
          <w:numId w:val="23"/>
        </w:numPr>
        <w:jc w:val="left"/>
        <w:rPr>
          <w:i w:val="0"/>
          <w:iCs w:val="0"/>
          <w:sz w:val="22"/>
          <w:szCs w:val="22"/>
          <w:lang w:val="mi-NZ"/>
        </w:rPr>
      </w:pPr>
      <w:r w:rsidRPr="00853CF0">
        <w:rPr>
          <w:i w:val="0"/>
          <w:iCs w:val="0"/>
          <w:sz w:val="22"/>
          <w:szCs w:val="22"/>
          <w:lang w:val="mi-NZ"/>
        </w:rPr>
        <w:t>Assess the agricultural sector’s impacts (especially pollution and greenhouse gas emissions) on children’s rights and use a children’s rights approach to support shifts in modes of production where necessary.</w:t>
      </w:r>
    </w:p>
    <w:p w14:paraId="65BD772D" w14:textId="2369C988" w:rsidR="005103FF" w:rsidRDefault="005103FF" w:rsidP="00916EA3">
      <w:pPr>
        <w:pStyle w:val="IntenseQuote"/>
        <w:numPr>
          <w:ilvl w:val="0"/>
          <w:numId w:val="23"/>
        </w:numPr>
        <w:jc w:val="left"/>
        <w:rPr>
          <w:i w:val="0"/>
          <w:iCs w:val="0"/>
          <w:sz w:val="22"/>
          <w:szCs w:val="22"/>
          <w:lang w:val="mi-NZ"/>
        </w:rPr>
      </w:pPr>
      <w:r>
        <w:rPr>
          <w:i w:val="0"/>
          <w:iCs w:val="0"/>
          <w:sz w:val="22"/>
          <w:szCs w:val="22"/>
          <w:lang w:val="mi-NZ"/>
        </w:rPr>
        <w:t xml:space="preserve">Ensure national emissions reductions plans and targets explicitly protect the rights of tamariki Māori and all children. </w:t>
      </w:r>
    </w:p>
    <w:p w14:paraId="315C2B68" w14:textId="7B5ACED3" w:rsidR="00853CF0" w:rsidRPr="00853CF0" w:rsidRDefault="00853CF0" w:rsidP="00916EA3">
      <w:pPr>
        <w:pStyle w:val="IntenseQuote"/>
        <w:numPr>
          <w:ilvl w:val="0"/>
          <w:numId w:val="23"/>
        </w:numPr>
        <w:jc w:val="left"/>
        <w:rPr>
          <w:i w:val="0"/>
          <w:iCs w:val="0"/>
          <w:sz w:val="22"/>
          <w:szCs w:val="22"/>
          <w:lang w:val="mi-NZ"/>
        </w:rPr>
      </w:pPr>
      <w:r w:rsidRPr="00853CF0">
        <w:rPr>
          <w:i w:val="0"/>
          <w:iCs w:val="0"/>
          <w:sz w:val="22"/>
          <w:szCs w:val="22"/>
          <w:lang w:val="mi-NZ"/>
        </w:rPr>
        <w:t>Strengthen climate change education for children by integrating environment and climate change issues into the national curriculum, supporting the professional development of teachers, and developing resources for Māori or Pacific communities on climate.</w:t>
      </w:r>
    </w:p>
    <w:p w14:paraId="0FE471DE" w14:textId="45171A17" w:rsidR="00853CF0" w:rsidRPr="00853CF0" w:rsidRDefault="00853CF0" w:rsidP="00916EA3">
      <w:pPr>
        <w:pStyle w:val="IntenseQuote"/>
        <w:numPr>
          <w:ilvl w:val="0"/>
          <w:numId w:val="23"/>
        </w:numPr>
        <w:jc w:val="left"/>
        <w:rPr>
          <w:i w:val="0"/>
          <w:iCs w:val="0"/>
          <w:sz w:val="22"/>
          <w:szCs w:val="22"/>
          <w:lang w:val="mi-NZ"/>
        </w:rPr>
      </w:pPr>
      <w:r w:rsidRPr="00853CF0">
        <w:rPr>
          <w:i w:val="0"/>
          <w:iCs w:val="0"/>
          <w:sz w:val="22"/>
          <w:szCs w:val="22"/>
          <w:lang w:val="mi-NZ"/>
        </w:rPr>
        <w:t xml:space="preserve">Collect </w:t>
      </w:r>
      <w:r w:rsidR="005103FF">
        <w:rPr>
          <w:i w:val="0"/>
          <w:iCs w:val="0"/>
          <w:sz w:val="22"/>
          <w:szCs w:val="22"/>
          <w:lang w:val="mi-NZ"/>
        </w:rPr>
        <w:t xml:space="preserve">disaggregated </w:t>
      </w:r>
      <w:r w:rsidRPr="00853CF0">
        <w:rPr>
          <w:i w:val="0"/>
          <w:iCs w:val="0"/>
          <w:sz w:val="22"/>
          <w:szCs w:val="22"/>
          <w:lang w:val="mi-NZ"/>
        </w:rPr>
        <w:t xml:space="preserve">data to monitor the impact of climate change on children. </w:t>
      </w:r>
    </w:p>
    <w:p w14:paraId="49F1069F" w14:textId="77777777" w:rsidR="00853CF0" w:rsidRPr="00853CF0" w:rsidRDefault="00853CF0" w:rsidP="00916EA3">
      <w:pPr>
        <w:pStyle w:val="IntenseQuote"/>
        <w:numPr>
          <w:ilvl w:val="0"/>
          <w:numId w:val="23"/>
        </w:numPr>
        <w:jc w:val="left"/>
        <w:rPr>
          <w:i w:val="0"/>
          <w:iCs w:val="0"/>
          <w:sz w:val="22"/>
          <w:szCs w:val="22"/>
          <w:lang w:val="mi-NZ"/>
        </w:rPr>
      </w:pPr>
      <w:r w:rsidRPr="00853CF0">
        <w:rPr>
          <w:i w:val="0"/>
          <w:iCs w:val="0"/>
          <w:sz w:val="22"/>
          <w:szCs w:val="22"/>
          <w:lang w:val="mi-NZ"/>
        </w:rPr>
        <w:t>Ensure a focus on children and their rights in contributions to bilateral, multilateral, regional and international cooperation to mitigate and adapt to the effects of climate change.</w:t>
      </w:r>
    </w:p>
    <w:p w14:paraId="7EF74D28" w14:textId="60ADDE79" w:rsidR="00853CF0" w:rsidRPr="00C8436B" w:rsidRDefault="00853CF0" w:rsidP="00C8436B">
      <w:pPr>
        <w:pStyle w:val="Heading1"/>
        <w:rPr>
          <w:lang w:val="mi-NZ"/>
        </w:rPr>
      </w:pPr>
      <w:bookmarkStart w:id="50" w:name="_Toc111485474"/>
      <w:r w:rsidRPr="00E7687D">
        <w:rPr>
          <w:lang w:val="mi-NZ"/>
        </w:rPr>
        <w:t>Standard of Living – LOIPR 24</w:t>
      </w:r>
      <w:bookmarkEnd w:id="50"/>
    </w:p>
    <w:p w14:paraId="1EB704CB" w14:textId="44C024EF" w:rsidR="00853CF0" w:rsidRDefault="00853CF0" w:rsidP="00853CF0">
      <w:pPr>
        <w:rPr>
          <w:rFonts w:cstheme="minorHAnsi"/>
          <w:sz w:val="22"/>
          <w:szCs w:val="22"/>
          <w:lang w:val="mi-NZ"/>
        </w:rPr>
      </w:pPr>
    </w:p>
    <w:p w14:paraId="667D718F" w14:textId="77777777" w:rsidR="00853CF0" w:rsidRPr="00E7687D" w:rsidRDefault="00853CF0" w:rsidP="00853CF0">
      <w:pPr>
        <w:pStyle w:val="Heading2"/>
      </w:pPr>
      <w:bookmarkStart w:id="51" w:name="_Toc111485475"/>
      <w:r w:rsidRPr="00E7687D">
        <w:t>Child Poverty</w:t>
      </w:r>
      <w:bookmarkEnd w:id="51"/>
    </w:p>
    <w:p w14:paraId="1A55BE97" w14:textId="77777777" w:rsidR="00853CF0" w:rsidRPr="00853CF0" w:rsidRDefault="00853CF0" w:rsidP="00853CF0">
      <w:pPr>
        <w:rPr>
          <w:rFonts w:cstheme="minorHAnsi"/>
          <w:sz w:val="22"/>
          <w:szCs w:val="22"/>
          <w:lang w:val="mi-NZ"/>
        </w:rPr>
      </w:pPr>
    </w:p>
    <w:p w14:paraId="34544FBF" w14:textId="14D83474" w:rsidR="00853CF0" w:rsidRPr="008D17FE" w:rsidRDefault="00853CF0" w:rsidP="00853CF0">
      <w:pPr>
        <w:pStyle w:val="ListParagraph"/>
        <w:numPr>
          <w:ilvl w:val="0"/>
          <w:numId w:val="9"/>
        </w:numPr>
        <w:ind w:hanging="720"/>
        <w:rPr>
          <w:rFonts w:cstheme="minorHAnsi"/>
          <w:sz w:val="22"/>
          <w:szCs w:val="22"/>
          <w:lang w:val="mi-NZ"/>
        </w:rPr>
      </w:pPr>
      <w:r w:rsidRPr="00853CF0">
        <w:rPr>
          <w:rFonts w:cstheme="minorHAnsi"/>
          <w:sz w:val="22"/>
          <w:szCs w:val="22"/>
          <w:lang w:val="mi-NZ"/>
        </w:rPr>
        <w:t xml:space="preserve">Child poverty is now being measured in </w:t>
      </w:r>
      <w:r w:rsidR="00E052E1">
        <w:rPr>
          <w:rFonts w:cstheme="minorHAnsi"/>
          <w:sz w:val="22"/>
          <w:szCs w:val="22"/>
          <w:lang w:val="mi-NZ"/>
        </w:rPr>
        <w:t>Aotearoa</w:t>
      </w:r>
      <w:r w:rsidR="00E052E1" w:rsidRPr="00853CF0">
        <w:rPr>
          <w:rFonts w:cstheme="minorHAnsi"/>
          <w:sz w:val="22"/>
          <w:szCs w:val="22"/>
          <w:lang w:val="mi-NZ"/>
        </w:rPr>
        <w:t xml:space="preserve"> </w:t>
      </w:r>
      <w:r w:rsidRPr="00853CF0">
        <w:rPr>
          <w:rFonts w:cstheme="minorHAnsi"/>
          <w:sz w:val="22"/>
          <w:szCs w:val="22"/>
          <w:lang w:val="mi-NZ"/>
        </w:rPr>
        <w:t xml:space="preserve">by levels of income (before and after housing) and material hardship. Governments are required, by </w:t>
      </w:r>
      <w:r w:rsidRPr="00853CF0">
        <w:rPr>
          <w:rFonts w:cstheme="minorHAnsi"/>
          <w:sz w:val="22"/>
          <w:szCs w:val="22"/>
          <w:lang w:val="mi-NZ"/>
        </w:rPr>
        <w:lastRenderedPageBreak/>
        <w:t>statute, to set targets for child poverty reduction.</w:t>
      </w:r>
      <w:r w:rsidRPr="00853CF0">
        <w:rPr>
          <w:rFonts w:cstheme="minorHAnsi"/>
          <w:sz w:val="22"/>
          <w:szCs w:val="22"/>
          <w:vertAlign w:val="superscript"/>
          <w:lang w:val="mi-NZ"/>
        </w:rPr>
        <w:footnoteReference w:id="363"/>
      </w:r>
      <w:r w:rsidRPr="00853CF0">
        <w:rPr>
          <w:rFonts w:cstheme="minorHAnsi"/>
          <w:sz w:val="22"/>
          <w:szCs w:val="22"/>
          <w:lang w:val="mi-NZ"/>
        </w:rPr>
        <w:t xml:space="preserve"> By 2023/24, Government aims to reduce the proportion of children in:</w:t>
      </w:r>
    </w:p>
    <w:p w14:paraId="21841C7E" w14:textId="77777777" w:rsidR="00853CF0" w:rsidRPr="00853CF0" w:rsidRDefault="00853CF0" w:rsidP="00916EA3">
      <w:pPr>
        <w:pStyle w:val="ListParagraph"/>
        <w:numPr>
          <w:ilvl w:val="0"/>
          <w:numId w:val="36"/>
        </w:numPr>
        <w:rPr>
          <w:rFonts w:cstheme="minorHAnsi"/>
          <w:sz w:val="22"/>
          <w:szCs w:val="22"/>
          <w:lang w:val="mi-NZ"/>
        </w:rPr>
      </w:pPr>
      <w:r w:rsidRPr="00853CF0">
        <w:rPr>
          <w:rFonts w:cstheme="minorHAnsi"/>
          <w:sz w:val="22"/>
          <w:szCs w:val="22"/>
          <w:lang w:val="mi-NZ"/>
        </w:rPr>
        <w:t>Low-income households on the before-housing-costs measure to 10%.</w:t>
      </w:r>
    </w:p>
    <w:p w14:paraId="6445D9E6" w14:textId="77777777" w:rsidR="00853CF0" w:rsidRPr="00853CF0" w:rsidRDefault="00853CF0" w:rsidP="00916EA3">
      <w:pPr>
        <w:pStyle w:val="ListParagraph"/>
        <w:numPr>
          <w:ilvl w:val="0"/>
          <w:numId w:val="36"/>
        </w:numPr>
        <w:rPr>
          <w:rFonts w:cstheme="minorHAnsi"/>
          <w:sz w:val="22"/>
          <w:szCs w:val="22"/>
          <w:lang w:val="mi-NZ"/>
        </w:rPr>
      </w:pPr>
      <w:r w:rsidRPr="00853CF0">
        <w:rPr>
          <w:rFonts w:cstheme="minorHAnsi"/>
          <w:sz w:val="22"/>
          <w:szCs w:val="22"/>
          <w:lang w:val="mi-NZ"/>
        </w:rPr>
        <w:t>Low-income households on the after-housing costs measure to 15%.</w:t>
      </w:r>
    </w:p>
    <w:p w14:paraId="66C53B5F" w14:textId="77777777" w:rsidR="00853CF0" w:rsidRPr="00853CF0" w:rsidRDefault="00853CF0" w:rsidP="00916EA3">
      <w:pPr>
        <w:pStyle w:val="ListParagraph"/>
        <w:numPr>
          <w:ilvl w:val="0"/>
          <w:numId w:val="36"/>
        </w:numPr>
        <w:rPr>
          <w:rFonts w:cstheme="minorHAnsi"/>
          <w:sz w:val="22"/>
          <w:szCs w:val="22"/>
          <w:lang w:val="mi-NZ"/>
        </w:rPr>
      </w:pPr>
      <w:r w:rsidRPr="00853CF0">
        <w:rPr>
          <w:rFonts w:cstheme="minorHAnsi"/>
          <w:sz w:val="22"/>
          <w:szCs w:val="22"/>
          <w:lang w:val="mi-NZ"/>
        </w:rPr>
        <w:t>Material hardship to 9%.</w:t>
      </w:r>
      <w:r w:rsidRPr="00853CF0">
        <w:rPr>
          <w:rFonts w:cstheme="minorHAnsi"/>
          <w:sz w:val="22"/>
          <w:szCs w:val="22"/>
          <w:vertAlign w:val="superscript"/>
          <w:lang w:val="mi-NZ"/>
        </w:rPr>
        <w:footnoteReference w:id="364"/>
      </w:r>
    </w:p>
    <w:p w14:paraId="37839E27" w14:textId="77777777" w:rsidR="00853CF0" w:rsidRPr="00853CF0" w:rsidRDefault="00853CF0" w:rsidP="00853CF0">
      <w:pPr>
        <w:pStyle w:val="ListParagraph"/>
        <w:rPr>
          <w:rFonts w:cstheme="minorHAnsi"/>
          <w:sz w:val="22"/>
          <w:szCs w:val="22"/>
          <w:lang w:val="mi-NZ"/>
        </w:rPr>
      </w:pPr>
    </w:p>
    <w:p w14:paraId="4F57148F" w14:textId="77777777" w:rsidR="00853CF0" w:rsidRPr="00853CF0" w:rsidRDefault="00853CF0" w:rsidP="00853CF0">
      <w:pPr>
        <w:pStyle w:val="ListParagraph"/>
        <w:numPr>
          <w:ilvl w:val="0"/>
          <w:numId w:val="9"/>
        </w:numPr>
        <w:ind w:hanging="720"/>
        <w:rPr>
          <w:rFonts w:cstheme="minorHAnsi"/>
          <w:sz w:val="22"/>
          <w:szCs w:val="22"/>
          <w:lang w:val="mi-NZ"/>
        </w:rPr>
      </w:pPr>
      <w:r w:rsidRPr="00853CF0">
        <w:rPr>
          <w:rFonts w:cstheme="minorHAnsi"/>
          <w:sz w:val="22"/>
          <w:szCs w:val="22"/>
          <w:lang w:val="mi-NZ"/>
        </w:rPr>
        <w:t>The latest child poverty statistics are for the 2020/21 year and show some reduction in child poverty rates, with two out of three Government reduction targets being met.</w:t>
      </w:r>
      <w:r w:rsidRPr="00853CF0">
        <w:rPr>
          <w:rFonts w:cstheme="minorHAnsi"/>
          <w:sz w:val="22"/>
          <w:szCs w:val="22"/>
          <w:vertAlign w:val="superscript"/>
          <w:lang w:val="mi-NZ"/>
        </w:rPr>
        <w:footnoteReference w:id="365"/>
      </w:r>
      <w:r w:rsidRPr="00853CF0">
        <w:rPr>
          <w:rFonts w:cstheme="minorHAnsi"/>
          <w:sz w:val="22"/>
          <w:szCs w:val="22"/>
          <w:lang w:val="mi-NZ"/>
        </w:rPr>
        <w:t xml:space="preserve"> </w:t>
      </w:r>
    </w:p>
    <w:p w14:paraId="5ABC9C59" w14:textId="77777777" w:rsidR="00853CF0" w:rsidRPr="00853CF0" w:rsidRDefault="00853CF0" w:rsidP="00853CF0">
      <w:pPr>
        <w:pStyle w:val="ListParagraph"/>
        <w:rPr>
          <w:rFonts w:cstheme="minorHAnsi"/>
          <w:sz w:val="22"/>
          <w:szCs w:val="22"/>
          <w:lang w:val="mi-NZ"/>
        </w:rPr>
      </w:pPr>
    </w:p>
    <w:p w14:paraId="10C6D97A" w14:textId="2EAFBC9B" w:rsidR="00853CF0" w:rsidRPr="00853CF0" w:rsidRDefault="00853CF0" w:rsidP="00853CF0">
      <w:pPr>
        <w:pStyle w:val="ListParagraph"/>
        <w:numPr>
          <w:ilvl w:val="0"/>
          <w:numId w:val="9"/>
        </w:numPr>
        <w:ind w:hanging="720"/>
        <w:rPr>
          <w:rFonts w:cstheme="minorHAnsi"/>
          <w:sz w:val="22"/>
          <w:szCs w:val="22"/>
          <w:lang w:val="mi-NZ"/>
        </w:rPr>
      </w:pPr>
      <w:r w:rsidRPr="00853CF0">
        <w:rPr>
          <w:rFonts w:cstheme="minorHAnsi"/>
          <w:sz w:val="22"/>
          <w:szCs w:val="22"/>
          <w:lang w:val="mi-NZ"/>
        </w:rPr>
        <w:t xml:space="preserve">However, overall numbers remain high with </w:t>
      </w:r>
      <w:r w:rsidR="00B774D1">
        <w:rPr>
          <w:rFonts w:cstheme="minorHAnsi"/>
          <w:sz w:val="22"/>
          <w:szCs w:val="22"/>
          <w:lang w:val="mi-NZ"/>
        </w:rPr>
        <w:t xml:space="preserve">disabled </w:t>
      </w:r>
      <w:r w:rsidRPr="00853CF0">
        <w:rPr>
          <w:rFonts w:cstheme="minorHAnsi"/>
          <w:sz w:val="22"/>
          <w:szCs w:val="22"/>
          <w:lang w:val="mi-NZ"/>
        </w:rPr>
        <w:t>children, or living in families with disabilitie</w:t>
      </w:r>
      <w:r w:rsidR="00E052E1">
        <w:rPr>
          <w:rFonts w:cstheme="minorHAnsi"/>
          <w:sz w:val="22"/>
          <w:szCs w:val="22"/>
          <w:lang w:val="mi-NZ"/>
        </w:rPr>
        <w:t>s</w:t>
      </w:r>
      <w:r w:rsidRPr="00853CF0">
        <w:rPr>
          <w:rFonts w:cstheme="minorHAnsi"/>
          <w:sz w:val="22"/>
          <w:szCs w:val="22"/>
          <w:lang w:val="mi-NZ"/>
        </w:rPr>
        <w:t>, ,experiencing the highest rates of material disadvantage, and tamariki Māori and Pacific children disproporionately experiencing poverty on all measures.</w:t>
      </w:r>
      <w:r w:rsidRPr="00853CF0">
        <w:rPr>
          <w:rFonts w:cstheme="minorHAnsi"/>
          <w:sz w:val="22"/>
          <w:szCs w:val="22"/>
          <w:vertAlign w:val="superscript"/>
          <w:lang w:val="mi-NZ"/>
        </w:rPr>
        <w:footnoteReference w:id="366"/>
      </w:r>
    </w:p>
    <w:p w14:paraId="3791DA50" w14:textId="77777777" w:rsidR="00853CF0" w:rsidRPr="00853CF0" w:rsidRDefault="00853CF0" w:rsidP="008D17FE">
      <w:pPr>
        <w:pStyle w:val="ListParagraph"/>
        <w:rPr>
          <w:rFonts w:cstheme="minorHAnsi"/>
          <w:sz w:val="22"/>
          <w:szCs w:val="22"/>
          <w:lang w:val="mi-NZ"/>
        </w:rPr>
      </w:pPr>
    </w:p>
    <w:p w14:paraId="7171035B" w14:textId="77777777" w:rsidR="00853CF0" w:rsidRPr="00853CF0" w:rsidRDefault="00853CF0" w:rsidP="00853CF0">
      <w:pPr>
        <w:pStyle w:val="ListParagraph"/>
        <w:numPr>
          <w:ilvl w:val="0"/>
          <w:numId w:val="9"/>
        </w:numPr>
        <w:ind w:hanging="720"/>
        <w:rPr>
          <w:rFonts w:cstheme="minorHAnsi"/>
          <w:sz w:val="22"/>
          <w:szCs w:val="22"/>
          <w:lang w:val="en-NZ"/>
        </w:rPr>
      </w:pPr>
      <w:r w:rsidRPr="00853CF0">
        <w:rPr>
          <w:rFonts w:cstheme="minorHAnsi"/>
          <w:sz w:val="22"/>
          <w:szCs w:val="22"/>
          <w:lang w:val="mi-NZ"/>
        </w:rPr>
        <w:t>Child Poverty Action Group has reported that i</w:t>
      </w:r>
      <w:r w:rsidRPr="00853CF0">
        <w:rPr>
          <w:rFonts w:cstheme="minorHAnsi"/>
          <w:sz w:val="22"/>
          <w:szCs w:val="22"/>
          <w:lang w:val="en-NZ"/>
        </w:rPr>
        <w:t>n 2020/21 (until June 2021):</w:t>
      </w:r>
    </w:p>
    <w:p w14:paraId="22257957" w14:textId="77777777" w:rsidR="00853CF0" w:rsidRPr="008D17FE" w:rsidRDefault="00853CF0" w:rsidP="00916EA3">
      <w:pPr>
        <w:pStyle w:val="ListParagraph"/>
        <w:numPr>
          <w:ilvl w:val="0"/>
          <w:numId w:val="35"/>
        </w:numPr>
        <w:rPr>
          <w:rFonts w:cstheme="minorHAnsi"/>
          <w:sz w:val="22"/>
          <w:szCs w:val="22"/>
          <w:lang w:val="en-NZ"/>
        </w:rPr>
      </w:pPr>
      <w:r w:rsidRPr="008D17FE">
        <w:rPr>
          <w:rFonts w:cstheme="minorHAnsi"/>
          <w:b/>
          <w:bCs/>
          <w:sz w:val="22"/>
          <w:szCs w:val="22"/>
          <w:lang w:val="en-NZ"/>
        </w:rPr>
        <w:t xml:space="preserve">Approximately 322,900 children </w:t>
      </w:r>
      <w:r w:rsidRPr="008D17FE">
        <w:rPr>
          <w:rFonts w:cstheme="minorHAnsi"/>
          <w:sz w:val="22"/>
          <w:szCs w:val="22"/>
          <w:lang w:val="en-NZ"/>
        </w:rPr>
        <w:t>(28.1%) were living in after-housing-costs income poverty, on the 60% of equivalised household median, moving-line measure.</w:t>
      </w:r>
    </w:p>
    <w:p w14:paraId="12ACB11C" w14:textId="77777777" w:rsidR="00853CF0" w:rsidRPr="008D17FE" w:rsidRDefault="00853CF0" w:rsidP="00916EA3">
      <w:pPr>
        <w:pStyle w:val="ListParagraph"/>
        <w:numPr>
          <w:ilvl w:val="0"/>
          <w:numId w:val="35"/>
        </w:numPr>
        <w:rPr>
          <w:rFonts w:cstheme="minorHAnsi"/>
          <w:sz w:val="22"/>
          <w:szCs w:val="22"/>
          <w:lang w:val="en-NZ"/>
        </w:rPr>
      </w:pPr>
      <w:r w:rsidRPr="008D17FE">
        <w:rPr>
          <w:rFonts w:cstheme="minorHAnsi"/>
          <w:b/>
          <w:bCs/>
          <w:sz w:val="22"/>
          <w:szCs w:val="22"/>
          <w:lang w:val="en-NZ"/>
        </w:rPr>
        <w:t>Approximately 236,900 children</w:t>
      </w:r>
      <w:r w:rsidRPr="008D17FE">
        <w:rPr>
          <w:rFonts w:cstheme="minorHAnsi"/>
          <w:sz w:val="22"/>
          <w:szCs w:val="22"/>
          <w:lang w:val="en-NZ"/>
        </w:rPr>
        <w:t xml:space="preserve"> (20.6%) were living in income poverty, on the related 50% measure.</w:t>
      </w:r>
    </w:p>
    <w:p w14:paraId="061342FC" w14:textId="77777777" w:rsidR="00853CF0" w:rsidRPr="008D17FE" w:rsidRDefault="00853CF0" w:rsidP="00916EA3">
      <w:pPr>
        <w:pStyle w:val="ListParagraph"/>
        <w:numPr>
          <w:ilvl w:val="0"/>
          <w:numId w:val="35"/>
        </w:numPr>
        <w:rPr>
          <w:rFonts w:cstheme="minorHAnsi"/>
          <w:sz w:val="22"/>
          <w:szCs w:val="22"/>
          <w:lang w:val="en-NZ"/>
        </w:rPr>
      </w:pPr>
      <w:r w:rsidRPr="008D17FE">
        <w:rPr>
          <w:rFonts w:cstheme="minorHAnsi"/>
          <w:b/>
          <w:bCs/>
          <w:sz w:val="22"/>
          <w:szCs w:val="22"/>
          <w:lang w:val="en-NZ"/>
        </w:rPr>
        <w:t>Approximately 150,400 children</w:t>
      </w:r>
      <w:r w:rsidRPr="008D17FE">
        <w:rPr>
          <w:rFonts w:cstheme="minorHAnsi"/>
          <w:sz w:val="22"/>
          <w:szCs w:val="22"/>
          <w:lang w:val="en-NZ"/>
        </w:rPr>
        <w:t xml:space="preserve"> (13.1%) were living in </w:t>
      </w:r>
      <w:r w:rsidRPr="008D17FE">
        <w:rPr>
          <w:rFonts w:cstheme="minorHAnsi"/>
          <w:b/>
          <w:bCs/>
          <w:sz w:val="22"/>
          <w:szCs w:val="22"/>
          <w:lang w:val="en-NZ"/>
        </w:rPr>
        <w:t>severe</w:t>
      </w:r>
      <w:r w:rsidRPr="008D17FE">
        <w:rPr>
          <w:rFonts w:cstheme="minorHAnsi"/>
          <w:sz w:val="22"/>
          <w:szCs w:val="22"/>
          <w:lang w:val="en-NZ"/>
        </w:rPr>
        <w:t xml:space="preserve"> income poverty, on the 40% or less measure.</w:t>
      </w:r>
    </w:p>
    <w:p w14:paraId="416FB244" w14:textId="77777777" w:rsidR="00C8436B" w:rsidRDefault="00C8436B" w:rsidP="00C8436B">
      <w:pPr>
        <w:pStyle w:val="ListParagraph"/>
        <w:rPr>
          <w:rFonts w:cstheme="minorHAnsi"/>
          <w:sz w:val="22"/>
          <w:szCs w:val="22"/>
          <w:lang w:val="en-NZ"/>
        </w:rPr>
      </w:pPr>
    </w:p>
    <w:p w14:paraId="2BFD7FC9" w14:textId="59B9A159" w:rsidR="00853CF0" w:rsidRPr="00853CF0" w:rsidRDefault="00853CF0" w:rsidP="00853CF0">
      <w:pPr>
        <w:pStyle w:val="ListParagraph"/>
        <w:numPr>
          <w:ilvl w:val="0"/>
          <w:numId w:val="9"/>
        </w:numPr>
        <w:ind w:hanging="720"/>
        <w:rPr>
          <w:rFonts w:cstheme="minorHAnsi"/>
          <w:sz w:val="22"/>
          <w:szCs w:val="22"/>
          <w:lang w:val="en-NZ"/>
        </w:rPr>
      </w:pPr>
      <w:r w:rsidRPr="00853CF0">
        <w:rPr>
          <w:rFonts w:cstheme="minorHAnsi"/>
          <w:sz w:val="22"/>
          <w:szCs w:val="22"/>
          <w:lang w:val="en-NZ"/>
        </w:rPr>
        <w:t>Material hardship rates for Māori and Pacific children are far above national rates overall: around one in five Māori children (20.2% of 298,000 children i.e., 60,300 children) live in material hardship, and around one in four Pacific children (24% of 141,500 children. i.e., 34,000), compared to just over one in ten children overall (11%). </w:t>
      </w:r>
    </w:p>
    <w:p w14:paraId="4F955C0D" w14:textId="77777777" w:rsidR="008D17FE" w:rsidRDefault="008D17FE" w:rsidP="008D17FE">
      <w:pPr>
        <w:pStyle w:val="ListParagraph"/>
        <w:rPr>
          <w:rFonts w:cstheme="minorHAnsi"/>
          <w:sz w:val="22"/>
          <w:szCs w:val="22"/>
          <w:lang w:val="en-NZ"/>
        </w:rPr>
      </w:pPr>
    </w:p>
    <w:p w14:paraId="371C0B60" w14:textId="0CD12C18" w:rsidR="00853CF0" w:rsidRPr="00853CF0" w:rsidRDefault="00853CF0" w:rsidP="00853CF0">
      <w:pPr>
        <w:pStyle w:val="ListParagraph"/>
        <w:numPr>
          <w:ilvl w:val="0"/>
          <w:numId w:val="9"/>
        </w:numPr>
        <w:ind w:hanging="720"/>
        <w:rPr>
          <w:rFonts w:cstheme="minorHAnsi"/>
          <w:sz w:val="22"/>
          <w:szCs w:val="22"/>
          <w:lang w:val="en-NZ"/>
        </w:rPr>
      </w:pPr>
      <w:r w:rsidRPr="00853CF0">
        <w:rPr>
          <w:rFonts w:cstheme="minorHAnsi"/>
          <w:sz w:val="22"/>
          <w:szCs w:val="22"/>
          <w:lang w:val="en-NZ"/>
        </w:rPr>
        <w:t xml:space="preserve">The material hardship rate for disabled children is one in five (20.5% of 126,800 children). Disabled children have over double the rate of severe </w:t>
      </w:r>
      <w:r w:rsidRPr="00853CF0">
        <w:rPr>
          <w:rFonts w:cstheme="minorHAnsi"/>
          <w:sz w:val="22"/>
          <w:szCs w:val="22"/>
          <w:lang w:val="en-NZ"/>
        </w:rPr>
        <w:lastRenderedPageBreak/>
        <w:t>material hardship to non-disabled children (10.3% and 4.2% respectively), while children in households with a disabled member have four times the rate of severe material hardship to children in a non-disabled household (10.3% and 2.5% respectively).</w:t>
      </w:r>
      <w:r w:rsidRPr="00853CF0">
        <w:rPr>
          <w:rFonts w:cstheme="minorHAnsi"/>
          <w:sz w:val="22"/>
          <w:szCs w:val="22"/>
          <w:vertAlign w:val="superscript"/>
          <w:lang w:val="en-NZ"/>
        </w:rPr>
        <w:footnoteReference w:id="367"/>
      </w:r>
    </w:p>
    <w:p w14:paraId="0688C329" w14:textId="77777777" w:rsidR="008D17FE" w:rsidRDefault="008D17FE" w:rsidP="008D17FE">
      <w:pPr>
        <w:pStyle w:val="ListParagraph"/>
        <w:rPr>
          <w:rFonts w:cstheme="minorHAnsi"/>
          <w:sz w:val="22"/>
          <w:szCs w:val="22"/>
          <w:lang w:val="mi-NZ"/>
        </w:rPr>
      </w:pPr>
    </w:p>
    <w:p w14:paraId="49ED350C" w14:textId="2FF93591" w:rsidR="00853CF0" w:rsidRPr="00853CF0" w:rsidRDefault="00853CF0" w:rsidP="00853CF0">
      <w:pPr>
        <w:pStyle w:val="ListParagraph"/>
        <w:numPr>
          <w:ilvl w:val="0"/>
          <w:numId w:val="9"/>
        </w:numPr>
        <w:ind w:hanging="720"/>
        <w:rPr>
          <w:rFonts w:cstheme="minorHAnsi"/>
          <w:sz w:val="22"/>
          <w:szCs w:val="22"/>
          <w:lang w:val="mi-NZ"/>
        </w:rPr>
      </w:pPr>
      <w:r w:rsidRPr="00853CF0">
        <w:rPr>
          <w:rFonts w:cstheme="minorHAnsi"/>
          <w:sz w:val="22"/>
          <w:szCs w:val="22"/>
          <w:lang w:val="mi-NZ"/>
        </w:rPr>
        <w:t>Systematic, sustained income increases are needed for all low income families, including those receiving benefits.</w:t>
      </w:r>
      <w:r w:rsidRPr="00853CF0">
        <w:rPr>
          <w:rFonts w:cstheme="minorHAnsi"/>
          <w:sz w:val="22"/>
          <w:szCs w:val="22"/>
          <w:vertAlign w:val="superscript"/>
          <w:lang w:val="mi-NZ"/>
        </w:rPr>
        <w:footnoteReference w:id="368"/>
      </w:r>
      <w:r w:rsidRPr="00853CF0">
        <w:rPr>
          <w:rFonts w:cstheme="minorHAnsi"/>
          <w:sz w:val="22"/>
          <w:szCs w:val="22"/>
          <w:lang w:val="mi-NZ"/>
        </w:rPr>
        <w:t xml:space="preserve"> Progress on the recommendations of the WEAG has been very slow and the majority of people receiving income support do not have enough to live on.</w:t>
      </w:r>
      <w:r w:rsidRPr="00853CF0">
        <w:rPr>
          <w:rFonts w:cstheme="minorHAnsi"/>
          <w:sz w:val="22"/>
          <w:szCs w:val="22"/>
          <w:vertAlign w:val="superscript"/>
          <w:lang w:val="mi-NZ"/>
        </w:rPr>
        <w:footnoteReference w:id="369"/>
      </w:r>
      <w:r w:rsidRPr="00853CF0">
        <w:rPr>
          <w:rFonts w:cstheme="minorHAnsi"/>
          <w:sz w:val="22"/>
          <w:szCs w:val="22"/>
          <w:lang w:val="mi-NZ"/>
        </w:rPr>
        <w:t xml:space="preserve"> </w:t>
      </w:r>
    </w:p>
    <w:p w14:paraId="2C18D8AA" w14:textId="77777777" w:rsidR="00853CF0" w:rsidRPr="00853CF0" w:rsidRDefault="00853CF0" w:rsidP="008D17FE">
      <w:pPr>
        <w:pStyle w:val="ListParagraph"/>
        <w:rPr>
          <w:rFonts w:cstheme="minorHAnsi"/>
          <w:sz w:val="22"/>
          <w:szCs w:val="22"/>
          <w:lang w:val="mi-NZ"/>
        </w:rPr>
      </w:pPr>
    </w:p>
    <w:p w14:paraId="503CBA4A" w14:textId="77777777" w:rsidR="00853CF0" w:rsidRPr="00853CF0" w:rsidRDefault="00853CF0" w:rsidP="00853CF0">
      <w:pPr>
        <w:pStyle w:val="ListParagraph"/>
        <w:numPr>
          <w:ilvl w:val="0"/>
          <w:numId w:val="9"/>
        </w:numPr>
        <w:ind w:hanging="720"/>
        <w:rPr>
          <w:rFonts w:cstheme="minorHAnsi"/>
          <w:sz w:val="22"/>
          <w:szCs w:val="22"/>
          <w:lang w:val="mi-NZ"/>
        </w:rPr>
      </w:pPr>
      <w:r w:rsidRPr="00853CF0">
        <w:rPr>
          <w:rFonts w:cstheme="minorHAnsi"/>
          <w:sz w:val="22"/>
          <w:szCs w:val="22"/>
          <w:lang w:val="mi-NZ"/>
        </w:rPr>
        <w:t>The pandemic’s ongoing impact and the surge in living costs makes it crucial that affirmative action is taken to ensure all children in Aotearoa enjoy all their rights, and that this is not limited by an inadequate income and standard of living.</w:t>
      </w:r>
      <w:r w:rsidRPr="00853CF0">
        <w:rPr>
          <w:rFonts w:cstheme="minorHAnsi"/>
          <w:sz w:val="22"/>
          <w:szCs w:val="22"/>
          <w:vertAlign w:val="superscript"/>
          <w:lang w:val="mi-NZ"/>
        </w:rPr>
        <w:footnoteReference w:id="370"/>
      </w:r>
      <w:r w:rsidRPr="00853CF0">
        <w:rPr>
          <w:rFonts w:cstheme="minorHAnsi"/>
          <w:sz w:val="22"/>
          <w:szCs w:val="22"/>
          <w:lang w:val="mi-NZ"/>
        </w:rPr>
        <w:t xml:space="preserve"> Children’s charities have reported record demand for support for children (food and warm clothing) during winter 2022.</w:t>
      </w:r>
      <w:r w:rsidRPr="00853CF0">
        <w:rPr>
          <w:rFonts w:cstheme="minorHAnsi"/>
          <w:sz w:val="22"/>
          <w:szCs w:val="22"/>
          <w:vertAlign w:val="superscript"/>
          <w:lang w:val="mi-NZ"/>
        </w:rPr>
        <w:footnoteReference w:id="371"/>
      </w:r>
    </w:p>
    <w:p w14:paraId="44C37C21" w14:textId="77777777" w:rsidR="00853CF0" w:rsidRPr="00853CF0" w:rsidRDefault="00853CF0" w:rsidP="008D17FE">
      <w:pPr>
        <w:pStyle w:val="ListParagraph"/>
        <w:rPr>
          <w:rFonts w:cstheme="minorHAnsi"/>
          <w:sz w:val="22"/>
          <w:szCs w:val="22"/>
          <w:lang w:val="mi-NZ"/>
        </w:rPr>
      </w:pPr>
    </w:p>
    <w:p w14:paraId="1A7DD043" w14:textId="77777777" w:rsidR="00853CF0" w:rsidRPr="00853CF0" w:rsidRDefault="00853CF0" w:rsidP="00853CF0">
      <w:pPr>
        <w:pStyle w:val="ListParagraph"/>
        <w:numPr>
          <w:ilvl w:val="0"/>
          <w:numId w:val="9"/>
        </w:numPr>
        <w:ind w:hanging="720"/>
        <w:rPr>
          <w:rFonts w:cstheme="minorHAnsi"/>
          <w:sz w:val="22"/>
          <w:szCs w:val="22"/>
          <w:lang w:val="mi-NZ"/>
        </w:rPr>
      </w:pPr>
      <w:r w:rsidRPr="00853CF0">
        <w:rPr>
          <w:rFonts w:cstheme="minorHAnsi"/>
          <w:sz w:val="22"/>
          <w:szCs w:val="22"/>
          <w:lang w:val="mi-NZ"/>
        </w:rPr>
        <w:t>A distinction continues in income support policy between those children living in low-income households where income is derived from work, and those where income is derived from benefits. Only those in paid work are entitled to the in-work tax credit under the Working for Families Package.</w:t>
      </w:r>
      <w:r w:rsidRPr="00853CF0">
        <w:rPr>
          <w:rFonts w:cstheme="minorHAnsi"/>
          <w:sz w:val="22"/>
          <w:szCs w:val="22"/>
          <w:vertAlign w:val="superscript"/>
          <w:lang w:val="mi-NZ"/>
        </w:rPr>
        <w:footnoteReference w:id="372"/>
      </w:r>
      <w:r w:rsidRPr="00853CF0">
        <w:rPr>
          <w:rFonts w:cstheme="minorHAnsi"/>
          <w:sz w:val="22"/>
          <w:szCs w:val="22"/>
          <w:lang w:val="mi-NZ"/>
        </w:rPr>
        <w:t xml:space="preserve"> </w:t>
      </w:r>
      <w:r w:rsidRPr="00853CF0">
        <w:rPr>
          <w:rFonts w:cstheme="minorHAnsi"/>
          <w:sz w:val="22"/>
          <w:szCs w:val="22"/>
          <w:vertAlign w:val="superscript"/>
          <w:lang w:val="mi-NZ"/>
        </w:rPr>
        <w:footnoteReference w:id="373"/>
      </w:r>
    </w:p>
    <w:p w14:paraId="67AB5EBF" w14:textId="77777777" w:rsidR="00853CF0" w:rsidRPr="00853CF0" w:rsidRDefault="00853CF0" w:rsidP="008D17FE">
      <w:pPr>
        <w:pStyle w:val="ListParagraph"/>
        <w:rPr>
          <w:rFonts w:cstheme="minorHAnsi"/>
          <w:sz w:val="22"/>
          <w:szCs w:val="22"/>
          <w:lang w:val="mi-NZ"/>
        </w:rPr>
      </w:pPr>
    </w:p>
    <w:p w14:paraId="345EBF5F" w14:textId="4561084D" w:rsidR="00853CF0" w:rsidRPr="00853CF0" w:rsidRDefault="00853CF0" w:rsidP="00853CF0">
      <w:pPr>
        <w:pStyle w:val="ListParagraph"/>
        <w:numPr>
          <w:ilvl w:val="0"/>
          <w:numId w:val="9"/>
        </w:numPr>
        <w:ind w:hanging="720"/>
        <w:rPr>
          <w:rFonts w:cstheme="minorHAnsi"/>
          <w:sz w:val="22"/>
          <w:szCs w:val="22"/>
          <w:lang w:val="mi-NZ"/>
        </w:rPr>
      </w:pPr>
      <w:r w:rsidRPr="00853CF0">
        <w:rPr>
          <w:rFonts w:cstheme="minorHAnsi"/>
          <w:sz w:val="22"/>
          <w:szCs w:val="22"/>
          <w:lang w:val="mi-NZ"/>
        </w:rPr>
        <w:t>There has been little opportunity for those whānau, including children, living in low income households and defined as being in poverty to have input on solutions. Using a child rights approach to underpin Government responses to child poverty would help to ensure these responses are holistic and focus on every child having an adequate standard of living</w:t>
      </w:r>
      <w:r w:rsidR="00E052E1">
        <w:rPr>
          <w:rFonts w:cstheme="minorHAnsi"/>
          <w:sz w:val="22"/>
          <w:szCs w:val="22"/>
          <w:lang w:val="mi-NZ"/>
        </w:rPr>
        <w:t>,</w:t>
      </w:r>
      <w:r w:rsidRPr="00853CF0">
        <w:rPr>
          <w:rFonts w:cstheme="minorHAnsi"/>
          <w:sz w:val="22"/>
          <w:szCs w:val="22"/>
          <w:lang w:val="mi-NZ"/>
        </w:rPr>
        <w:t xml:space="preserve"> and a say in what constitutes an adequate standard of living for them.</w:t>
      </w:r>
    </w:p>
    <w:p w14:paraId="731D5184" w14:textId="33B277CE" w:rsidR="00D154E7" w:rsidRDefault="00D154E7">
      <w:pPr>
        <w:rPr>
          <w:rFonts w:asciiTheme="majorHAnsi" w:eastAsiaTheme="majorEastAsia" w:hAnsiTheme="majorHAnsi" w:cstheme="majorBidi"/>
          <w:b/>
          <w:bCs/>
          <w:color w:val="25409A" w:themeColor="text2"/>
          <w:sz w:val="24"/>
          <w:szCs w:val="24"/>
          <w:lang w:val="mi-NZ"/>
        </w:rPr>
      </w:pPr>
    </w:p>
    <w:p w14:paraId="5F602DBD" w14:textId="193075A1" w:rsidR="008D17FE" w:rsidRPr="00E7687D" w:rsidRDefault="008D17FE" w:rsidP="008D17FE">
      <w:pPr>
        <w:pStyle w:val="Heading2"/>
        <w:rPr>
          <w:lang w:val="mi-NZ"/>
        </w:rPr>
      </w:pPr>
      <w:bookmarkStart w:id="52" w:name="_Toc111485476"/>
      <w:r w:rsidRPr="00E7687D">
        <w:rPr>
          <w:lang w:val="mi-NZ"/>
        </w:rPr>
        <w:lastRenderedPageBreak/>
        <w:t>Benefit Sanctions</w:t>
      </w:r>
      <w:bookmarkEnd w:id="52"/>
    </w:p>
    <w:p w14:paraId="20F61D18" w14:textId="31E06E43" w:rsidR="00124FEB" w:rsidRPr="008D17FE" w:rsidRDefault="00124FEB" w:rsidP="008D17FE">
      <w:pPr>
        <w:rPr>
          <w:rFonts w:cstheme="minorHAnsi"/>
          <w:sz w:val="22"/>
          <w:szCs w:val="22"/>
          <w:lang w:val="mi-NZ"/>
        </w:rPr>
      </w:pPr>
    </w:p>
    <w:p w14:paraId="1F9B0AC7" w14:textId="74CF5395" w:rsidR="001A4CBB" w:rsidRDefault="008D17FE" w:rsidP="001A4CBB">
      <w:pPr>
        <w:pStyle w:val="ListParagraph"/>
        <w:numPr>
          <w:ilvl w:val="0"/>
          <w:numId w:val="9"/>
        </w:numPr>
        <w:ind w:hanging="720"/>
        <w:rPr>
          <w:rFonts w:cstheme="minorHAnsi"/>
          <w:sz w:val="22"/>
          <w:szCs w:val="22"/>
          <w:lang w:val="mi-NZ"/>
        </w:rPr>
      </w:pPr>
      <w:r w:rsidRPr="008D17FE">
        <w:rPr>
          <w:rFonts w:cstheme="minorHAnsi"/>
          <w:sz w:val="22"/>
          <w:szCs w:val="22"/>
          <w:lang w:val="mi-NZ"/>
        </w:rPr>
        <w:t>Although some benefit sanctions have been removed, families reliant on welfare payments for their household income can still have their payments reduced by up to 50%. Most sanctions are for missed appointments. Government does not know how many children are affected.</w:t>
      </w:r>
      <w:r w:rsidRPr="008D17FE">
        <w:rPr>
          <w:rFonts w:cstheme="minorHAnsi"/>
          <w:sz w:val="22"/>
          <w:szCs w:val="22"/>
          <w:vertAlign w:val="superscript"/>
          <w:lang w:val="mi-NZ"/>
        </w:rPr>
        <w:footnoteReference w:id="374"/>
      </w:r>
    </w:p>
    <w:p w14:paraId="15A7AE86" w14:textId="0F0F9EF5" w:rsidR="001A4CBB" w:rsidRPr="001A4CBB" w:rsidRDefault="001A4CBB" w:rsidP="001A4CBB">
      <w:pPr>
        <w:pStyle w:val="IntenseQuote"/>
        <w:ind w:left="720"/>
        <w:jc w:val="left"/>
        <w:rPr>
          <w:b/>
          <w:bCs/>
          <w:i w:val="0"/>
          <w:iCs w:val="0"/>
          <w:sz w:val="24"/>
          <w:szCs w:val="24"/>
          <w:lang w:val="mi-NZ"/>
        </w:rPr>
      </w:pPr>
      <w:r w:rsidRPr="001A4CBB">
        <w:rPr>
          <w:b/>
          <w:bCs/>
          <w:i w:val="0"/>
          <w:iCs w:val="0"/>
          <w:sz w:val="24"/>
          <w:szCs w:val="24"/>
          <w:lang w:val="mi-NZ"/>
        </w:rPr>
        <w:t>Recommendations</w:t>
      </w:r>
    </w:p>
    <w:p w14:paraId="5CDF148F" w14:textId="77777777" w:rsidR="001A4CBB" w:rsidRPr="001A4CBB" w:rsidRDefault="001A4CBB" w:rsidP="00916EA3">
      <w:pPr>
        <w:pStyle w:val="IntenseQuote"/>
        <w:numPr>
          <w:ilvl w:val="0"/>
          <w:numId w:val="23"/>
        </w:numPr>
        <w:jc w:val="left"/>
        <w:rPr>
          <w:i w:val="0"/>
          <w:iCs w:val="0"/>
          <w:sz w:val="22"/>
          <w:szCs w:val="22"/>
          <w:lang w:val="mi-NZ"/>
        </w:rPr>
      </w:pPr>
      <w:r w:rsidRPr="001A4CBB">
        <w:rPr>
          <w:i w:val="0"/>
          <w:iCs w:val="0"/>
          <w:sz w:val="22"/>
          <w:szCs w:val="22"/>
          <w:lang w:val="mi-NZ"/>
        </w:rPr>
        <w:t>Resource the Children’s Commissioner to independently monitor and report on the right of all children to an adequate standard of living, with a focus on tamariki Māori, Pacific children, and disabled children, including by listening to children and conducting research about their experiences.</w:t>
      </w:r>
    </w:p>
    <w:p w14:paraId="75248F88" w14:textId="0601FF02" w:rsidR="001A4CBB" w:rsidRPr="001A4CBB" w:rsidRDefault="001A4CBB" w:rsidP="00916EA3">
      <w:pPr>
        <w:pStyle w:val="IntenseQuote"/>
        <w:numPr>
          <w:ilvl w:val="0"/>
          <w:numId w:val="23"/>
        </w:numPr>
        <w:jc w:val="left"/>
        <w:rPr>
          <w:i w:val="0"/>
          <w:iCs w:val="0"/>
          <w:sz w:val="22"/>
          <w:szCs w:val="22"/>
          <w:lang w:val="mi-NZ"/>
        </w:rPr>
      </w:pPr>
      <w:r w:rsidRPr="001A4CBB">
        <w:rPr>
          <w:i w:val="0"/>
          <w:iCs w:val="0"/>
          <w:sz w:val="22"/>
          <w:szCs w:val="22"/>
          <w:lang w:val="mi-NZ"/>
        </w:rPr>
        <w:t>Implement all WEAG recommendations</w:t>
      </w:r>
      <w:r w:rsidR="00E052E1">
        <w:rPr>
          <w:i w:val="0"/>
          <w:iCs w:val="0"/>
          <w:sz w:val="22"/>
          <w:szCs w:val="22"/>
          <w:lang w:val="mi-NZ"/>
        </w:rPr>
        <w:t>.</w:t>
      </w:r>
      <w:r w:rsidRPr="001A4CBB">
        <w:rPr>
          <w:i w:val="0"/>
          <w:iCs w:val="0"/>
          <w:sz w:val="22"/>
          <w:szCs w:val="22"/>
          <w:lang w:val="mi-NZ"/>
        </w:rPr>
        <w:t xml:space="preserve"> </w:t>
      </w:r>
    </w:p>
    <w:p w14:paraId="16A34F97" w14:textId="77777777" w:rsidR="001A4CBB" w:rsidRPr="001A4CBB" w:rsidRDefault="001A4CBB" w:rsidP="00916EA3">
      <w:pPr>
        <w:pStyle w:val="IntenseQuote"/>
        <w:numPr>
          <w:ilvl w:val="0"/>
          <w:numId w:val="23"/>
        </w:numPr>
        <w:jc w:val="left"/>
        <w:rPr>
          <w:i w:val="0"/>
          <w:iCs w:val="0"/>
          <w:sz w:val="22"/>
          <w:szCs w:val="22"/>
          <w:lang w:val="mi-NZ"/>
        </w:rPr>
      </w:pPr>
      <w:r w:rsidRPr="001A4CBB">
        <w:rPr>
          <w:i w:val="0"/>
          <w:iCs w:val="0"/>
          <w:sz w:val="22"/>
          <w:szCs w:val="22"/>
          <w:lang w:val="mi-NZ"/>
        </w:rPr>
        <w:t>Ensure all children in low-income families receive the same level of needs-based income support whether their household income is derived from paid work or benefit; remove all benefit sanctions.</w:t>
      </w:r>
    </w:p>
    <w:p w14:paraId="12311F03" w14:textId="77777777" w:rsidR="001A4CBB" w:rsidRPr="001A4CBB" w:rsidRDefault="001A4CBB" w:rsidP="00916EA3">
      <w:pPr>
        <w:pStyle w:val="IntenseQuote"/>
        <w:numPr>
          <w:ilvl w:val="0"/>
          <w:numId w:val="23"/>
        </w:numPr>
        <w:jc w:val="left"/>
        <w:rPr>
          <w:i w:val="0"/>
          <w:iCs w:val="0"/>
          <w:sz w:val="22"/>
          <w:szCs w:val="22"/>
          <w:lang w:val="mi-NZ"/>
        </w:rPr>
      </w:pPr>
      <w:r w:rsidRPr="001A4CBB">
        <w:rPr>
          <w:i w:val="0"/>
          <w:iCs w:val="0"/>
          <w:sz w:val="22"/>
          <w:szCs w:val="22"/>
          <w:lang w:val="mi-NZ"/>
        </w:rPr>
        <w:t>Collect disaggregated data to ensure that the adequacy of standard of living is assessed according to the rights of the child, or groups of children, including their views and best interests.</w:t>
      </w:r>
    </w:p>
    <w:p w14:paraId="50C668D3" w14:textId="1A6DD6B6" w:rsidR="001A4CBB" w:rsidRPr="00E052E1" w:rsidRDefault="001A4CBB" w:rsidP="00E052E1">
      <w:pPr>
        <w:pStyle w:val="Heading2"/>
        <w:rPr>
          <w:lang w:val="mi-NZ"/>
        </w:rPr>
      </w:pPr>
      <w:bookmarkStart w:id="53" w:name="_Toc111485477"/>
      <w:r>
        <w:rPr>
          <w:lang w:val="mi-NZ"/>
        </w:rPr>
        <w:t>Housing</w:t>
      </w:r>
      <w:bookmarkEnd w:id="53"/>
    </w:p>
    <w:p w14:paraId="24F2A414" w14:textId="77777777" w:rsidR="001A4CBB" w:rsidRPr="001A4CBB" w:rsidRDefault="001A4CBB" w:rsidP="001A4CBB">
      <w:pPr>
        <w:rPr>
          <w:lang w:val="mi-NZ"/>
        </w:rPr>
      </w:pPr>
    </w:p>
    <w:p w14:paraId="11822152" w14:textId="0AD90461" w:rsidR="001A4CBB" w:rsidRPr="001A4CBB" w:rsidRDefault="001A4CBB" w:rsidP="001A4CBB">
      <w:pPr>
        <w:pStyle w:val="ListParagraph"/>
        <w:numPr>
          <w:ilvl w:val="0"/>
          <w:numId w:val="9"/>
        </w:numPr>
        <w:ind w:hanging="720"/>
        <w:rPr>
          <w:rFonts w:cstheme="minorHAnsi"/>
          <w:sz w:val="22"/>
          <w:szCs w:val="22"/>
          <w:lang w:val="mi-NZ"/>
        </w:rPr>
      </w:pPr>
      <w:r w:rsidRPr="001A4CBB">
        <w:rPr>
          <w:rFonts w:cstheme="minorHAnsi"/>
          <w:sz w:val="22"/>
          <w:szCs w:val="22"/>
          <w:lang w:val="mi-NZ"/>
        </w:rPr>
        <w:t>The availability and affordability of quality housing remains a significant human rights issue in Aotearoa.</w:t>
      </w:r>
      <w:r w:rsidRPr="001A4CBB">
        <w:rPr>
          <w:rFonts w:cstheme="minorHAnsi"/>
          <w:sz w:val="22"/>
          <w:szCs w:val="22"/>
          <w:vertAlign w:val="superscript"/>
          <w:lang w:val="mi-NZ"/>
        </w:rPr>
        <w:footnoteReference w:id="375"/>
      </w:r>
      <w:r w:rsidRPr="001A4CBB">
        <w:rPr>
          <w:rFonts w:cstheme="minorHAnsi"/>
          <w:sz w:val="22"/>
          <w:szCs w:val="22"/>
          <w:lang w:val="mi-NZ"/>
        </w:rPr>
        <w:t xml:space="preserve"> Not having a permanent, warm, and safe home impacts children’s physical and mental wellbeing.</w:t>
      </w:r>
      <w:r w:rsidRPr="001A4CBB">
        <w:rPr>
          <w:rFonts w:cstheme="minorHAnsi"/>
          <w:sz w:val="22"/>
          <w:szCs w:val="22"/>
          <w:vertAlign w:val="superscript"/>
          <w:lang w:val="mi-NZ"/>
        </w:rPr>
        <w:footnoteReference w:id="376"/>
      </w:r>
      <w:r w:rsidRPr="001A4CBB">
        <w:rPr>
          <w:rFonts w:cstheme="minorHAnsi"/>
          <w:sz w:val="22"/>
          <w:szCs w:val="22"/>
          <w:lang w:val="mi-NZ"/>
        </w:rPr>
        <w:t xml:space="preserve"> </w:t>
      </w:r>
      <w:r w:rsidRPr="001A4CBB">
        <w:rPr>
          <w:rFonts w:cstheme="minorHAnsi"/>
          <w:sz w:val="22"/>
          <w:szCs w:val="22"/>
        </w:rPr>
        <w:t xml:space="preserve">Despite this, </w:t>
      </w:r>
      <w:proofErr w:type="spellStart"/>
      <w:r w:rsidRPr="001A4CBB">
        <w:rPr>
          <w:rFonts w:cstheme="minorHAnsi"/>
          <w:sz w:val="22"/>
          <w:szCs w:val="22"/>
        </w:rPr>
        <w:t>i</w:t>
      </w:r>
      <w:proofErr w:type="spellEnd"/>
      <w:r w:rsidRPr="001A4CBB">
        <w:rPr>
          <w:rFonts w:cstheme="minorHAnsi"/>
          <w:sz w:val="22"/>
          <w:szCs w:val="22"/>
          <w:lang w:val="mi-NZ"/>
        </w:rPr>
        <w:t>t is not known how many children are registered for public housing; neither are children a clear strategic priority within public housing or homelessness planning.</w:t>
      </w:r>
    </w:p>
    <w:p w14:paraId="48450C3F" w14:textId="77777777" w:rsidR="001A4CBB" w:rsidRPr="001A4CBB" w:rsidRDefault="001A4CBB" w:rsidP="001A4CBB">
      <w:pPr>
        <w:pStyle w:val="ListParagraph"/>
        <w:rPr>
          <w:rFonts w:cstheme="minorHAnsi"/>
          <w:sz w:val="22"/>
          <w:szCs w:val="22"/>
          <w:lang w:val="mi-NZ"/>
        </w:rPr>
      </w:pPr>
    </w:p>
    <w:p w14:paraId="1BF3B557" w14:textId="77777777" w:rsidR="001A4CBB" w:rsidRPr="001A4CBB" w:rsidRDefault="001A4CBB" w:rsidP="001A4CBB">
      <w:pPr>
        <w:pStyle w:val="ListParagraph"/>
        <w:numPr>
          <w:ilvl w:val="0"/>
          <w:numId w:val="9"/>
        </w:numPr>
        <w:ind w:hanging="720"/>
        <w:rPr>
          <w:rFonts w:cstheme="minorHAnsi"/>
          <w:sz w:val="22"/>
          <w:szCs w:val="22"/>
          <w:lang w:val="mi-NZ"/>
        </w:rPr>
      </w:pPr>
      <w:r w:rsidRPr="001A4CBB">
        <w:rPr>
          <w:rFonts w:cstheme="minorHAnsi"/>
          <w:sz w:val="22"/>
          <w:szCs w:val="22"/>
          <w:lang w:val="mi-NZ"/>
        </w:rPr>
        <w:t>Over one billion dollars has been spent on emergency housing grants over the last five years, underscoring the need for long-term, sustainable housing solutions.</w:t>
      </w:r>
      <w:r w:rsidRPr="001A4CBB">
        <w:rPr>
          <w:rFonts w:cstheme="minorHAnsi"/>
          <w:sz w:val="22"/>
          <w:szCs w:val="22"/>
          <w:vertAlign w:val="superscript"/>
          <w:lang w:val="mi-NZ"/>
        </w:rPr>
        <w:footnoteReference w:id="377"/>
      </w:r>
      <w:r w:rsidRPr="001A4CBB">
        <w:rPr>
          <w:rFonts w:cstheme="minorHAnsi"/>
          <w:sz w:val="22"/>
          <w:szCs w:val="22"/>
          <w:lang w:val="mi-NZ"/>
        </w:rPr>
        <w:t xml:space="preserve"> </w:t>
      </w:r>
      <w:r w:rsidRPr="001A4CBB">
        <w:rPr>
          <w:rFonts w:cstheme="minorHAnsi"/>
          <w:sz w:val="22"/>
          <w:szCs w:val="22"/>
          <w:vertAlign w:val="superscript"/>
          <w:lang w:val="mi-NZ"/>
        </w:rPr>
        <w:footnoteReference w:id="378"/>
      </w:r>
      <w:r w:rsidRPr="001A4CBB">
        <w:rPr>
          <w:rFonts w:cstheme="minorHAnsi"/>
          <w:sz w:val="22"/>
          <w:szCs w:val="22"/>
          <w:lang w:val="mi-NZ"/>
        </w:rPr>
        <w:t xml:space="preserve">  More than 4,000 children live in emergency housing, many in motels, but specific </w:t>
      </w:r>
      <w:r w:rsidRPr="001A4CBB">
        <w:rPr>
          <w:rFonts w:cstheme="minorHAnsi"/>
          <w:sz w:val="22"/>
          <w:szCs w:val="22"/>
        </w:rPr>
        <w:t>data is not collected on their number, gender, age, ethnicity or disability.</w:t>
      </w:r>
      <w:r w:rsidRPr="001A4CBB">
        <w:rPr>
          <w:rFonts w:cstheme="minorHAnsi"/>
          <w:sz w:val="22"/>
          <w:szCs w:val="22"/>
          <w:vertAlign w:val="superscript"/>
        </w:rPr>
        <w:footnoteReference w:id="379"/>
      </w:r>
      <w:r w:rsidRPr="001A4CBB">
        <w:rPr>
          <w:rFonts w:cstheme="minorHAnsi"/>
          <w:sz w:val="22"/>
          <w:szCs w:val="22"/>
        </w:rPr>
        <w:t xml:space="preserve"> </w:t>
      </w:r>
    </w:p>
    <w:p w14:paraId="6F808605" w14:textId="77777777" w:rsidR="001A4CBB" w:rsidRPr="001A4CBB" w:rsidRDefault="001A4CBB" w:rsidP="001A4CBB">
      <w:pPr>
        <w:pStyle w:val="ListParagraph"/>
        <w:rPr>
          <w:rFonts w:cstheme="minorHAnsi"/>
          <w:sz w:val="22"/>
          <w:szCs w:val="22"/>
        </w:rPr>
      </w:pPr>
    </w:p>
    <w:p w14:paraId="30A26F98" w14:textId="77777777" w:rsidR="001A4CBB" w:rsidRPr="001A4CBB" w:rsidRDefault="001A4CBB" w:rsidP="001A4CBB">
      <w:pPr>
        <w:pStyle w:val="ListParagraph"/>
        <w:numPr>
          <w:ilvl w:val="0"/>
          <w:numId w:val="9"/>
        </w:numPr>
        <w:ind w:hanging="720"/>
        <w:rPr>
          <w:rFonts w:cstheme="minorHAnsi"/>
          <w:sz w:val="22"/>
          <w:szCs w:val="22"/>
          <w:lang w:val="mi-NZ"/>
        </w:rPr>
      </w:pPr>
      <w:r w:rsidRPr="001A4CBB">
        <w:rPr>
          <w:rFonts w:cstheme="minorHAnsi"/>
          <w:sz w:val="22"/>
          <w:szCs w:val="22"/>
          <w:lang w:val="mi-NZ"/>
        </w:rPr>
        <w:t>Half of Government’s Kainga Ora housing does not yet meet quality standards.</w:t>
      </w:r>
      <w:r w:rsidRPr="001A4CBB">
        <w:rPr>
          <w:rFonts w:cstheme="minorHAnsi"/>
          <w:sz w:val="22"/>
          <w:szCs w:val="22"/>
          <w:vertAlign w:val="superscript"/>
          <w:lang w:val="mi-NZ"/>
        </w:rPr>
        <w:footnoteReference w:id="380"/>
      </w:r>
    </w:p>
    <w:p w14:paraId="629FE4C5" w14:textId="77777777" w:rsidR="001A4CBB" w:rsidRPr="001A4CBB" w:rsidRDefault="001A4CBB" w:rsidP="001A4CBB">
      <w:pPr>
        <w:pStyle w:val="ListParagraph"/>
        <w:rPr>
          <w:rFonts w:cstheme="minorHAnsi"/>
          <w:sz w:val="22"/>
          <w:szCs w:val="22"/>
          <w:lang w:val="mi-NZ"/>
        </w:rPr>
      </w:pPr>
    </w:p>
    <w:p w14:paraId="5EAEDDF4" w14:textId="74871C5F" w:rsidR="001A4CBB" w:rsidRPr="001A4CBB" w:rsidRDefault="001A4CBB" w:rsidP="001A4CBB">
      <w:pPr>
        <w:pStyle w:val="ListParagraph"/>
        <w:numPr>
          <w:ilvl w:val="0"/>
          <w:numId w:val="9"/>
        </w:numPr>
        <w:ind w:hanging="720"/>
        <w:rPr>
          <w:rFonts w:cstheme="minorHAnsi"/>
          <w:sz w:val="22"/>
          <w:szCs w:val="22"/>
          <w:lang w:val="mi-NZ"/>
        </w:rPr>
      </w:pPr>
      <w:r w:rsidRPr="001A4CBB">
        <w:rPr>
          <w:rFonts w:cstheme="minorHAnsi"/>
          <w:sz w:val="22"/>
          <w:szCs w:val="22"/>
          <w:lang w:val="mi-NZ"/>
        </w:rPr>
        <w:t>A high proportion (38%) of those registered for public housing are single adult households with children.</w:t>
      </w:r>
      <w:r w:rsidRPr="001A4CBB">
        <w:rPr>
          <w:rFonts w:cstheme="minorHAnsi"/>
          <w:sz w:val="22"/>
          <w:szCs w:val="22"/>
          <w:vertAlign w:val="superscript"/>
          <w:lang w:val="mi-NZ"/>
        </w:rPr>
        <w:footnoteReference w:id="381"/>
      </w:r>
      <w:r w:rsidRPr="001A4CBB">
        <w:rPr>
          <w:rFonts w:cstheme="minorHAnsi"/>
          <w:sz w:val="22"/>
          <w:szCs w:val="22"/>
          <w:lang w:val="mi-NZ"/>
        </w:rPr>
        <w:t xml:space="preserve"> For children, homelessness can be especially harmful and have longer-term impacts on wellbeing.</w:t>
      </w:r>
      <w:r w:rsidRPr="001A4CBB">
        <w:rPr>
          <w:rFonts w:cstheme="minorHAnsi"/>
          <w:sz w:val="22"/>
          <w:szCs w:val="22"/>
          <w:vertAlign w:val="superscript"/>
          <w:lang w:val="mi-NZ"/>
        </w:rPr>
        <w:footnoteReference w:id="382"/>
      </w:r>
      <w:r w:rsidRPr="001A4CBB">
        <w:rPr>
          <w:rFonts w:cstheme="minorHAnsi"/>
          <w:sz w:val="22"/>
          <w:szCs w:val="22"/>
          <w:lang w:val="mi-NZ"/>
        </w:rPr>
        <w:t xml:space="preserve">  </w:t>
      </w:r>
    </w:p>
    <w:p w14:paraId="213A4048" w14:textId="77777777" w:rsidR="001A4CBB" w:rsidRDefault="001A4CBB" w:rsidP="001A4CBB">
      <w:pPr>
        <w:pStyle w:val="ListParagraph"/>
        <w:rPr>
          <w:rFonts w:cstheme="minorHAnsi"/>
          <w:sz w:val="22"/>
          <w:szCs w:val="22"/>
          <w:lang w:val="mi-NZ"/>
        </w:rPr>
      </w:pPr>
    </w:p>
    <w:p w14:paraId="49880751" w14:textId="593E2213" w:rsidR="001A4CBB" w:rsidRPr="001A4CBB" w:rsidRDefault="001A4CBB" w:rsidP="001A4CBB">
      <w:pPr>
        <w:pStyle w:val="ListParagraph"/>
        <w:numPr>
          <w:ilvl w:val="0"/>
          <w:numId w:val="9"/>
        </w:numPr>
        <w:ind w:hanging="720"/>
        <w:rPr>
          <w:rFonts w:cstheme="minorHAnsi"/>
          <w:sz w:val="22"/>
          <w:szCs w:val="22"/>
          <w:lang w:val="mi-NZ"/>
        </w:rPr>
      </w:pPr>
      <w:r w:rsidRPr="001A4CBB">
        <w:rPr>
          <w:rFonts w:cstheme="minorHAnsi"/>
          <w:sz w:val="22"/>
          <w:szCs w:val="22"/>
          <w:lang w:val="mi-NZ"/>
        </w:rPr>
        <w:t>Youth homelessness is an issue, with rainbow young people particularly affected.</w:t>
      </w:r>
      <w:r w:rsidRPr="001A4CBB">
        <w:rPr>
          <w:rFonts w:cstheme="minorHAnsi"/>
          <w:sz w:val="22"/>
          <w:szCs w:val="22"/>
          <w:vertAlign w:val="superscript"/>
          <w:lang w:val="mi-NZ"/>
        </w:rPr>
        <w:footnoteReference w:id="383"/>
      </w:r>
      <w:r w:rsidRPr="001A4CBB">
        <w:rPr>
          <w:rFonts w:cstheme="minorHAnsi"/>
          <w:sz w:val="22"/>
          <w:szCs w:val="22"/>
          <w:lang w:val="mi-NZ"/>
        </w:rPr>
        <w:t xml:space="preserve"> Increased resources are urgently needed for immediate housing, research, and youth specific strategies to address homelessness, both regionally and nationally.</w:t>
      </w:r>
      <w:r w:rsidRPr="001A4CBB">
        <w:rPr>
          <w:rFonts w:cstheme="minorHAnsi"/>
          <w:sz w:val="22"/>
          <w:szCs w:val="22"/>
          <w:vertAlign w:val="superscript"/>
          <w:lang w:val="mi-NZ"/>
        </w:rPr>
        <w:t xml:space="preserve"> </w:t>
      </w:r>
      <w:r w:rsidRPr="001A4CBB">
        <w:rPr>
          <w:rFonts w:cstheme="minorHAnsi"/>
          <w:sz w:val="22"/>
          <w:szCs w:val="22"/>
          <w:vertAlign w:val="superscript"/>
          <w:lang w:val="mi-NZ"/>
        </w:rPr>
        <w:footnoteReference w:id="384"/>
      </w:r>
    </w:p>
    <w:p w14:paraId="23DD2514" w14:textId="3FAE0E8A" w:rsidR="001A4CBB" w:rsidRPr="001A4CBB" w:rsidRDefault="001A4CBB" w:rsidP="001A4CBB">
      <w:pPr>
        <w:pStyle w:val="IntenseQuote"/>
        <w:ind w:left="720"/>
        <w:jc w:val="left"/>
        <w:rPr>
          <w:b/>
          <w:bCs/>
          <w:i w:val="0"/>
          <w:iCs w:val="0"/>
          <w:sz w:val="24"/>
          <w:szCs w:val="24"/>
          <w:lang w:val="mi-NZ"/>
        </w:rPr>
      </w:pPr>
      <w:r w:rsidRPr="001A4CBB">
        <w:rPr>
          <w:b/>
          <w:bCs/>
          <w:i w:val="0"/>
          <w:iCs w:val="0"/>
          <w:sz w:val="24"/>
          <w:szCs w:val="24"/>
          <w:lang w:val="mi-NZ"/>
        </w:rPr>
        <w:t xml:space="preserve">Recommendation </w:t>
      </w:r>
    </w:p>
    <w:p w14:paraId="75E443CF" w14:textId="77777777" w:rsidR="001A4CBB" w:rsidRPr="001A4CBB" w:rsidRDefault="001A4CBB" w:rsidP="00916EA3">
      <w:pPr>
        <w:pStyle w:val="IntenseQuote"/>
        <w:numPr>
          <w:ilvl w:val="0"/>
          <w:numId w:val="23"/>
        </w:numPr>
        <w:jc w:val="left"/>
        <w:rPr>
          <w:i w:val="0"/>
          <w:iCs w:val="0"/>
          <w:sz w:val="22"/>
          <w:szCs w:val="22"/>
          <w:lang w:val="mi-NZ"/>
        </w:rPr>
      </w:pPr>
      <w:r w:rsidRPr="001A4CBB">
        <w:rPr>
          <w:i w:val="0"/>
          <w:iCs w:val="0"/>
          <w:sz w:val="22"/>
          <w:szCs w:val="22"/>
          <w:lang w:val="mi-NZ"/>
        </w:rPr>
        <w:t>Prioritise children in responses to the housing crisis and resource accordingly.</w:t>
      </w:r>
    </w:p>
    <w:p w14:paraId="5151C88F" w14:textId="666D55F2" w:rsidR="001A4CBB" w:rsidRDefault="001A4CBB" w:rsidP="001A4CBB">
      <w:pPr>
        <w:pStyle w:val="Heading2"/>
        <w:rPr>
          <w:lang w:val="mi-NZ"/>
        </w:rPr>
      </w:pPr>
      <w:bookmarkStart w:id="54" w:name="_Toc111485478"/>
      <w:r>
        <w:rPr>
          <w:lang w:val="mi-NZ"/>
        </w:rPr>
        <w:lastRenderedPageBreak/>
        <w:t>Food Security</w:t>
      </w:r>
      <w:r w:rsidR="00B06566" w:rsidRPr="00B06566">
        <w:rPr>
          <w:vertAlign w:val="superscript"/>
          <w:lang w:val="mi-NZ"/>
        </w:rPr>
        <w:footnoteReference w:id="385"/>
      </w:r>
      <w:r w:rsidR="00B06566" w:rsidRPr="00B06566">
        <w:rPr>
          <w:lang w:val="mi-NZ"/>
        </w:rPr>
        <w:t xml:space="preserve"> – LOIPR 24(d)</w:t>
      </w:r>
      <w:bookmarkEnd w:id="54"/>
    </w:p>
    <w:p w14:paraId="3155087C" w14:textId="77777777" w:rsidR="001A4CBB" w:rsidRPr="001A4CBB" w:rsidRDefault="001A4CBB" w:rsidP="001A4CBB">
      <w:pPr>
        <w:rPr>
          <w:lang w:val="mi-NZ"/>
        </w:rPr>
      </w:pPr>
    </w:p>
    <w:p w14:paraId="30352E59" w14:textId="5814025F" w:rsidR="001A4CBB" w:rsidRPr="001A4CBB" w:rsidRDefault="001A4CBB" w:rsidP="001A4CBB">
      <w:pPr>
        <w:pStyle w:val="ListParagraph"/>
        <w:numPr>
          <w:ilvl w:val="0"/>
          <w:numId w:val="9"/>
        </w:numPr>
        <w:ind w:hanging="720"/>
        <w:rPr>
          <w:rFonts w:cstheme="minorHAnsi"/>
          <w:sz w:val="22"/>
          <w:szCs w:val="22"/>
          <w:lang w:val="en-NZ"/>
        </w:rPr>
      </w:pPr>
      <w:r w:rsidRPr="001A4CBB">
        <w:rPr>
          <w:rFonts w:cstheme="minorHAnsi"/>
          <w:sz w:val="22"/>
          <w:szCs w:val="22"/>
          <w:lang w:val="en-NZ"/>
        </w:rPr>
        <w:t xml:space="preserve">The root causes are complex, but land use, economic drivers, and prioritisation of food safety over food security in policies, mean that some children in Aotearoa are malnourished. </w:t>
      </w:r>
    </w:p>
    <w:p w14:paraId="1937840C" w14:textId="77777777" w:rsidR="001A4CBB" w:rsidRDefault="001A4CBB" w:rsidP="001A4CBB">
      <w:pPr>
        <w:pStyle w:val="ListParagraph"/>
        <w:rPr>
          <w:rFonts w:cstheme="minorHAnsi"/>
          <w:sz w:val="22"/>
          <w:szCs w:val="22"/>
          <w:lang w:val="en-NZ"/>
        </w:rPr>
      </w:pPr>
    </w:p>
    <w:p w14:paraId="033FE833" w14:textId="26334DAC" w:rsidR="001A4CBB" w:rsidRPr="001A4CBB" w:rsidRDefault="001A4CBB" w:rsidP="001A4CBB">
      <w:pPr>
        <w:pStyle w:val="ListParagraph"/>
        <w:numPr>
          <w:ilvl w:val="0"/>
          <w:numId w:val="9"/>
        </w:numPr>
        <w:ind w:hanging="720"/>
        <w:rPr>
          <w:rFonts w:cstheme="minorHAnsi"/>
          <w:sz w:val="22"/>
          <w:szCs w:val="22"/>
          <w:lang w:val="en-NZ"/>
        </w:rPr>
      </w:pPr>
      <w:r w:rsidRPr="001A4CBB">
        <w:rPr>
          <w:rFonts w:cstheme="minorHAnsi"/>
          <w:sz w:val="22"/>
          <w:szCs w:val="22"/>
          <w:lang w:val="en-NZ"/>
        </w:rPr>
        <w:t>Many factors, including low incomes, the rising costs of living, supermarket duopoly, and geographic location give rise to inequities in children’s nutrition. Children living in the most deprived areas are at least six times as likely to experience food insecurity as children living in the least deprived areas.</w:t>
      </w:r>
      <w:r w:rsidRPr="001A4CBB">
        <w:rPr>
          <w:rFonts w:cstheme="minorHAnsi"/>
          <w:sz w:val="22"/>
          <w:szCs w:val="22"/>
          <w:vertAlign w:val="superscript"/>
          <w:lang w:val="en-NZ"/>
        </w:rPr>
        <w:footnoteReference w:id="386"/>
      </w:r>
      <w:r w:rsidRPr="001A4CBB">
        <w:rPr>
          <w:rFonts w:cstheme="minorHAnsi"/>
          <w:sz w:val="22"/>
          <w:szCs w:val="22"/>
          <w:lang w:val="en-NZ"/>
        </w:rPr>
        <w:t xml:space="preserve"> More Pacific children (37.1%) live in food insecure households than non-Pacific children (16.2%).</w:t>
      </w:r>
      <w:r w:rsidRPr="001A4CBB">
        <w:rPr>
          <w:rFonts w:cstheme="minorHAnsi"/>
          <w:sz w:val="22"/>
          <w:szCs w:val="22"/>
          <w:vertAlign w:val="superscript"/>
          <w:lang w:val="en-NZ"/>
        </w:rPr>
        <w:footnoteReference w:id="387"/>
      </w:r>
      <w:r w:rsidRPr="001A4CBB">
        <w:rPr>
          <w:rFonts w:cstheme="minorHAnsi"/>
          <w:sz w:val="22"/>
          <w:szCs w:val="22"/>
          <w:lang w:val="en-NZ"/>
        </w:rPr>
        <w:t xml:space="preserve"> </w:t>
      </w:r>
    </w:p>
    <w:p w14:paraId="5C7DBD18" w14:textId="77777777" w:rsidR="001A4CBB" w:rsidRDefault="001A4CBB" w:rsidP="001A4CBB">
      <w:pPr>
        <w:pStyle w:val="ListParagraph"/>
        <w:rPr>
          <w:rFonts w:cstheme="minorHAnsi"/>
          <w:sz w:val="22"/>
          <w:szCs w:val="22"/>
          <w:lang w:val="en-NZ"/>
        </w:rPr>
      </w:pPr>
    </w:p>
    <w:p w14:paraId="45BB942A" w14:textId="01D17B8F" w:rsidR="001A4CBB" w:rsidRPr="001A4CBB" w:rsidRDefault="001A4CBB" w:rsidP="001A4CBB">
      <w:pPr>
        <w:pStyle w:val="ListParagraph"/>
        <w:numPr>
          <w:ilvl w:val="0"/>
          <w:numId w:val="9"/>
        </w:numPr>
        <w:ind w:hanging="720"/>
        <w:rPr>
          <w:rFonts w:cstheme="minorHAnsi"/>
          <w:sz w:val="22"/>
          <w:szCs w:val="22"/>
          <w:lang w:val="en-NZ"/>
        </w:rPr>
      </w:pPr>
      <w:r w:rsidRPr="001A4CBB">
        <w:rPr>
          <w:rFonts w:cstheme="minorHAnsi"/>
          <w:sz w:val="22"/>
          <w:szCs w:val="22"/>
          <w:lang w:val="en-NZ"/>
        </w:rPr>
        <w:t xml:space="preserve">Food insecurity during pregnancy impacts on children’s body composition at age 14 and any lack of essential nutrients has implications for child health, including a well-functioning immune system. </w:t>
      </w:r>
    </w:p>
    <w:p w14:paraId="56DA0AAB" w14:textId="77777777" w:rsidR="001A4CBB" w:rsidRDefault="001A4CBB" w:rsidP="001A4CBB">
      <w:pPr>
        <w:pStyle w:val="ListParagraph"/>
        <w:rPr>
          <w:rFonts w:cstheme="minorHAnsi"/>
          <w:sz w:val="22"/>
          <w:szCs w:val="22"/>
          <w:lang w:val="en-NZ"/>
        </w:rPr>
      </w:pPr>
    </w:p>
    <w:p w14:paraId="482FEC79" w14:textId="5ECC18A3" w:rsidR="001A4CBB" w:rsidRPr="001A4CBB" w:rsidRDefault="001A4CBB" w:rsidP="001A4CBB">
      <w:pPr>
        <w:pStyle w:val="ListParagraph"/>
        <w:numPr>
          <w:ilvl w:val="0"/>
          <w:numId w:val="9"/>
        </w:numPr>
        <w:ind w:hanging="720"/>
        <w:rPr>
          <w:rFonts w:cstheme="minorHAnsi"/>
          <w:sz w:val="22"/>
          <w:szCs w:val="22"/>
          <w:lang w:val="en-NZ"/>
        </w:rPr>
      </w:pPr>
      <w:r w:rsidRPr="001A4CBB">
        <w:rPr>
          <w:rFonts w:cstheme="minorHAnsi"/>
          <w:sz w:val="22"/>
          <w:szCs w:val="22"/>
          <w:lang w:val="en-NZ"/>
        </w:rPr>
        <w:t>Obesity and hidden hunger (lack of vitamins and/or minerals in the diet) are forms of malnutrition. About one in eight children aged 2–14 years (12.7%, or approximately 100,000 children) were classified as obese in 2020/21, up from 9.5% in 2019/20. Children living in the most deprived areas were 2.5 times more likely to be obese as children living in the least deprived areas, after adjusting for differences in age, gender and ethnicity.</w:t>
      </w:r>
      <w:r w:rsidRPr="001A4CBB">
        <w:rPr>
          <w:rFonts w:cstheme="minorHAnsi"/>
          <w:sz w:val="22"/>
          <w:szCs w:val="22"/>
          <w:vertAlign w:val="superscript"/>
          <w:lang w:val="en-NZ"/>
        </w:rPr>
        <w:footnoteReference w:id="388"/>
      </w:r>
    </w:p>
    <w:p w14:paraId="4E5F41EB" w14:textId="77777777" w:rsidR="001A4CBB" w:rsidRDefault="001A4CBB" w:rsidP="001A4CBB">
      <w:pPr>
        <w:pStyle w:val="ListParagraph"/>
        <w:rPr>
          <w:rFonts w:cstheme="minorHAnsi"/>
          <w:sz w:val="22"/>
          <w:szCs w:val="22"/>
          <w:lang w:val="en-NZ"/>
        </w:rPr>
      </w:pPr>
    </w:p>
    <w:p w14:paraId="718FA6EF" w14:textId="05D819B7" w:rsidR="001A4CBB" w:rsidRPr="001A4CBB" w:rsidRDefault="001A4CBB" w:rsidP="001A4CBB">
      <w:pPr>
        <w:pStyle w:val="ListParagraph"/>
        <w:numPr>
          <w:ilvl w:val="0"/>
          <w:numId w:val="9"/>
        </w:numPr>
        <w:ind w:hanging="720"/>
        <w:rPr>
          <w:rFonts w:cstheme="minorHAnsi"/>
          <w:sz w:val="22"/>
          <w:szCs w:val="22"/>
          <w:lang w:val="en-NZ"/>
        </w:rPr>
      </w:pPr>
      <w:r w:rsidRPr="001A4CBB">
        <w:rPr>
          <w:rFonts w:cstheme="minorHAnsi"/>
          <w:sz w:val="22"/>
          <w:szCs w:val="22"/>
          <w:lang w:val="en-NZ"/>
        </w:rPr>
        <w:t>Aotearoa is capable of producing sufficient diversity of foods, but lacks a food system plan.</w:t>
      </w:r>
      <w:r w:rsidRPr="001A4CBB">
        <w:rPr>
          <w:rFonts w:cstheme="minorHAnsi"/>
          <w:sz w:val="22"/>
          <w:szCs w:val="22"/>
          <w:vertAlign w:val="superscript"/>
          <w:lang w:val="en-NZ"/>
        </w:rPr>
        <w:footnoteReference w:id="389"/>
      </w:r>
      <w:r w:rsidRPr="001A4CBB">
        <w:rPr>
          <w:rFonts w:cstheme="minorHAnsi"/>
          <w:sz w:val="22"/>
          <w:szCs w:val="22"/>
          <w:lang w:val="en-NZ"/>
        </w:rPr>
        <w:t xml:space="preserve"> Ministry of Health food based dietary guidelines are not supported by policies in other government sectors.</w:t>
      </w:r>
      <w:r w:rsidRPr="001A4CBB">
        <w:rPr>
          <w:rFonts w:cstheme="minorHAnsi"/>
          <w:sz w:val="22"/>
          <w:szCs w:val="22"/>
          <w:vertAlign w:val="superscript"/>
          <w:lang w:val="en-NZ"/>
        </w:rPr>
        <w:footnoteReference w:id="390"/>
      </w:r>
      <w:r w:rsidRPr="001A4CBB">
        <w:rPr>
          <w:rFonts w:cstheme="minorHAnsi"/>
          <w:sz w:val="22"/>
          <w:szCs w:val="22"/>
          <w:lang w:val="en-NZ"/>
        </w:rPr>
        <w:t> </w:t>
      </w:r>
      <w:r w:rsidRPr="001A4CBB">
        <w:rPr>
          <w:rFonts w:cstheme="minorHAnsi"/>
          <w:sz w:val="22"/>
          <w:szCs w:val="22"/>
          <w:vertAlign w:val="superscript"/>
          <w:lang w:val="en-NZ"/>
        </w:rPr>
        <w:footnoteReference w:id="391"/>
      </w:r>
      <w:r w:rsidRPr="001A4CBB">
        <w:rPr>
          <w:rFonts w:cstheme="minorHAnsi"/>
          <w:sz w:val="22"/>
          <w:szCs w:val="22"/>
          <w:lang w:val="en-NZ"/>
        </w:rPr>
        <w:t> </w:t>
      </w:r>
    </w:p>
    <w:p w14:paraId="2F041BE2" w14:textId="77777777" w:rsidR="001A4CBB" w:rsidRPr="001A4CBB" w:rsidRDefault="001A4CBB" w:rsidP="001A4CBB">
      <w:pPr>
        <w:pStyle w:val="ListParagraph"/>
        <w:rPr>
          <w:rFonts w:cstheme="minorHAnsi"/>
          <w:sz w:val="22"/>
          <w:szCs w:val="22"/>
          <w:lang w:val="en-NZ"/>
        </w:rPr>
      </w:pPr>
    </w:p>
    <w:p w14:paraId="4BAE66B9" w14:textId="77777777" w:rsidR="001A4CBB" w:rsidRPr="001A4CBB" w:rsidRDefault="001A4CBB" w:rsidP="001A4CBB">
      <w:pPr>
        <w:pStyle w:val="ListParagraph"/>
        <w:numPr>
          <w:ilvl w:val="0"/>
          <w:numId w:val="9"/>
        </w:numPr>
        <w:ind w:hanging="720"/>
        <w:rPr>
          <w:rFonts w:cstheme="minorHAnsi"/>
          <w:sz w:val="22"/>
          <w:szCs w:val="22"/>
          <w:lang w:val="en-NZ"/>
        </w:rPr>
      </w:pPr>
      <w:r w:rsidRPr="001A4CBB">
        <w:rPr>
          <w:rFonts w:cstheme="minorHAnsi"/>
          <w:sz w:val="22"/>
          <w:szCs w:val="22"/>
          <w:lang w:val="en-NZ"/>
        </w:rPr>
        <w:lastRenderedPageBreak/>
        <w:t xml:space="preserve">Recent external pressures, including the pandemic, climate change and the Ukraine war, highlight the fragility and inequities in Aotearoa’s food system, underscoring the need to future-proof food supply, for children and those yet to be born. </w:t>
      </w:r>
    </w:p>
    <w:p w14:paraId="7CA794D4" w14:textId="77777777" w:rsidR="001A4CBB" w:rsidRPr="001A4CBB" w:rsidRDefault="001A4CBB" w:rsidP="001A4CBB">
      <w:pPr>
        <w:pStyle w:val="ListParagraph"/>
        <w:rPr>
          <w:rFonts w:cstheme="minorHAnsi"/>
          <w:sz w:val="22"/>
          <w:szCs w:val="22"/>
          <w:lang w:val="en-NZ"/>
        </w:rPr>
      </w:pPr>
    </w:p>
    <w:p w14:paraId="4662D577" w14:textId="71B6DFDD" w:rsidR="00124FEB" w:rsidRPr="001A4CBB" w:rsidRDefault="001A4CBB" w:rsidP="001A4CBB">
      <w:pPr>
        <w:pStyle w:val="ListParagraph"/>
        <w:numPr>
          <w:ilvl w:val="0"/>
          <w:numId w:val="9"/>
        </w:numPr>
        <w:ind w:hanging="720"/>
        <w:rPr>
          <w:rFonts w:cstheme="minorHAnsi"/>
          <w:i/>
          <w:iCs/>
          <w:sz w:val="22"/>
          <w:szCs w:val="22"/>
          <w:lang w:val="en-NZ"/>
        </w:rPr>
      </w:pPr>
      <w:r w:rsidRPr="001A4CBB">
        <w:rPr>
          <w:rFonts w:cstheme="minorHAnsi"/>
          <w:sz w:val="22"/>
          <w:szCs w:val="22"/>
          <w:lang w:val="en-NZ"/>
        </w:rPr>
        <w:t>Community-led responses to ensuring food security during COVID-19 lockdowns demonstrated the importance of an holistic approach and investment in long-term sustainable solutions that build resilient food systems, especially as the climate changes.</w:t>
      </w:r>
      <w:r w:rsidRPr="001A4CBB">
        <w:rPr>
          <w:rFonts w:cstheme="minorHAnsi"/>
          <w:sz w:val="22"/>
          <w:szCs w:val="22"/>
          <w:vertAlign w:val="superscript"/>
          <w:lang w:val="en-NZ"/>
        </w:rPr>
        <w:footnoteReference w:id="392"/>
      </w:r>
      <w:r w:rsidRPr="001A4CBB">
        <w:rPr>
          <w:rFonts w:cstheme="minorHAnsi"/>
          <w:sz w:val="22"/>
          <w:szCs w:val="22"/>
          <w:lang w:val="en-NZ"/>
        </w:rPr>
        <w:t xml:space="preserve"> </w:t>
      </w:r>
    </w:p>
    <w:p w14:paraId="004761AE" w14:textId="77777777" w:rsidR="001A4CBB" w:rsidRPr="001A4CBB" w:rsidRDefault="001A4CBB" w:rsidP="001A4CBB">
      <w:pPr>
        <w:pStyle w:val="ListParagraph"/>
        <w:rPr>
          <w:rFonts w:cstheme="minorHAnsi"/>
          <w:i/>
          <w:iCs/>
          <w:sz w:val="22"/>
          <w:szCs w:val="22"/>
          <w:lang w:val="en-NZ"/>
        </w:rPr>
      </w:pPr>
    </w:p>
    <w:p w14:paraId="17FDAE38" w14:textId="77B3D966" w:rsidR="001A4CBB" w:rsidRPr="001A4CBB" w:rsidRDefault="001A4CBB" w:rsidP="001A4CBB">
      <w:pPr>
        <w:pStyle w:val="IntenseQuote"/>
        <w:ind w:left="720"/>
        <w:jc w:val="left"/>
        <w:rPr>
          <w:b/>
          <w:bCs/>
          <w:i w:val="0"/>
          <w:iCs w:val="0"/>
          <w:sz w:val="24"/>
          <w:szCs w:val="24"/>
          <w:lang w:val="mi-NZ"/>
        </w:rPr>
      </w:pPr>
      <w:r w:rsidRPr="001A4CBB">
        <w:rPr>
          <w:b/>
          <w:bCs/>
          <w:i w:val="0"/>
          <w:iCs w:val="0"/>
          <w:sz w:val="24"/>
          <w:szCs w:val="24"/>
          <w:lang w:val="mi-NZ"/>
        </w:rPr>
        <w:t>Recommendation</w:t>
      </w:r>
    </w:p>
    <w:p w14:paraId="7A114679" w14:textId="77777777" w:rsidR="001A4CBB" w:rsidRPr="001A4CBB" w:rsidRDefault="001A4CBB" w:rsidP="00916EA3">
      <w:pPr>
        <w:pStyle w:val="IntenseQuote"/>
        <w:numPr>
          <w:ilvl w:val="0"/>
          <w:numId w:val="23"/>
        </w:numPr>
        <w:jc w:val="left"/>
        <w:rPr>
          <w:i w:val="0"/>
          <w:iCs w:val="0"/>
          <w:sz w:val="22"/>
          <w:szCs w:val="22"/>
          <w:lang w:val="mi-NZ"/>
        </w:rPr>
      </w:pPr>
      <w:r w:rsidRPr="001A4CBB">
        <w:rPr>
          <w:i w:val="0"/>
          <w:iCs w:val="0"/>
          <w:sz w:val="22"/>
          <w:szCs w:val="22"/>
          <w:lang w:val="mi-NZ"/>
        </w:rPr>
        <w:t>Use a children’s rights approach to co-ordinated, comprehensive planning and action to ensure food security for all children in Aotearoa, now and into the future.</w:t>
      </w:r>
    </w:p>
    <w:p w14:paraId="35F9A903" w14:textId="77777777" w:rsidR="00DF1112" w:rsidRPr="00DF1112" w:rsidRDefault="00DF1112" w:rsidP="00DF1112">
      <w:pPr>
        <w:pStyle w:val="Heading1"/>
      </w:pPr>
      <w:bookmarkStart w:id="55" w:name="_Toc111485479"/>
      <w:r w:rsidRPr="00DF1112">
        <w:t>Education, Recreation and Culture – LOIPR 25</w:t>
      </w:r>
      <w:bookmarkEnd w:id="55"/>
    </w:p>
    <w:p w14:paraId="0B9D8B67" w14:textId="77777777" w:rsidR="00DF1112" w:rsidRPr="001A4CBB" w:rsidRDefault="00DF1112" w:rsidP="001A4CBB">
      <w:pPr>
        <w:rPr>
          <w:rFonts w:cstheme="minorHAnsi"/>
          <w:i/>
          <w:iCs/>
          <w:sz w:val="22"/>
          <w:szCs w:val="22"/>
          <w:lang w:val="en-NZ"/>
        </w:rPr>
      </w:pPr>
    </w:p>
    <w:p w14:paraId="4B719FFF" w14:textId="77777777" w:rsidR="00525C59" w:rsidRPr="00525C59" w:rsidRDefault="006F4272" w:rsidP="006F4272">
      <w:pPr>
        <w:pStyle w:val="ListParagraph"/>
        <w:numPr>
          <w:ilvl w:val="0"/>
          <w:numId w:val="9"/>
        </w:numPr>
        <w:ind w:hanging="720"/>
        <w:rPr>
          <w:rFonts w:cstheme="minorHAnsi"/>
          <w:sz w:val="22"/>
          <w:szCs w:val="22"/>
          <w:lang w:val="en-NZ"/>
        </w:rPr>
      </w:pPr>
      <w:r w:rsidRPr="006F4272">
        <w:rPr>
          <w:rFonts w:cstheme="minorHAnsi"/>
          <w:sz w:val="22"/>
          <w:szCs w:val="22"/>
          <w:lang w:val="mi-NZ"/>
        </w:rPr>
        <w:t xml:space="preserve">Aotearoa needs to do more to build </w:t>
      </w:r>
      <w:r w:rsidRPr="006F4272">
        <w:rPr>
          <w:rFonts w:cstheme="minorHAnsi"/>
          <w:sz w:val="22"/>
          <w:szCs w:val="22"/>
          <w:lang w:val="en-NZ"/>
        </w:rPr>
        <w:t xml:space="preserve">an inclusive education system that </w:t>
      </w:r>
      <w:r w:rsidRPr="006F4272">
        <w:rPr>
          <w:rFonts w:cstheme="minorHAnsi"/>
          <w:sz w:val="22"/>
          <w:szCs w:val="22"/>
          <w:lang w:val="mi-NZ"/>
        </w:rPr>
        <w:t>upholds children’s rights and teaches children about their rights</w:t>
      </w:r>
      <w:r w:rsidRPr="006F4272">
        <w:rPr>
          <w:rFonts w:cstheme="minorHAnsi"/>
          <w:sz w:val="22"/>
          <w:szCs w:val="22"/>
          <w:lang w:val="en-NZ"/>
        </w:rPr>
        <w:t>.</w:t>
      </w:r>
      <w:r w:rsidRPr="006F4272">
        <w:rPr>
          <w:rFonts w:cstheme="minorHAnsi"/>
          <w:sz w:val="22"/>
          <w:szCs w:val="22"/>
          <w:vertAlign w:val="superscript"/>
          <w:lang w:val="en-NZ"/>
        </w:rPr>
        <w:footnoteReference w:id="393"/>
      </w:r>
      <w:r w:rsidRPr="006F4272">
        <w:rPr>
          <w:rFonts w:cstheme="minorHAnsi"/>
          <w:sz w:val="22"/>
          <w:szCs w:val="22"/>
          <w:lang w:val="en-NZ"/>
        </w:rPr>
        <w:t xml:space="preserve"> </w:t>
      </w:r>
    </w:p>
    <w:p w14:paraId="2FCB816A" w14:textId="77777777" w:rsidR="00525C59" w:rsidRDefault="00525C59" w:rsidP="00525C59"/>
    <w:p w14:paraId="4C92D81A" w14:textId="0CD057F8" w:rsidR="006F4272" w:rsidRPr="00525C59" w:rsidRDefault="006F4272" w:rsidP="00525C59">
      <w:pPr>
        <w:pStyle w:val="Heading2"/>
        <w:rPr>
          <w:rFonts w:cstheme="minorHAnsi"/>
          <w:sz w:val="22"/>
          <w:szCs w:val="22"/>
          <w:lang w:val="en-NZ"/>
        </w:rPr>
      </w:pPr>
      <w:bookmarkStart w:id="56" w:name="_Toc111485480"/>
      <w:r w:rsidRPr="006F4272">
        <w:t>Ongoing impact of COVID lockdowns on education</w:t>
      </w:r>
      <w:bookmarkEnd w:id="56"/>
      <w:r w:rsidRPr="006F4272">
        <w:t xml:space="preserve"> </w:t>
      </w:r>
    </w:p>
    <w:p w14:paraId="3436CA8F" w14:textId="77777777" w:rsidR="006F4272" w:rsidRPr="006F4272" w:rsidRDefault="006F4272" w:rsidP="006F4272">
      <w:pPr>
        <w:rPr>
          <w:rFonts w:cstheme="minorHAnsi"/>
          <w:sz w:val="22"/>
          <w:szCs w:val="22"/>
          <w:lang w:val="en-NZ"/>
        </w:rPr>
      </w:pPr>
    </w:p>
    <w:p w14:paraId="2E893796" w14:textId="6BAEB91C" w:rsidR="006F4272" w:rsidRPr="006F4272" w:rsidRDefault="006F4272" w:rsidP="006F4272">
      <w:pPr>
        <w:pStyle w:val="ListParagraph"/>
        <w:numPr>
          <w:ilvl w:val="0"/>
          <w:numId w:val="9"/>
        </w:numPr>
        <w:ind w:hanging="720"/>
        <w:rPr>
          <w:rFonts w:cstheme="minorHAnsi"/>
          <w:sz w:val="22"/>
          <w:szCs w:val="22"/>
          <w:lang w:val="en-NZ"/>
        </w:rPr>
      </w:pPr>
      <w:r w:rsidRPr="006F4272">
        <w:rPr>
          <w:rFonts w:cstheme="minorHAnsi"/>
          <w:sz w:val="22"/>
          <w:szCs w:val="22"/>
          <w:lang w:val="mi-NZ"/>
        </w:rPr>
        <w:t xml:space="preserve">COVID-19 has had, and continues to have, an impact on children’s education, especially for children in Auckland, including those under </w:t>
      </w:r>
      <w:r w:rsidR="007D2EA8">
        <w:rPr>
          <w:rFonts w:cstheme="minorHAnsi"/>
          <w:sz w:val="22"/>
          <w:szCs w:val="22"/>
          <w:lang w:val="mi-NZ"/>
        </w:rPr>
        <w:t>five</w:t>
      </w:r>
      <w:r w:rsidRPr="006F4272">
        <w:rPr>
          <w:rFonts w:cstheme="minorHAnsi"/>
          <w:sz w:val="22"/>
          <w:szCs w:val="22"/>
          <w:lang w:val="mi-NZ"/>
        </w:rPr>
        <w:t xml:space="preserve"> in ECE, who spent more than 100 days in lockdown.</w:t>
      </w:r>
      <w:r w:rsidRPr="006F4272">
        <w:rPr>
          <w:vertAlign w:val="superscript"/>
          <w:lang w:val="mi-NZ"/>
        </w:rPr>
        <w:footnoteReference w:id="394"/>
      </w:r>
      <w:r w:rsidRPr="006F4272">
        <w:rPr>
          <w:rFonts w:cstheme="minorHAnsi"/>
          <w:sz w:val="22"/>
          <w:szCs w:val="22"/>
          <w:lang w:val="mi-NZ"/>
        </w:rPr>
        <w:t xml:space="preserve"> </w:t>
      </w:r>
      <w:r w:rsidRPr="006F4272">
        <w:rPr>
          <w:vertAlign w:val="superscript"/>
          <w:lang w:val="mi-NZ"/>
        </w:rPr>
        <w:footnoteReference w:id="395"/>
      </w:r>
      <w:r w:rsidRPr="006F4272">
        <w:rPr>
          <w:rFonts w:cstheme="minorHAnsi"/>
          <w:sz w:val="22"/>
          <w:szCs w:val="22"/>
          <w:lang w:val="mi-NZ"/>
        </w:rPr>
        <w:t xml:space="preserve"> We acknowledge the efforts </w:t>
      </w:r>
      <w:r w:rsidRPr="006F4272">
        <w:rPr>
          <w:rFonts w:cstheme="minorHAnsi"/>
          <w:sz w:val="22"/>
          <w:szCs w:val="22"/>
          <w:lang w:val="mi-NZ"/>
        </w:rPr>
        <w:lastRenderedPageBreak/>
        <w:t>made by many teachers and schools during the pandemic to keep children engaged and learning.</w:t>
      </w:r>
      <w:r w:rsidRPr="006F4272">
        <w:rPr>
          <w:vertAlign w:val="superscript"/>
          <w:lang w:val="mi-NZ"/>
        </w:rPr>
        <w:footnoteReference w:id="396"/>
      </w:r>
    </w:p>
    <w:p w14:paraId="6126345B" w14:textId="77777777" w:rsidR="006F4272" w:rsidRPr="006F4272" w:rsidRDefault="006F4272" w:rsidP="006F4272">
      <w:pPr>
        <w:pStyle w:val="ListParagraph"/>
        <w:rPr>
          <w:rFonts w:cstheme="minorHAnsi"/>
          <w:sz w:val="22"/>
          <w:szCs w:val="22"/>
          <w:lang w:val="mi-NZ"/>
        </w:rPr>
      </w:pPr>
    </w:p>
    <w:p w14:paraId="11B3701C" w14:textId="77777777" w:rsidR="006F4272" w:rsidRPr="006F4272" w:rsidRDefault="006F4272" w:rsidP="006F4272">
      <w:pPr>
        <w:pStyle w:val="ListParagraph"/>
        <w:numPr>
          <w:ilvl w:val="0"/>
          <w:numId w:val="9"/>
        </w:numPr>
        <w:ind w:hanging="720"/>
        <w:rPr>
          <w:rFonts w:cstheme="minorHAnsi"/>
          <w:sz w:val="22"/>
          <w:szCs w:val="22"/>
          <w:lang w:val="mi-NZ"/>
        </w:rPr>
      </w:pPr>
      <w:r w:rsidRPr="006F4272">
        <w:rPr>
          <w:rFonts w:cstheme="minorHAnsi"/>
          <w:sz w:val="22"/>
          <w:szCs w:val="22"/>
          <w:lang w:val="mi-NZ"/>
        </w:rPr>
        <w:t>At the end of 2021, students called for more help to recover from the impacts of COVID on their learning.</w:t>
      </w:r>
      <w:r w:rsidRPr="006F4272">
        <w:rPr>
          <w:rFonts w:cstheme="minorHAnsi"/>
          <w:sz w:val="22"/>
          <w:szCs w:val="22"/>
          <w:vertAlign w:val="superscript"/>
          <w:lang w:val="mi-NZ"/>
        </w:rPr>
        <w:footnoteReference w:id="397"/>
      </w:r>
    </w:p>
    <w:p w14:paraId="441494B8" w14:textId="712745BE" w:rsidR="006F4272" w:rsidRDefault="006F4272" w:rsidP="006F4272">
      <w:pPr>
        <w:rPr>
          <w:rFonts w:cstheme="minorHAnsi"/>
          <w:sz w:val="22"/>
          <w:szCs w:val="22"/>
          <w:lang w:val="mi-NZ"/>
        </w:rPr>
      </w:pPr>
    </w:p>
    <w:p w14:paraId="6F81403B" w14:textId="77777777" w:rsidR="006F4272" w:rsidRPr="006F4272" w:rsidRDefault="006F4272" w:rsidP="006F4272">
      <w:pPr>
        <w:pStyle w:val="Heading2"/>
      </w:pPr>
      <w:bookmarkStart w:id="57" w:name="_Toc111485481"/>
      <w:r w:rsidRPr="006F4272">
        <w:t>School attendance</w:t>
      </w:r>
      <w:bookmarkEnd w:id="57"/>
    </w:p>
    <w:p w14:paraId="0AAB7A58" w14:textId="77777777" w:rsidR="006F4272" w:rsidRPr="006F4272" w:rsidRDefault="006F4272" w:rsidP="006F4272">
      <w:pPr>
        <w:rPr>
          <w:rFonts w:cstheme="minorHAnsi"/>
          <w:sz w:val="22"/>
          <w:szCs w:val="22"/>
          <w:lang w:val="mi-NZ"/>
        </w:rPr>
      </w:pPr>
    </w:p>
    <w:p w14:paraId="0FE2B630" w14:textId="4DB21676" w:rsidR="006F4272" w:rsidRPr="006F4272" w:rsidRDefault="006F4272" w:rsidP="006F4272">
      <w:pPr>
        <w:pStyle w:val="ListParagraph"/>
        <w:numPr>
          <w:ilvl w:val="0"/>
          <w:numId w:val="9"/>
        </w:numPr>
        <w:ind w:hanging="720"/>
        <w:rPr>
          <w:rFonts w:cstheme="minorHAnsi"/>
          <w:sz w:val="22"/>
          <w:szCs w:val="22"/>
          <w:lang w:val="mi-NZ"/>
        </w:rPr>
      </w:pPr>
      <w:r w:rsidRPr="006F4272">
        <w:rPr>
          <w:rFonts w:cstheme="minorHAnsi"/>
          <w:sz w:val="22"/>
          <w:szCs w:val="22"/>
          <w:lang w:val="mi-NZ"/>
        </w:rPr>
        <w:t>Increased rates of COVID-19, as well as other illnesses, affect both student attendence and staffing in schools.</w:t>
      </w:r>
      <w:r w:rsidRPr="006F4272">
        <w:rPr>
          <w:rFonts w:cstheme="minorHAnsi"/>
          <w:sz w:val="22"/>
          <w:szCs w:val="22"/>
          <w:vertAlign w:val="superscript"/>
          <w:lang w:val="mi-NZ"/>
        </w:rPr>
        <w:footnoteReference w:id="398"/>
      </w:r>
      <w:r w:rsidRPr="006F4272">
        <w:rPr>
          <w:rFonts w:cstheme="minorHAnsi"/>
          <w:sz w:val="22"/>
          <w:szCs w:val="22"/>
          <w:lang w:val="mi-NZ"/>
        </w:rPr>
        <w:t xml:space="preserve"> Some students are finding it difficult to return to the classroom after learning remotely durign the pandemic, becoming disengaged from education.</w:t>
      </w:r>
      <w:r w:rsidRPr="006F4272">
        <w:rPr>
          <w:rFonts w:cstheme="minorHAnsi"/>
          <w:sz w:val="22"/>
          <w:szCs w:val="22"/>
          <w:vertAlign w:val="superscript"/>
          <w:lang w:val="mi-NZ"/>
        </w:rPr>
        <w:footnoteReference w:id="399"/>
      </w:r>
      <w:r w:rsidRPr="006F4272">
        <w:rPr>
          <w:rFonts w:cstheme="minorHAnsi"/>
          <w:sz w:val="22"/>
          <w:szCs w:val="22"/>
          <w:lang w:val="mi-NZ"/>
        </w:rPr>
        <w:t xml:space="preserve"> This has been compounded by cost of living increases, with petrol costs of getting children to school prohibitive for some families.</w:t>
      </w:r>
      <w:r w:rsidRPr="006F4272">
        <w:rPr>
          <w:rFonts w:cstheme="minorHAnsi"/>
          <w:sz w:val="22"/>
          <w:szCs w:val="22"/>
          <w:vertAlign w:val="superscript"/>
          <w:lang w:val="mi-NZ"/>
        </w:rPr>
        <w:footnoteReference w:id="400"/>
      </w:r>
    </w:p>
    <w:p w14:paraId="07741340" w14:textId="77777777" w:rsidR="006F4272" w:rsidRPr="006F4272" w:rsidRDefault="006F4272" w:rsidP="006F4272">
      <w:pPr>
        <w:pStyle w:val="ListParagraph"/>
        <w:rPr>
          <w:rFonts w:cstheme="minorHAnsi"/>
          <w:sz w:val="22"/>
          <w:szCs w:val="22"/>
          <w:lang w:val="mi-NZ"/>
        </w:rPr>
      </w:pPr>
    </w:p>
    <w:p w14:paraId="0B13407D" w14:textId="77777777" w:rsidR="006F4272" w:rsidRPr="006F4272" w:rsidRDefault="006F4272" w:rsidP="006F4272">
      <w:pPr>
        <w:pStyle w:val="ListParagraph"/>
        <w:numPr>
          <w:ilvl w:val="0"/>
          <w:numId w:val="9"/>
        </w:numPr>
        <w:ind w:hanging="720"/>
        <w:rPr>
          <w:rFonts w:cstheme="minorHAnsi"/>
          <w:sz w:val="22"/>
          <w:szCs w:val="22"/>
          <w:lang w:val="mi-NZ"/>
        </w:rPr>
      </w:pPr>
      <w:r w:rsidRPr="006F4272">
        <w:rPr>
          <w:rFonts w:cstheme="minorHAnsi"/>
          <w:sz w:val="22"/>
          <w:szCs w:val="22"/>
          <w:lang w:val="mi-NZ"/>
        </w:rPr>
        <w:t>Children are leaving school early (before completing their school qualifications) to work. Some are entering trade training with strong future prospects, but others are in jobs without many prospects. More options are needed for children to continue to study for meaningful qualifications while they are working.</w:t>
      </w:r>
      <w:r w:rsidRPr="006F4272">
        <w:rPr>
          <w:rFonts w:cstheme="minorHAnsi"/>
          <w:sz w:val="22"/>
          <w:szCs w:val="22"/>
          <w:vertAlign w:val="superscript"/>
          <w:lang w:val="mi-NZ"/>
        </w:rPr>
        <w:footnoteReference w:id="401"/>
      </w:r>
    </w:p>
    <w:p w14:paraId="61D2E6A1" w14:textId="77777777" w:rsidR="006F4272" w:rsidRPr="006F4272" w:rsidRDefault="006F4272" w:rsidP="006F4272">
      <w:pPr>
        <w:pStyle w:val="IntenseQuote"/>
        <w:ind w:left="720"/>
        <w:jc w:val="left"/>
        <w:rPr>
          <w:b/>
          <w:bCs/>
          <w:i w:val="0"/>
          <w:iCs w:val="0"/>
          <w:sz w:val="24"/>
          <w:szCs w:val="24"/>
          <w:lang w:val="mi-NZ"/>
        </w:rPr>
      </w:pPr>
      <w:r w:rsidRPr="006F4272">
        <w:rPr>
          <w:b/>
          <w:bCs/>
          <w:i w:val="0"/>
          <w:iCs w:val="0"/>
          <w:sz w:val="24"/>
          <w:szCs w:val="24"/>
          <w:lang w:val="mi-NZ"/>
        </w:rPr>
        <w:t>Recommendations</w:t>
      </w:r>
    </w:p>
    <w:p w14:paraId="72E68E3E" w14:textId="77777777" w:rsidR="006F4272" w:rsidRPr="006F4272" w:rsidRDefault="006F4272" w:rsidP="00916EA3">
      <w:pPr>
        <w:pStyle w:val="IntenseQuote"/>
        <w:numPr>
          <w:ilvl w:val="0"/>
          <w:numId w:val="23"/>
        </w:numPr>
        <w:jc w:val="left"/>
        <w:rPr>
          <w:i w:val="0"/>
          <w:iCs w:val="0"/>
          <w:sz w:val="22"/>
          <w:szCs w:val="22"/>
          <w:lang w:val="mi-NZ"/>
        </w:rPr>
      </w:pPr>
      <w:r w:rsidRPr="006F4272">
        <w:rPr>
          <w:i w:val="0"/>
          <w:iCs w:val="0"/>
          <w:sz w:val="22"/>
          <w:szCs w:val="22"/>
          <w:lang w:val="mi-NZ"/>
        </w:rPr>
        <w:t>Work with children to understand and respond to the issues causing disengagement from school.</w:t>
      </w:r>
    </w:p>
    <w:p w14:paraId="11EBE5F9" w14:textId="77777777" w:rsidR="006F4272" w:rsidRPr="006F4272" w:rsidRDefault="006F4272" w:rsidP="00916EA3">
      <w:pPr>
        <w:pStyle w:val="IntenseQuote"/>
        <w:numPr>
          <w:ilvl w:val="0"/>
          <w:numId w:val="23"/>
        </w:numPr>
        <w:jc w:val="left"/>
        <w:rPr>
          <w:i w:val="0"/>
          <w:iCs w:val="0"/>
          <w:sz w:val="22"/>
          <w:szCs w:val="22"/>
          <w:lang w:val="mi-NZ"/>
        </w:rPr>
      </w:pPr>
      <w:r w:rsidRPr="006F4272">
        <w:rPr>
          <w:i w:val="0"/>
          <w:iCs w:val="0"/>
          <w:sz w:val="22"/>
          <w:szCs w:val="22"/>
          <w:lang w:val="mi-NZ"/>
        </w:rPr>
        <w:t>Develop options for children to continue studying while they are working.</w:t>
      </w:r>
    </w:p>
    <w:p w14:paraId="22B785AD" w14:textId="5A0B9009" w:rsidR="006F4272" w:rsidRPr="00F14110" w:rsidRDefault="006F4272" w:rsidP="00F14110">
      <w:pPr>
        <w:pStyle w:val="Heading2"/>
      </w:pPr>
      <w:bookmarkStart w:id="58" w:name="_Toc111485482"/>
      <w:r w:rsidRPr="00F14110">
        <w:lastRenderedPageBreak/>
        <w:t>Review of the Education Act and Curriculum – LOIPR 25(a)</w:t>
      </w:r>
      <w:bookmarkEnd w:id="58"/>
    </w:p>
    <w:p w14:paraId="1B256448" w14:textId="7C9DC4C3" w:rsidR="00124FEB" w:rsidRPr="006F4272" w:rsidRDefault="00124FEB" w:rsidP="006F4272">
      <w:pPr>
        <w:rPr>
          <w:rFonts w:cstheme="minorHAnsi"/>
          <w:sz w:val="22"/>
          <w:szCs w:val="22"/>
          <w:lang w:val="mi-NZ"/>
        </w:rPr>
      </w:pPr>
    </w:p>
    <w:p w14:paraId="3CEF6C88" w14:textId="0FDAF427" w:rsidR="00F14110" w:rsidRPr="00F14110" w:rsidRDefault="00F14110" w:rsidP="00F14110">
      <w:pPr>
        <w:pStyle w:val="ListParagraph"/>
        <w:numPr>
          <w:ilvl w:val="0"/>
          <w:numId w:val="9"/>
        </w:numPr>
        <w:ind w:hanging="720"/>
        <w:rPr>
          <w:rFonts w:cstheme="minorHAnsi"/>
          <w:sz w:val="22"/>
          <w:szCs w:val="22"/>
          <w:lang w:val="mi-NZ"/>
        </w:rPr>
      </w:pPr>
      <w:r w:rsidRPr="00F14110">
        <w:rPr>
          <w:rFonts w:cstheme="minorHAnsi"/>
          <w:sz w:val="22"/>
          <w:szCs w:val="22"/>
          <w:lang w:val="mi-NZ"/>
        </w:rPr>
        <w:t xml:space="preserve">The Education Act 1989 has been replaced by the Education and Training Act 2020, following consultation – </w:t>
      </w:r>
      <w:hyperlink r:id="rId11" w:history="1">
        <w:r w:rsidRPr="00F14110">
          <w:rPr>
            <w:rStyle w:val="Hyperlink"/>
            <w:rFonts w:cstheme="minorHAnsi"/>
            <w:sz w:val="22"/>
            <w:szCs w:val="22"/>
            <w:lang w:val="mi-NZ"/>
          </w:rPr>
          <w:t>Kōrero Mātauranga (Education Conversation)</w:t>
        </w:r>
      </w:hyperlink>
      <w:r w:rsidRPr="00F14110">
        <w:rPr>
          <w:rFonts w:cstheme="minorHAnsi"/>
          <w:sz w:val="22"/>
          <w:szCs w:val="22"/>
          <w:lang w:val="mi-NZ"/>
        </w:rPr>
        <w:t xml:space="preserve"> – including with children.</w:t>
      </w:r>
      <w:r w:rsidRPr="00F14110">
        <w:rPr>
          <w:rFonts w:cstheme="minorHAnsi"/>
          <w:sz w:val="22"/>
          <w:szCs w:val="22"/>
          <w:vertAlign w:val="superscript"/>
          <w:lang w:val="mi-NZ"/>
        </w:rPr>
        <w:footnoteReference w:id="402"/>
      </w:r>
      <w:r w:rsidRPr="00F14110">
        <w:rPr>
          <w:rFonts w:cstheme="minorHAnsi"/>
          <w:sz w:val="22"/>
          <w:szCs w:val="22"/>
          <w:lang w:val="mi-NZ"/>
        </w:rPr>
        <w:t xml:space="preserve"> </w:t>
      </w:r>
    </w:p>
    <w:p w14:paraId="48237C0A" w14:textId="77777777" w:rsidR="00F14110" w:rsidRPr="00F14110" w:rsidRDefault="00F14110" w:rsidP="00F14110">
      <w:pPr>
        <w:pStyle w:val="ListParagraph"/>
        <w:rPr>
          <w:rFonts w:cstheme="minorHAnsi"/>
          <w:sz w:val="22"/>
          <w:szCs w:val="22"/>
          <w:lang w:val="mi-NZ"/>
        </w:rPr>
      </w:pPr>
    </w:p>
    <w:p w14:paraId="145A7549" w14:textId="77777777" w:rsidR="00F14110" w:rsidRPr="00F14110" w:rsidRDefault="00F14110" w:rsidP="00F14110">
      <w:pPr>
        <w:pStyle w:val="ListParagraph"/>
        <w:numPr>
          <w:ilvl w:val="0"/>
          <w:numId w:val="9"/>
        </w:numPr>
        <w:ind w:hanging="720"/>
        <w:rPr>
          <w:rFonts w:cstheme="minorHAnsi"/>
          <w:sz w:val="22"/>
          <w:szCs w:val="22"/>
          <w:lang w:val="en-NZ"/>
        </w:rPr>
      </w:pPr>
      <w:r w:rsidRPr="00F14110">
        <w:rPr>
          <w:rFonts w:cstheme="minorHAnsi"/>
          <w:sz w:val="22"/>
          <w:szCs w:val="22"/>
          <w:lang w:val="en-NZ"/>
        </w:rPr>
        <w:t>There is no requirement to take children’s rights into account in decision-making under the new Act, or in the Ministerial statement of national education and learning priorities.</w:t>
      </w:r>
      <w:r w:rsidRPr="00F14110">
        <w:rPr>
          <w:rFonts w:cstheme="minorHAnsi"/>
          <w:sz w:val="22"/>
          <w:szCs w:val="22"/>
          <w:vertAlign w:val="superscript"/>
          <w:lang w:val="en-NZ"/>
        </w:rPr>
        <w:footnoteReference w:id="403"/>
      </w:r>
      <w:r w:rsidRPr="00F14110">
        <w:rPr>
          <w:rFonts w:cstheme="minorHAnsi"/>
          <w:sz w:val="22"/>
          <w:szCs w:val="22"/>
          <w:lang w:val="en-NZ"/>
        </w:rPr>
        <w:t xml:space="preserve"> The Act recognises the right to free education, entitling children to attend school from ages 5 to 19, and explicitly provides that students with special educational needs have the same rights to education at State schools as others.</w:t>
      </w:r>
      <w:r w:rsidRPr="00F14110">
        <w:rPr>
          <w:rFonts w:cstheme="minorHAnsi"/>
          <w:sz w:val="22"/>
          <w:szCs w:val="22"/>
          <w:vertAlign w:val="superscript"/>
          <w:lang w:val="en-NZ"/>
        </w:rPr>
        <w:footnoteReference w:id="404"/>
      </w:r>
      <w:r w:rsidRPr="00F14110">
        <w:rPr>
          <w:rFonts w:cstheme="minorHAnsi"/>
          <w:sz w:val="22"/>
          <w:szCs w:val="22"/>
          <w:lang w:val="en-NZ"/>
        </w:rPr>
        <w:t xml:space="preserve"> </w:t>
      </w:r>
      <w:r w:rsidRPr="00F14110">
        <w:rPr>
          <w:rFonts w:cstheme="minorHAnsi"/>
          <w:sz w:val="22"/>
          <w:szCs w:val="22"/>
          <w:vertAlign w:val="superscript"/>
          <w:lang w:val="en-NZ"/>
        </w:rPr>
        <w:footnoteReference w:id="405"/>
      </w:r>
      <w:r w:rsidRPr="00F14110">
        <w:rPr>
          <w:rFonts w:cstheme="minorHAnsi"/>
          <w:sz w:val="22"/>
          <w:szCs w:val="22"/>
          <w:lang w:val="en-NZ"/>
        </w:rPr>
        <w:t xml:space="preserve">  </w:t>
      </w:r>
    </w:p>
    <w:p w14:paraId="6D522957" w14:textId="77777777" w:rsidR="00F14110" w:rsidRPr="00F14110" w:rsidRDefault="00F14110" w:rsidP="00F14110">
      <w:pPr>
        <w:pStyle w:val="ListParagraph"/>
        <w:rPr>
          <w:rFonts w:cstheme="minorHAnsi"/>
          <w:sz w:val="22"/>
          <w:szCs w:val="22"/>
          <w:lang w:val="mi-NZ"/>
        </w:rPr>
      </w:pPr>
    </w:p>
    <w:p w14:paraId="0408D4D0" w14:textId="77777777" w:rsidR="00F14110" w:rsidRPr="00F14110" w:rsidRDefault="00F14110" w:rsidP="00F14110">
      <w:pPr>
        <w:pStyle w:val="ListParagraph"/>
        <w:numPr>
          <w:ilvl w:val="0"/>
          <w:numId w:val="9"/>
        </w:numPr>
        <w:ind w:hanging="720"/>
        <w:rPr>
          <w:rFonts w:cstheme="minorHAnsi"/>
          <w:sz w:val="22"/>
          <w:szCs w:val="22"/>
          <w:lang w:val="mi-NZ"/>
        </w:rPr>
      </w:pPr>
      <w:r w:rsidRPr="00F14110">
        <w:rPr>
          <w:rFonts w:cstheme="minorHAnsi"/>
          <w:sz w:val="22"/>
          <w:szCs w:val="22"/>
          <w:lang w:val="mi-NZ"/>
        </w:rPr>
        <w:t>The new legislative framework could do more to create an education system that is child-centred, child-friendly and empowering, and capable of developing each child’s skills, learning and other capacities, dignity, self-esteem and self confidence.</w:t>
      </w:r>
      <w:r w:rsidRPr="00F14110">
        <w:rPr>
          <w:rFonts w:cstheme="minorHAnsi"/>
          <w:sz w:val="22"/>
          <w:szCs w:val="22"/>
          <w:vertAlign w:val="superscript"/>
          <w:lang w:val="mi-NZ"/>
        </w:rPr>
        <w:footnoteReference w:id="406"/>
      </w:r>
      <w:r w:rsidRPr="00F14110">
        <w:rPr>
          <w:rFonts w:cstheme="minorHAnsi"/>
          <w:sz w:val="22"/>
          <w:szCs w:val="22"/>
          <w:lang w:val="mi-NZ"/>
        </w:rPr>
        <w:t xml:space="preserve"> </w:t>
      </w:r>
      <w:r w:rsidRPr="00F14110">
        <w:rPr>
          <w:rFonts w:cstheme="minorHAnsi"/>
          <w:sz w:val="22"/>
          <w:szCs w:val="22"/>
          <w:vertAlign w:val="superscript"/>
          <w:lang w:val="mi-NZ"/>
        </w:rPr>
        <w:footnoteReference w:id="407"/>
      </w:r>
      <w:r w:rsidRPr="00F14110">
        <w:rPr>
          <w:rFonts w:cstheme="minorHAnsi"/>
          <w:sz w:val="22"/>
          <w:szCs w:val="22"/>
          <w:lang w:val="mi-NZ"/>
        </w:rPr>
        <w:t xml:space="preserve"> For example, </w:t>
      </w:r>
      <w:r w:rsidRPr="00F14110">
        <w:rPr>
          <w:rFonts w:cstheme="minorHAnsi"/>
          <w:sz w:val="22"/>
          <w:szCs w:val="22"/>
          <w:lang w:val="en-NZ"/>
        </w:rPr>
        <w:t>students who have been in care are more likely to have challenges around school engagement, achievement, and education pathways, so the education system needs to be capable of responding to the unique needs of this group of students.</w:t>
      </w:r>
      <w:r w:rsidRPr="00F14110">
        <w:rPr>
          <w:rFonts w:cstheme="minorHAnsi"/>
          <w:sz w:val="22"/>
          <w:szCs w:val="22"/>
          <w:vertAlign w:val="superscript"/>
          <w:lang w:val="en-NZ"/>
        </w:rPr>
        <w:footnoteReference w:id="408"/>
      </w:r>
      <w:r w:rsidRPr="00F14110">
        <w:rPr>
          <w:rFonts w:cstheme="minorHAnsi"/>
          <w:sz w:val="22"/>
          <w:szCs w:val="22"/>
          <w:lang w:val="en-NZ"/>
        </w:rPr>
        <w:t xml:space="preserve"> </w:t>
      </w:r>
    </w:p>
    <w:p w14:paraId="61D8D9BF" w14:textId="77777777" w:rsidR="00F14110" w:rsidRPr="00F14110" w:rsidRDefault="00F14110" w:rsidP="00F14110">
      <w:pPr>
        <w:pStyle w:val="ListParagraph"/>
        <w:rPr>
          <w:rFonts w:cstheme="minorHAnsi"/>
          <w:sz w:val="22"/>
          <w:szCs w:val="22"/>
          <w:lang w:val="mi-NZ"/>
        </w:rPr>
      </w:pPr>
    </w:p>
    <w:p w14:paraId="57265857" w14:textId="77777777" w:rsidR="00F14110" w:rsidRPr="00F14110" w:rsidRDefault="00F14110" w:rsidP="00F14110">
      <w:pPr>
        <w:pStyle w:val="ListParagraph"/>
        <w:numPr>
          <w:ilvl w:val="0"/>
          <w:numId w:val="9"/>
        </w:numPr>
        <w:ind w:hanging="720"/>
        <w:rPr>
          <w:rFonts w:cstheme="minorHAnsi"/>
          <w:sz w:val="22"/>
          <w:szCs w:val="22"/>
          <w:lang w:val="mi-NZ"/>
        </w:rPr>
      </w:pPr>
      <w:r w:rsidRPr="00F14110">
        <w:rPr>
          <w:rFonts w:cstheme="minorHAnsi"/>
          <w:sz w:val="22"/>
          <w:szCs w:val="22"/>
          <w:lang w:val="mi-NZ"/>
        </w:rPr>
        <w:t>The curriculum is being refreshed and, from 2026 onwards, will be an opportunity to address some of the shortcomings in the legislative framework so that all children learn about and experience their rights in the education system.</w:t>
      </w:r>
      <w:r w:rsidRPr="00F14110">
        <w:rPr>
          <w:rFonts w:cstheme="minorHAnsi"/>
          <w:sz w:val="22"/>
          <w:szCs w:val="22"/>
          <w:vertAlign w:val="superscript"/>
          <w:lang w:val="mi-NZ"/>
        </w:rPr>
        <w:footnoteReference w:id="409"/>
      </w:r>
      <w:r w:rsidRPr="00F14110">
        <w:rPr>
          <w:rFonts w:cstheme="minorHAnsi"/>
          <w:sz w:val="22"/>
          <w:szCs w:val="22"/>
          <w:lang w:val="mi-NZ"/>
        </w:rPr>
        <w:t xml:space="preserve"> Education on the environment and climate change, healthy food, participation, consent, cultural and identity rights are all areas that could be strengthened in the curriculum. </w:t>
      </w:r>
      <w:r w:rsidRPr="00F14110">
        <w:rPr>
          <w:rFonts w:cstheme="minorHAnsi"/>
          <w:sz w:val="22"/>
          <w:szCs w:val="22"/>
          <w:vertAlign w:val="superscript"/>
          <w:lang w:val="mi-NZ"/>
        </w:rPr>
        <w:footnoteReference w:id="410"/>
      </w:r>
    </w:p>
    <w:p w14:paraId="7517E748" w14:textId="77777777" w:rsidR="00F14110" w:rsidRPr="00F14110" w:rsidRDefault="00F14110" w:rsidP="00F14110">
      <w:pPr>
        <w:pStyle w:val="ListParagraph"/>
        <w:rPr>
          <w:rFonts w:cstheme="minorHAnsi"/>
          <w:sz w:val="22"/>
          <w:szCs w:val="22"/>
          <w:lang w:val="mi-NZ"/>
        </w:rPr>
      </w:pPr>
    </w:p>
    <w:p w14:paraId="2BE20476" w14:textId="0865F16B" w:rsidR="00F14110" w:rsidRPr="00942EDA" w:rsidRDefault="00F14110" w:rsidP="00942EDA">
      <w:pPr>
        <w:pStyle w:val="ListParagraph"/>
        <w:numPr>
          <w:ilvl w:val="0"/>
          <w:numId w:val="9"/>
        </w:numPr>
        <w:ind w:hanging="720"/>
        <w:rPr>
          <w:rFonts w:cstheme="minorHAnsi"/>
          <w:sz w:val="22"/>
          <w:szCs w:val="22"/>
          <w:lang w:val="mi-NZ"/>
        </w:rPr>
      </w:pPr>
      <w:r w:rsidRPr="00F14110">
        <w:rPr>
          <w:rFonts w:cstheme="minorHAnsi"/>
          <w:sz w:val="22"/>
          <w:szCs w:val="22"/>
          <w:lang w:val="mi-NZ"/>
        </w:rPr>
        <w:t xml:space="preserve">As well as participation in </w:t>
      </w:r>
      <w:hyperlink r:id="rId12" w:history="1">
        <w:r w:rsidRPr="00F14110">
          <w:rPr>
            <w:rStyle w:val="Hyperlink"/>
            <w:rFonts w:cstheme="minorHAnsi"/>
            <w:sz w:val="22"/>
            <w:szCs w:val="22"/>
            <w:lang w:val="mi-NZ"/>
          </w:rPr>
          <w:t>Kōrero Mātauranga (Education Conversation)</w:t>
        </w:r>
      </w:hyperlink>
      <w:r w:rsidRPr="00F14110">
        <w:rPr>
          <w:rFonts w:cstheme="minorHAnsi"/>
          <w:sz w:val="22"/>
          <w:szCs w:val="22"/>
          <w:u w:val="single"/>
          <w:lang w:val="mi-NZ"/>
        </w:rPr>
        <w:t xml:space="preserve">, </w:t>
      </w:r>
      <w:r w:rsidRPr="00F14110">
        <w:rPr>
          <w:rFonts w:cstheme="minorHAnsi"/>
          <w:sz w:val="22"/>
          <w:szCs w:val="22"/>
          <w:lang w:val="mi-NZ"/>
        </w:rPr>
        <w:t xml:space="preserve">a </w:t>
      </w:r>
      <w:r>
        <w:fldChar w:fldCharType="begin"/>
      </w:r>
      <w:r>
        <w:instrText xml:space="preserve"> HYPERLINK "https://www.education.govt.nz/school/student-support/youth-advisory-group/" </w:instrText>
      </w:r>
      <w:r>
        <w:fldChar w:fldCharType="separate"/>
      </w:r>
      <w:r w:rsidRPr="00F14110">
        <w:rPr>
          <w:rStyle w:val="Hyperlink"/>
          <w:rFonts w:cstheme="minorHAnsi"/>
          <w:sz w:val="22"/>
          <w:szCs w:val="22"/>
          <w:lang w:val="mi-NZ"/>
        </w:rPr>
        <w:t>Ministerial youth advisory group</w:t>
      </w:r>
      <w:r>
        <w:rPr>
          <w:rStyle w:val="Hyperlink"/>
          <w:rFonts w:cstheme="minorHAnsi"/>
          <w:sz w:val="22"/>
          <w:szCs w:val="22"/>
          <w:lang w:val="mi-NZ"/>
        </w:rPr>
        <w:fldChar w:fldCharType="end"/>
      </w:r>
      <w:r w:rsidRPr="00F14110">
        <w:rPr>
          <w:rFonts w:cstheme="minorHAnsi"/>
          <w:sz w:val="22"/>
          <w:szCs w:val="22"/>
          <w:lang w:val="mi-NZ"/>
        </w:rPr>
        <w:t xml:space="preserve"> has been established for children to advise the Minister on the education system.</w:t>
      </w:r>
      <w:r w:rsidRPr="00F14110">
        <w:rPr>
          <w:rFonts w:cstheme="minorHAnsi"/>
          <w:sz w:val="22"/>
          <w:szCs w:val="22"/>
          <w:vertAlign w:val="superscript"/>
          <w:lang w:val="mi-NZ"/>
        </w:rPr>
        <w:footnoteReference w:id="411"/>
      </w:r>
      <w:r w:rsidRPr="00F14110">
        <w:rPr>
          <w:rFonts w:cstheme="minorHAnsi"/>
          <w:sz w:val="22"/>
          <w:szCs w:val="22"/>
          <w:lang w:val="mi-NZ"/>
        </w:rPr>
        <w:t xml:space="preserve">  </w:t>
      </w:r>
    </w:p>
    <w:p w14:paraId="5444BE4B" w14:textId="6D95EE40" w:rsidR="00F14110" w:rsidRPr="00F14110" w:rsidRDefault="00F14110" w:rsidP="00F14110">
      <w:pPr>
        <w:pStyle w:val="IntenseQuote"/>
        <w:ind w:left="720"/>
        <w:jc w:val="left"/>
        <w:rPr>
          <w:b/>
          <w:bCs/>
          <w:i w:val="0"/>
          <w:iCs w:val="0"/>
          <w:sz w:val="24"/>
          <w:szCs w:val="24"/>
          <w:lang w:val="mi-NZ"/>
        </w:rPr>
      </w:pPr>
      <w:r w:rsidRPr="00F14110">
        <w:rPr>
          <w:b/>
          <w:bCs/>
          <w:i w:val="0"/>
          <w:iCs w:val="0"/>
          <w:sz w:val="24"/>
          <w:szCs w:val="24"/>
          <w:lang w:val="mi-NZ"/>
        </w:rPr>
        <w:t>Recommendations</w:t>
      </w:r>
    </w:p>
    <w:p w14:paraId="6C452600" w14:textId="77777777" w:rsidR="00F14110" w:rsidRPr="00F14110" w:rsidRDefault="00F14110" w:rsidP="00916EA3">
      <w:pPr>
        <w:pStyle w:val="IntenseQuote"/>
        <w:numPr>
          <w:ilvl w:val="0"/>
          <w:numId w:val="23"/>
        </w:numPr>
        <w:jc w:val="left"/>
        <w:rPr>
          <w:i w:val="0"/>
          <w:iCs w:val="0"/>
          <w:sz w:val="22"/>
          <w:szCs w:val="22"/>
          <w:lang w:val="mi-NZ"/>
        </w:rPr>
      </w:pPr>
      <w:r w:rsidRPr="00F14110">
        <w:rPr>
          <w:i w:val="0"/>
          <w:iCs w:val="0"/>
          <w:sz w:val="22"/>
          <w:szCs w:val="22"/>
          <w:lang w:val="mi-NZ"/>
        </w:rPr>
        <w:t>Take a children’s rights approach</w:t>
      </w:r>
      <w:r w:rsidRPr="005807AE">
        <w:rPr>
          <w:rFonts w:cstheme="minorHAnsi"/>
          <w:i w:val="0"/>
          <w:iCs w:val="0"/>
          <w:color w:val="00AE6D" w:themeColor="accent6"/>
          <w:sz w:val="22"/>
          <w:szCs w:val="22"/>
          <w:vertAlign w:val="superscript"/>
          <w:lang w:val="mi-NZ"/>
        </w:rPr>
        <w:footnoteReference w:id="412"/>
      </w:r>
      <w:r w:rsidRPr="005807AE">
        <w:rPr>
          <w:rFonts w:cstheme="minorHAnsi"/>
          <w:i w:val="0"/>
          <w:iCs w:val="0"/>
          <w:color w:val="00AE6D" w:themeColor="accent6"/>
          <w:sz w:val="22"/>
          <w:szCs w:val="22"/>
          <w:vertAlign w:val="superscript"/>
          <w:lang w:val="mi-NZ"/>
        </w:rPr>
        <w:t xml:space="preserve"> </w:t>
      </w:r>
      <w:r w:rsidRPr="00F14110">
        <w:rPr>
          <w:i w:val="0"/>
          <w:iCs w:val="0"/>
          <w:sz w:val="22"/>
          <w:szCs w:val="22"/>
          <w:lang w:val="mi-NZ"/>
        </w:rPr>
        <w:t>to education, including the curriculum review,  so that all children learn about and experience their rights in the education system.</w:t>
      </w:r>
    </w:p>
    <w:p w14:paraId="3FC656E6" w14:textId="6B1705CF" w:rsidR="00F14110" w:rsidRPr="00942EDA" w:rsidRDefault="00F14110" w:rsidP="00F14110">
      <w:pPr>
        <w:pStyle w:val="IntenseQuote"/>
        <w:numPr>
          <w:ilvl w:val="0"/>
          <w:numId w:val="23"/>
        </w:numPr>
        <w:jc w:val="left"/>
        <w:rPr>
          <w:i w:val="0"/>
          <w:iCs w:val="0"/>
          <w:sz w:val="22"/>
          <w:szCs w:val="22"/>
          <w:lang w:val="mi-NZ"/>
        </w:rPr>
      </w:pPr>
      <w:r w:rsidRPr="00F14110">
        <w:rPr>
          <w:i w:val="0"/>
          <w:iCs w:val="0"/>
          <w:sz w:val="22"/>
          <w:szCs w:val="22"/>
          <w:lang w:val="mi-NZ"/>
        </w:rPr>
        <w:t>Ensure children are active participants in their own education and have a say at all levels of the education system.</w:t>
      </w:r>
    </w:p>
    <w:p w14:paraId="26931F23" w14:textId="77777777" w:rsidR="00F14110" w:rsidRPr="00E7687D" w:rsidRDefault="00F14110" w:rsidP="00F14110">
      <w:pPr>
        <w:pStyle w:val="Heading2"/>
        <w:rPr>
          <w:lang w:val="mi-NZ"/>
        </w:rPr>
      </w:pPr>
      <w:bookmarkStart w:id="59" w:name="_Toc111485483"/>
      <w:r w:rsidRPr="00E7687D">
        <w:rPr>
          <w:lang w:val="mi-NZ"/>
        </w:rPr>
        <w:t>Inclusive education</w:t>
      </w:r>
      <w:bookmarkEnd w:id="59"/>
    </w:p>
    <w:p w14:paraId="6541C0ED" w14:textId="77777777" w:rsidR="00F14110" w:rsidRPr="00F14110" w:rsidRDefault="00F14110" w:rsidP="00F14110">
      <w:pPr>
        <w:rPr>
          <w:rFonts w:cstheme="minorHAnsi"/>
          <w:sz w:val="22"/>
          <w:szCs w:val="22"/>
          <w:lang w:val="mi-NZ"/>
        </w:rPr>
      </w:pPr>
    </w:p>
    <w:p w14:paraId="7CB18D85" w14:textId="17E55B66" w:rsidR="00F14110" w:rsidRPr="00F14110" w:rsidRDefault="00F14110" w:rsidP="00F14110">
      <w:pPr>
        <w:pStyle w:val="ListParagraph"/>
        <w:numPr>
          <w:ilvl w:val="0"/>
          <w:numId w:val="9"/>
        </w:numPr>
        <w:ind w:hanging="720"/>
        <w:rPr>
          <w:rFonts w:cstheme="minorHAnsi"/>
          <w:sz w:val="22"/>
          <w:szCs w:val="22"/>
          <w:lang w:val="en-NZ"/>
        </w:rPr>
      </w:pPr>
      <w:r w:rsidRPr="00F14110">
        <w:rPr>
          <w:rFonts w:cstheme="minorHAnsi"/>
          <w:sz w:val="22"/>
          <w:szCs w:val="22"/>
          <w:lang w:val="en-NZ"/>
        </w:rPr>
        <w:t xml:space="preserve">Disabled students’ families and </w:t>
      </w:r>
      <w:proofErr w:type="spellStart"/>
      <w:r w:rsidRPr="00F14110">
        <w:rPr>
          <w:rFonts w:cstheme="minorHAnsi"/>
          <w:sz w:val="22"/>
          <w:szCs w:val="22"/>
          <w:lang w:val="en-NZ"/>
        </w:rPr>
        <w:t>whānau</w:t>
      </w:r>
      <w:proofErr w:type="spellEnd"/>
      <w:r w:rsidRPr="00F14110">
        <w:rPr>
          <w:rFonts w:cstheme="minorHAnsi"/>
          <w:sz w:val="22"/>
          <w:szCs w:val="22"/>
          <w:lang w:val="en-NZ"/>
        </w:rPr>
        <w:t>, and the professionals who support them, are increasingly concerned about a lack of adequate support for disabled students to be at school, and for schools to do their best by them.</w:t>
      </w:r>
      <w:r w:rsidRPr="00F14110">
        <w:rPr>
          <w:rFonts w:cstheme="minorHAnsi"/>
          <w:sz w:val="22"/>
          <w:szCs w:val="22"/>
          <w:vertAlign w:val="superscript"/>
          <w:lang w:val="en-NZ"/>
        </w:rPr>
        <w:footnoteReference w:id="413"/>
      </w:r>
      <w:r w:rsidRPr="00F14110">
        <w:rPr>
          <w:rFonts w:cstheme="minorHAnsi"/>
          <w:sz w:val="22"/>
          <w:szCs w:val="22"/>
          <w:lang w:val="en-NZ"/>
        </w:rPr>
        <w:t xml:space="preserve"> In 2008, IHC lodged a complaint with the Human Rights Commission arguing that children with a range of disabilities experience discrimination enrolling at their local school, participating in school life and accessing the curriculum.</w:t>
      </w:r>
      <w:r w:rsidRPr="00F14110">
        <w:rPr>
          <w:rFonts w:cstheme="minorHAnsi"/>
          <w:sz w:val="22"/>
          <w:szCs w:val="22"/>
          <w:vertAlign w:val="superscript"/>
          <w:lang w:val="en-NZ"/>
        </w:rPr>
        <w:footnoteReference w:id="414"/>
      </w:r>
      <w:r w:rsidRPr="00F14110">
        <w:rPr>
          <w:rFonts w:cstheme="minorHAnsi"/>
          <w:sz w:val="22"/>
          <w:szCs w:val="22"/>
          <w:lang w:val="en-NZ"/>
        </w:rPr>
        <w:t> The complaint is not yet resolved.</w:t>
      </w:r>
      <w:r w:rsidRPr="00F14110">
        <w:rPr>
          <w:rFonts w:cstheme="minorHAnsi"/>
          <w:sz w:val="22"/>
          <w:szCs w:val="22"/>
          <w:vertAlign w:val="superscript"/>
          <w:lang w:val="en-NZ"/>
        </w:rPr>
        <w:footnoteReference w:id="415"/>
      </w:r>
    </w:p>
    <w:p w14:paraId="428F1FCD" w14:textId="77777777" w:rsidR="00F14110" w:rsidRPr="00F14110" w:rsidRDefault="00F14110" w:rsidP="00F14110">
      <w:pPr>
        <w:pStyle w:val="ListParagraph"/>
        <w:rPr>
          <w:rFonts w:cstheme="minorHAnsi"/>
          <w:sz w:val="22"/>
          <w:szCs w:val="22"/>
          <w:lang w:val="en-NZ"/>
        </w:rPr>
      </w:pPr>
    </w:p>
    <w:p w14:paraId="10F64D14" w14:textId="66A5DEE3" w:rsidR="00F14110" w:rsidRPr="00B05AEF" w:rsidRDefault="00F14110" w:rsidP="00F14110">
      <w:pPr>
        <w:pStyle w:val="ListParagraph"/>
        <w:numPr>
          <w:ilvl w:val="0"/>
          <w:numId w:val="9"/>
        </w:numPr>
        <w:ind w:hanging="720"/>
        <w:rPr>
          <w:rFonts w:cstheme="minorHAnsi"/>
          <w:sz w:val="22"/>
          <w:szCs w:val="22"/>
          <w:lang w:val="en-NZ"/>
        </w:rPr>
      </w:pPr>
      <w:r w:rsidRPr="00F14110">
        <w:rPr>
          <w:rFonts w:cstheme="minorHAnsi"/>
          <w:sz w:val="22"/>
          <w:szCs w:val="22"/>
          <w:lang w:val="en-NZ"/>
        </w:rPr>
        <w:t>Planned expansion of enrolments in Residential Special Schools will use resources that could be directed to inclusive education enabling children to attend school in their local community.</w:t>
      </w:r>
      <w:r w:rsidRPr="00F14110">
        <w:rPr>
          <w:rFonts w:cstheme="minorHAnsi"/>
          <w:sz w:val="22"/>
          <w:szCs w:val="22"/>
          <w:vertAlign w:val="superscript"/>
          <w:lang w:val="en-NZ"/>
        </w:rPr>
        <w:footnoteReference w:id="416"/>
      </w:r>
    </w:p>
    <w:p w14:paraId="2E85DD3D" w14:textId="77777777" w:rsidR="00525C59" w:rsidRDefault="00525C59">
      <w:pPr>
        <w:rPr>
          <w:b/>
          <w:bCs/>
          <w:color w:val="00AE6D" w:themeColor="accent1"/>
          <w:sz w:val="24"/>
          <w:szCs w:val="24"/>
          <w:lang w:val="mi-NZ"/>
        </w:rPr>
      </w:pPr>
      <w:r>
        <w:rPr>
          <w:b/>
          <w:bCs/>
          <w:i/>
          <w:iCs/>
          <w:sz w:val="24"/>
          <w:szCs w:val="24"/>
          <w:lang w:val="mi-NZ"/>
        </w:rPr>
        <w:br w:type="page"/>
      </w:r>
    </w:p>
    <w:p w14:paraId="47CDEFF1" w14:textId="76C63FAE" w:rsidR="00F14110" w:rsidRPr="00F14110" w:rsidRDefault="00F14110" w:rsidP="00F14110">
      <w:pPr>
        <w:pStyle w:val="IntenseQuote"/>
        <w:ind w:left="720"/>
        <w:jc w:val="left"/>
        <w:rPr>
          <w:b/>
          <w:bCs/>
          <w:i w:val="0"/>
          <w:iCs w:val="0"/>
          <w:sz w:val="24"/>
          <w:szCs w:val="24"/>
          <w:lang w:val="mi-NZ"/>
        </w:rPr>
      </w:pPr>
      <w:r w:rsidRPr="00F14110">
        <w:rPr>
          <w:b/>
          <w:bCs/>
          <w:i w:val="0"/>
          <w:iCs w:val="0"/>
          <w:sz w:val="24"/>
          <w:szCs w:val="24"/>
          <w:lang w:val="mi-NZ"/>
        </w:rPr>
        <w:lastRenderedPageBreak/>
        <w:t>Recommendation</w:t>
      </w:r>
    </w:p>
    <w:p w14:paraId="6CB904B4" w14:textId="69679255" w:rsidR="00F14110" w:rsidRPr="00B05AEF" w:rsidRDefault="00F14110" w:rsidP="00F14110">
      <w:pPr>
        <w:pStyle w:val="IntenseQuote"/>
        <w:numPr>
          <w:ilvl w:val="0"/>
          <w:numId w:val="23"/>
        </w:numPr>
        <w:jc w:val="left"/>
        <w:rPr>
          <w:i w:val="0"/>
          <w:iCs w:val="0"/>
          <w:sz w:val="22"/>
          <w:szCs w:val="22"/>
          <w:lang w:val="mi-NZ"/>
        </w:rPr>
      </w:pPr>
      <w:r w:rsidRPr="00F14110">
        <w:rPr>
          <w:i w:val="0"/>
          <w:iCs w:val="0"/>
          <w:sz w:val="22"/>
          <w:szCs w:val="22"/>
          <w:lang w:val="mi-NZ"/>
        </w:rPr>
        <w:t>Provide supports and reasonable accommodations to ensure all disabled children can realise their education rights.</w:t>
      </w:r>
    </w:p>
    <w:p w14:paraId="6A0C9970" w14:textId="77777777" w:rsidR="00F14110" w:rsidRPr="00E7687D" w:rsidRDefault="00F14110" w:rsidP="00F14110">
      <w:pPr>
        <w:pStyle w:val="Heading2"/>
        <w:rPr>
          <w:lang w:val="mi-NZ"/>
        </w:rPr>
      </w:pPr>
      <w:bookmarkStart w:id="60" w:name="_Toc111485484"/>
      <w:r w:rsidRPr="00E7687D">
        <w:rPr>
          <w:lang w:val="mi-NZ"/>
        </w:rPr>
        <w:t>Disciplinary procedures</w:t>
      </w:r>
      <w:bookmarkEnd w:id="60"/>
    </w:p>
    <w:p w14:paraId="5BF1E5E0" w14:textId="77777777" w:rsidR="00F14110" w:rsidRPr="00F14110" w:rsidRDefault="00F14110" w:rsidP="00F14110">
      <w:pPr>
        <w:rPr>
          <w:rFonts w:cstheme="minorHAnsi"/>
          <w:sz w:val="22"/>
          <w:szCs w:val="22"/>
          <w:lang w:val="en-NZ"/>
        </w:rPr>
      </w:pPr>
    </w:p>
    <w:p w14:paraId="57F82E64" w14:textId="4D94DD8B" w:rsidR="00F14110" w:rsidRDefault="00F14110" w:rsidP="00F14110">
      <w:pPr>
        <w:pStyle w:val="ListParagraph"/>
        <w:numPr>
          <w:ilvl w:val="0"/>
          <w:numId w:val="9"/>
        </w:numPr>
        <w:ind w:hanging="720"/>
        <w:rPr>
          <w:rFonts w:cstheme="minorHAnsi"/>
          <w:sz w:val="22"/>
          <w:szCs w:val="22"/>
          <w:lang w:val="mi-NZ"/>
        </w:rPr>
      </w:pPr>
      <w:r w:rsidRPr="00F14110">
        <w:rPr>
          <w:rFonts w:cstheme="minorHAnsi"/>
          <w:sz w:val="22"/>
          <w:szCs w:val="22"/>
          <w:lang w:val="mi-NZ"/>
        </w:rPr>
        <w:t>Anecdotal reports suggest that COVID-related stress within schools may be resulting in increased use of disciplinary, rather than behaviour management, processes. Stand-down rates were slightly higher than previous years immediately after the national lockdown and in the latter part of 2020.</w:t>
      </w:r>
      <w:r w:rsidRPr="00F14110">
        <w:rPr>
          <w:rFonts w:cstheme="minorHAnsi"/>
          <w:sz w:val="22"/>
          <w:szCs w:val="22"/>
          <w:vertAlign w:val="superscript"/>
          <w:lang w:val="mi-NZ"/>
        </w:rPr>
        <w:footnoteReference w:id="417"/>
      </w:r>
      <w:r w:rsidRPr="00F14110">
        <w:rPr>
          <w:rFonts w:cstheme="minorHAnsi"/>
          <w:sz w:val="22"/>
          <w:szCs w:val="22"/>
          <w:lang w:val="mi-NZ"/>
        </w:rPr>
        <w:t xml:space="preserve"> This needs to be monitored.</w:t>
      </w:r>
    </w:p>
    <w:p w14:paraId="630403D9" w14:textId="77777777" w:rsidR="00F14110" w:rsidRPr="00F14110" w:rsidRDefault="00F14110" w:rsidP="00F14110">
      <w:pPr>
        <w:pStyle w:val="ListParagraph"/>
        <w:rPr>
          <w:rFonts w:cstheme="minorHAnsi"/>
          <w:sz w:val="22"/>
          <w:szCs w:val="22"/>
          <w:lang w:val="mi-NZ"/>
        </w:rPr>
      </w:pPr>
    </w:p>
    <w:p w14:paraId="6718A27E" w14:textId="77777777" w:rsidR="00F14110" w:rsidRPr="00F14110" w:rsidRDefault="00F14110" w:rsidP="00F14110">
      <w:pPr>
        <w:pStyle w:val="ListParagraph"/>
        <w:numPr>
          <w:ilvl w:val="0"/>
          <w:numId w:val="9"/>
        </w:numPr>
        <w:ind w:hanging="720"/>
        <w:rPr>
          <w:rFonts w:cstheme="minorHAnsi"/>
          <w:sz w:val="22"/>
          <w:szCs w:val="22"/>
          <w:lang w:val="en-NZ"/>
        </w:rPr>
      </w:pPr>
      <w:r w:rsidRPr="00F14110">
        <w:rPr>
          <w:rFonts w:cstheme="minorHAnsi"/>
          <w:sz w:val="22"/>
          <w:szCs w:val="22"/>
          <w:lang w:val="en-NZ"/>
        </w:rPr>
        <w:t xml:space="preserve">Schools continue to stand-down and suspend </w:t>
      </w:r>
      <w:proofErr w:type="spellStart"/>
      <w:r w:rsidRPr="00F14110">
        <w:rPr>
          <w:rFonts w:cstheme="minorHAnsi"/>
          <w:sz w:val="22"/>
          <w:szCs w:val="22"/>
          <w:lang w:val="en-NZ"/>
        </w:rPr>
        <w:t>Ma</w:t>
      </w:r>
      <w:r w:rsidRPr="00F14110">
        <w:rPr>
          <w:rFonts w:ascii="Arial" w:hAnsi="Arial" w:cs="Arial"/>
          <w:sz w:val="22"/>
          <w:szCs w:val="22"/>
          <w:lang w:val="en-NZ"/>
        </w:rPr>
        <w:t>̄</w:t>
      </w:r>
      <w:r w:rsidRPr="00F14110">
        <w:rPr>
          <w:rFonts w:cstheme="minorHAnsi"/>
          <w:sz w:val="22"/>
          <w:szCs w:val="22"/>
          <w:lang w:val="en-NZ"/>
        </w:rPr>
        <w:t>ori</w:t>
      </w:r>
      <w:proofErr w:type="spellEnd"/>
      <w:r w:rsidRPr="00F14110">
        <w:rPr>
          <w:rFonts w:cstheme="minorHAnsi"/>
          <w:sz w:val="22"/>
          <w:szCs w:val="22"/>
          <w:lang w:val="en-NZ"/>
        </w:rPr>
        <w:t xml:space="preserve"> students at the highest rates. In 2020, the stand-down rate for </w:t>
      </w:r>
      <w:proofErr w:type="spellStart"/>
      <w:r w:rsidRPr="00F14110">
        <w:rPr>
          <w:rFonts w:cstheme="minorHAnsi"/>
          <w:sz w:val="22"/>
          <w:szCs w:val="22"/>
          <w:lang w:val="en-NZ"/>
        </w:rPr>
        <w:t>Ma</w:t>
      </w:r>
      <w:r w:rsidRPr="00F14110">
        <w:rPr>
          <w:rFonts w:ascii="Arial" w:hAnsi="Arial" w:cs="Arial"/>
          <w:sz w:val="22"/>
          <w:szCs w:val="22"/>
          <w:lang w:val="en-NZ"/>
        </w:rPr>
        <w:t>̄</w:t>
      </w:r>
      <w:r w:rsidRPr="00F14110">
        <w:rPr>
          <w:rFonts w:cstheme="minorHAnsi"/>
          <w:sz w:val="22"/>
          <w:szCs w:val="22"/>
          <w:lang w:val="en-NZ"/>
        </w:rPr>
        <w:t>ori</w:t>
      </w:r>
      <w:proofErr w:type="spellEnd"/>
      <w:r w:rsidRPr="00F14110">
        <w:rPr>
          <w:rFonts w:cstheme="minorHAnsi"/>
          <w:sz w:val="22"/>
          <w:szCs w:val="22"/>
          <w:lang w:val="en-NZ"/>
        </w:rPr>
        <w:t xml:space="preserve"> students was 38.8 per 1,000 students (7,740 stand-downs) compared to the overall rate of 23.4, and the suspension rate was 5.5 per 1,000 students (1,091 suspensions), compared to overall rate of 2.9. Following the suspension process, </w:t>
      </w:r>
      <w:proofErr w:type="spellStart"/>
      <w:r w:rsidRPr="00F14110">
        <w:rPr>
          <w:rFonts w:cstheme="minorHAnsi"/>
          <w:sz w:val="22"/>
          <w:szCs w:val="22"/>
          <w:lang w:val="en-NZ"/>
        </w:rPr>
        <w:t>Ma</w:t>
      </w:r>
      <w:r w:rsidRPr="00F14110">
        <w:rPr>
          <w:rFonts w:ascii="Arial" w:hAnsi="Arial" w:cs="Arial"/>
          <w:sz w:val="22"/>
          <w:szCs w:val="22"/>
          <w:lang w:val="en-NZ"/>
        </w:rPr>
        <w:t>̄</w:t>
      </w:r>
      <w:r w:rsidRPr="00F14110">
        <w:rPr>
          <w:rFonts w:cstheme="minorHAnsi"/>
          <w:sz w:val="22"/>
          <w:szCs w:val="22"/>
          <w:lang w:val="en-NZ"/>
        </w:rPr>
        <w:t>ori</w:t>
      </w:r>
      <w:proofErr w:type="spellEnd"/>
      <w:r w:rsidRPr="00F14110">
        <w:rPr>
          <w:rFonts w:cstheme="minorHAnsi"/>
          <w:sz w:val="22"/>
          <w:szCs w:val="22"/>
          <w:lang w:val="en-NZ"/>
        </w:rPr>
        <w:t xml:space="preserve"> students were excluded at the highest rate (2.1 per 1,000 students).</w:t>
      </w:r>
      <w:r w:rsidRPr="00F14110">
        <w:rPr>
          <w:rFonts w:cstheme="minorHAnsi"/>
          <w:sz w:val="22"/>
          <w:szCs w:val="22"/>
          <w:vertAlign w:val="superscript"/>
          <w:lang w:val="en-NZ"/>
        </w:rPr>
        <w:footnoteReference w:id="418"/>
      </w:r>
    </w:p>
    <w:p w14:paraId="28A55124" w14:textId="77777777" w:rsidR="00F14110" w:rsidRDefault="00F14110" w:rsidP="00F14110">
      <w:pPr>
        <w:pStyle w:val="ListParagraph"/>
        <w:rPr>
          <w:rFonts w:cstheme="minorHAnsi"/>
          <w:sz w:val="22"/>
          <w:szCs w:val="22"/>
          <w:lang w:val="mi-NZ"/>
        </w:rPr>
      </w:pPr>
    </w:p>
    <w:p w14:paraId="0BF9445F" w14:textId="5733FC80" w:rsidR="00F14110" w:rsidRPr="00E45566" w:rsidRDefault="00F14110" w:rsidP="00F14110">
      <w:pPr>
        <w:pStyle w:val="ListParagraph"/>
        <w:numPr>
          <w:ilvl w:val="0"/>
          <w:numId w:val="9"/>
        </w:numPr>
        <w:ind w:hanging="720"/>
        <w:rPr>
          <w:rFonts w:cstheme="minorHAnsi"/>
          <w:sz w:val="22"/>
          <w:szCs w:val="22"/>
          <w:lang w:val="mi-NZ"/>
        </w:rPr>
      </w:pPr>
      <w:r w:rsidRPr="00F14110">
        <w:rPr>
          <w:rFonts w:cstheme="minorHAnsi"/>
          <w:sz w:val="22"/>
          <w:szCs w:val="22"/>
          <w:lang w:val="mi-NZ"/>
        </w:rPr>
        <w:t>Autistic students experience a significantly higher likelihood of suspension when compared ot their non-autistic peers.</w:t>
      </w:r>
      <w:r w:rsidRPr="00F14110">
        <w:rPr>
          <w:rFonts w:cstheme="minorHAnsi"/>
          <w:sz w:val="22"/>
          <w:szCs w:val="22"/>
          <w:vertAlign w:val="superscript"/>
          <w:lang w:val="mi-NZ"/>
        </w:rPr>
        <w:footnoteReference w:id="419"/>
      </w:r>
    </w:p>
    <w:p w14:paraId="12EB7280" w14:textId="36885AB9" w:rsidR="00F14110" w:rsidRPr="00F14110" w:rsidRDefault="00F14110" w:rsidP="00F14110">
      <w:pPr>
        <w:pStyle w:val="IntenseQuote"/>
        <w:ind w:left="720"/>
        <w:jc w:val="left"/>
        <w:rPr>
          <w:b/>
          <w:bCs/>
          <w:i w:val="0"/>
          <w:iCs w:val="0"/>
          <w:sz w:val="24"/>
          <w:szCs w:val="24"/>
          <w:lang w:val="mi-NZ"/>
        </w:rPr>
      </w:pPr>
      <w:r w:rsidRPr="00F14110">
        <w:rPr>
          <w:b/>
          <w:bCs/>
          <w:i w:val="0"/>
          <w:iCs w:val="0"/>
          <w:sz w:val="24"/>
          <w:szCs w:val="24"/>
          <w:lang w:val="mi-NZ"/>
        </w:rPr>
        <w:t>Recommendation</w:t>
      </w:r>
    </w:p>
    <w:p w14:paraId="0FC82327" w14:textId="60AA11D6" w:rsidR="00F14110" w:rsidRPr="00E45566" w:rsidRDefault="00F14110" w:rsidP="00F14110">
      <w:pPr>
        <w:pStyle w:val="IntenseQuote"/>
        <w:numPr>
          <w:ilvl w:val="0"/>
          <w:numId w:val="23"/>
        </w:numPr>
        <w:jc w:val="left"/>
        <w:rPr>
          <w:i w:val="0"/>
          <w:iCs w:val="0"/>
          <w:sz w:val="22"/>
          <w:szCs w:val="22"/>
          <w:lang w:val="mi-NZ"/>
        </w:rPr>
      </w:pPr>
      <w:r w:rsidRPr="00F14110">
        <w:rPr>
          <w:i w:val="0"/>
          <w:iCs w:val="0"/>
          <w:sz w:val="22"/>
          <w:szCs w:val="22"/>
          <w:lang w:val="mi-NZ"/>
        </w:rPr>
        <w:t>Reduce the number of stand-downs and suspensions, especially of tamariki Māori and disabled students.</w:t>
      </w:r>
    </w:p>
    <w:p w14:paraId="729D2CB5" w14:textId="77777777" w:rsidR="00525C59" w:rsidRDefault="00525C59">
      <w:pPr>
        <w:rPr>
          <w:rFonts w:asciiTheme="majorHAnsi" w:eastAsiaTheme="majorEastAsia" w:hAnsiTheme="majorHAnsi" w:cstheme="majorBidi"/>
          <w:b/>
          <w:bCs/>
          <w:color w:val="25409A" w:themeColor="text2"/>
          <w:sz w:val="24"/>
          <w:szCs w:val="24"/>
          <w:lang w:val="mi-NZ"/>
        </w:rPr>
      </w:pPr>
      <w:r>
        <w:rPr>
          <w:rFonts w:asciiTheme="majorHAnsi" w:eastAsiaTheme="majorEastAsia" w:hAnsiTheme="majorHAnsi" w:cstheme="majorBidi"/>
          <w:b/>
          <w:bCs/>
          <w:color w:val="25409A" w:themeColor="text2"/>
          <w:sz w:val="24"/>
          <w:szCs w:val="24"/>
          <w:lang w:val="mi-NZ"/>
        </w:rPr>
        <w:br w:type="page"/>
      </w:r>
    </w:p>
    <w:p w14:paraId="0B80BA61" w14:textId="60853DB5" w:rsidR="00F14110" w:rsidRDefault="00F14110" w:rsidP="00F14110">
      <w:pPr>
        <w:rPr>
          <w:rFonts w:asciiTheme="majorHAnsi" w:eastAsiaTheme="majorEastAsia" w:hAnsiTheme="majorHAnsi" w:cstheme="majorBidi"/>
          <w:b/>
          <w:bCs/>
          <w:color w:val="25409A" w:themeColor="text2"/>
          <w:sz w:val="24"/>
          <w:szCs w:val="24"/>
          <w:lang w:val="mi-NZ"/>
        </w:rPr>
      </w:pPr>
      <w:r w:rsidRPr="00F14110">
        <w:rPr>
          <w:rFonts w:asciiTheme="majorHAnsi" w:eastAsiaTheme="majorEastAsia" w:hAnsiTheme="majorHAnsi" w:cstheme="majorBidi"/>
          <w:b/>
          <w:bCs/>
          <w:color w:val="25409A" w:themeColor="text2"/>
          <w:sz w:val="24"/>
          <w:szCs w:val="24"/>
          <w:lang w:val="mi-NZ"/>
        </w:rPr>
        <w:lastRenderedPageBreak/>
        <w:t>The Right to Play</w:t>
      </w:r>
    </w:p>
    <w:p w14:paraId="06CD1D7D" w14:textId="77777777" w:rsidR="00F14110" w:rsidRPr="00F14110" w:rsidRDefault="00F14110" w:rsidP="00F14110">
      <w:pPr>
        <w:rPr>
          <w:rFonts w:asciiTheme="majorHAnsi" w:eastAsiaTheme="majorEastAsia" w:hAnsiTheme="majorHAnsi" w:cstheme="majorBidi"/>
          <w:b/>
          <w:bCs/>
          <w:color w:val="25409A" w:themeColor="text2"/>
          <w:sz w:val="24"/>
          <w:szCs w:val="24"/>
          <w:lang w:val="mi-NZ"/>
        </w:rPr>
      </w:pPr>
    </w:p>
    <w:p w14:paraId="07BEB883" w14:textId="77777777" w:rsidR="00F14110" w:rsidRDefault="00F14110" w:rsidP="00F14110">
      <w:pPr>
        <w:pStyle w:val="ListParagraph"/>
        <w:numPr>
          <w:ilvl w:val="0"/>
          <w:numId w:val="9"/>
        </w:numPr>
        <w:ind w:hanging="720"/>
        <w:rPr>
          <w:rFonts w:cstheme="minorHAnsi"/>
          <w:sz w:val="22"/>
          <w:szCs w:val="22"/>
          <w:lang w:val="en-NZ"/>
        </w:rPr>
      </w:pPr>
      <w:r w:rsidRPr="00F14110">
        <w:rPr>
          <w:rFonts w:cstheme="minorHAnsi"/>
          <w:sz w:val="22"/>
          <w:szCs w:val="22"/>
          <w:lang w:val="en-NZ"/>
        </w:rPr>
        <w:t>The pandemic, especially quarantine and lockdowns, caused stress and anxiety which limited children’s freedom to play. Policies and programmes to provide culturally appropriate environments and opportunities for play and recreation are needed.</w:t>
      </w:r>
    </w:p>
    <w:p w14:paraId="6B6878E0" w14:textId="05F0F39E" w:rsidR="00F14110" w:rsidRPr="00F14110" w:rsidRDefault="00F14110" w:rsidP="00F14110">
      <w:pPr>
        <w:pStyle w:val="ListParagraph"/>
        <w:rPr>
          <w:rFonts w:cstheme="minorHAnsi"/>
          <w:sz w:val="22"/>
          <w:szCs w:val="22"/>
          <w:lang w:val="en-NZ"/>
        </w:rPr>
      </w:pPr>
      <w:r w:rsidRPr="00F14110">
        <w:rPr>
          <w:rFonts w:cstheme="minorHAnsi"/>
          <w:sz w:val="22"/>
          <w:szCs w:val="22"/>
          <w:lang w:val="en-NZ"/>
        </w:rPr>
        <w:t xml:space="preserve"> </w:t>
      </w:r>
    </w:p>
    <w:p w14:paraId="21F20FBB" w14:textId="77777777" w:rsidR="00F14110" w:rsidRPr="00F14110" w:rsidRDefault="00F14110" w:rsidP="00F14110">
      <w:pPr>
        <w:pStyle w:val="ListParagraph"/>
        <w:numPr>
          <w:ilvl w:val="0"/>
          <w:numId w:val="9"/>
        </w:numPr>
        <w:ind w:hanging="720"/>
        <w:rPr>
          <w:rFonts w:cstheme="minorHAnsi"/>
          <w:sz w:val="22"/>
          <w:szCs w:val="22"/>
          <w:lang w:val="en-NZ"/>
        </w:rPr>
      </w:pPr>
      <w:r w:rsidRPr="00F14110">
        <w:rPr>
          <w:rFonts w:cstheme="minorHAnsi"/>
          <w:sz w:val="22"/>
          <w:szCs w:val="22"/>
          <w:lang w:val="en-NZ"/>
        </w:rPr>
        <w:t>Responses to the housing crisis should promote quality home and neighbourhood environments for children’s play and play spaces in intensive housing developments.</w:t>
      </w:r>
      <w:r w:rsidRPr="00F14110">
        <w:rPr>
          <w:rFonts w:cstheme="minorHAnsi"/>
          <w:sz w:val="22"/>
          <w:szCs w:val="22"/>
          <w:vertAlign w:val="superscript"/>
          <w:lang w:val="en-NZ"/>
        </w:rPr>
        <w:footnoteReference w:id="420"/>
      </w:r>
      <w:r w:rsidRPr="00F14110">
        <w:rPr>
          <w:rFonts w:cstheme="minorHAnsi"/>
          <w:sz w:val="22"/>
          <w:szCs w:val="22"/>
          <w:lang w:val="en-NZ"/>
        </w:rPr>
        <w:t xml:space="preserve"> </w:t>
      </w:r>
      <w:r w:rsidRPr="00F14110">
        <w:rPr>
          <w:rFonts w:cstheme="minorHAnsi"/>
          <w:sz w:val="22"/>
          <w:szCs w:val="22"/>
          <w:vertAlign w:val="superscript"/>
          <w:lang w:val="en-NZ"/>
        </w:rPr>
        <w:footnoteReference w:id="421"/>
      </w:r>
      <w:r w:rsidRPr="00F14110">
        <w:rPr>
          <w:rFonts w:cstheme="minorHAnsi"/>
          <w:sz w:val="22"/>
          <w:szCs w:val="22"/>
          <w:lang w:val="en-NZ"/>
        </w:rPr>
        <w:t xml:space="preserve"> </w:t>
      </w:r>
    </w:p>
    <w:p w14:paraId="6DA68F79" w14:textId="77777777" w:rsidR="00F14110" w:rsidRDefault="00F14110" w:rsidP="00F14110">
      <w:pPr>
        <w:pStyle w:val="ListParagraph"/>
        <w:rPr>
          <w:rFonts w:cstheme="minorHAnsi"/>
          <w:sz w:val="22"/>
          <w:szCs w:val="22"/>
          <w:lang w:val="en-NZ"/>
        </w:rPr>
      </w:pPr>
    </w:p>
    <w:p w14:paraId="51EB2467" w14:textId="5BC8D84E" w:rsidR="00F14110" w:rsidRPr="00E45566" w:rsidRDefault="00F14110" w:rsidP="00F14110">
      <w:pPr>
        <w:pStyle w:val="ListParagraph"/>
        <w:numPr>
          <w:ilvl w:val="0"/>
          <w:numId w:val="9"/>
        </w:numPr>
        <w:ind w:hanging="720"/>
        <w:rPr>
          <w:rFonts w:cstheme="minorHAnsi"/>
          <w:sz w:val="22"/>
          <w:szCs w:val="22"/>
          <w:lang w:val="en-NZ"/>
        </w:rPr>
      </w:pPr>
      <w:r w:rsidRPr="00F14110">
        <w:rPr>
          <w:rFonts w:cstheme="minorHAnsi"/>
          <w:sz w:val="22"/>
          <w:szCs w:val="22"/>
          <w:lang w:val="en-NZ"/>
        </w:rPr>
        <w:t>The lack of space for outdoor play in ECE settings threatens this right and also makes sufficient social distancing difficult.</w:t>
      </w:r>
      <w:r w:rsidRPr="00F14110">
        <w:rPr>
          <w:rFonts w:cstheme="minorHAnsi"/>
          <w:sz w:val="22"/>
          <w:szCs w:val="22"/>
          <w:vertAlign w:val="superscript"/>
          <w:lang w:val="en-NZ"/>
        </w:rPr>
        <w:footnoteReference w:id="422"/>
      </w:r>
    </w:p>
    <w:p w14:paraId="685804C1" w14:textId="280D4280" w:rsidR="00F14110" w:rsidRPr="00F14110" w:rsidRDefault="00F14110" w:rsidP="00F14110">
      <w:pPr>
        <w:pStyle w:val="IntenseQuote"/>
        <w:ind w:left="720"/>
        <w:jc w:val="left"/>
        <w:rPr>
          <w:b/>
          <w:bCs/>
          <w:i w:val="0"/>
          <w:iCs w:val="0"/>
          <w:sz w:val="24"/>
          <w:szCs w:val="24"/>
          <w:lang w:val="mi-NZ"/>
        </w:rPr>
      </w:pPr>
      <w:r w:rsidRPr="00F14110">
        <w:rPr>
          <w:b/>
          <w:bCs/>
          <w:i w:val="0"/>
          <w:iCs w:val="0"/>
          <w:sz w:val="24"/>
          <w:szCs w:val="24"/>
          <w:lang w:val="mi-NZ"/>
        </w:rPr>
        <w:t>Recommendation</w:t>
      </w:r>
    </w:p>
    <w:p w14:paraId="55484E27" w14:textId="377D2A3B" w:rsidR="00F14110" w:rsidRPr="00F14110" w:rsidRDefault="00F14110" w:rsidP="00916EA3">
      <w:pPr>
        <w:pStyle w:val="IntenseQuote"/>
        <w:numPr>
          <w:ilvl w:val="0"/>
          <w:numId w:val="23"/>
        </w:numPr>
        <w:jc w:val="left"/>
        <w:rPr>
          <w:i w:val="0"/>
          <w:iCs w:val="0"/>
          <w:sz w:val="22"/>
          <w:szCs w:val="22"/>
          <w:lang w:val="mi-NZ"/>
        </w:rPr>
      </w:pPr>
      <w:r w:rsidRPr="00F14110">
        <w:rPr>
          <w:i w:val="0"/>
          <w:iCs w:val="0"/>
          <w:sz w:val="22"/>
          <w:szCs w:val="22"/>
          <w:lang w:val="mi-NZ"/>
        </w:rPr>
        <w:t>Ensure children are able to play, including in times of crisis.</w:t>
      </w:r>
    </w:p>
    <w:p w14:paraId="3BA7B06F" w14:textId="4FD5EAAE" w:rsidR="00F14110" w:rsidRPr="00F14110" w:rsidRDefault="00F14110" w:rsidP="00F14110">
      <w:pPr>
        <w:pStyle w:val="Heading1"/>
      </w:pPr>
      <w:bookmarkStart w:id="61" w:name="_Toc111485485"/>
      <w:r w:rsidRPr="00F14110">
        <w:t>Special Protection Measures – LOIPR 26-29</w:t>
      </w:r>
      <w:bookmarkEnd w:id="61"/>
    </w:p>
    <w:p w14:paraId="352D203F" w14:textId="1236818B" w:rsidR="00853CF0" w:rsidRPr="00F14110" w:rsidRDefault="00853CF0" w:rsidP="00F14110">
      <w:pPr>
        <w:rPr>
          <w:rFonts w:cstheme="minorHAnsi"/>
          <w:sz w:val="22"/>
          <w:szCs w:val="22"/>
          <w:lang w:val="mi-NZ"/>
        </w:rPr>
      </w:pPr>
    </w:p>
    <w:p w14:paraId="0A4E3333" w14:textId="1096CB99" w:rsidR="00853CF0" w:rsidRDefault="00F14110" w:rsidP="00F14110">
      <w:pPr>
        <w:pStyle w:val="ListParagraph"/>
        <w:numPr>
          <w:ilvl w:val="0"/>
          <w:numId w:val="9"/>
        </w:numPr>
        <w:ind w:hanging="720"/>
        <w:rPr>
          <w:rFonts w:cstheme="minorHAnsi"/>
          <w:sz w:val="22"/>
          <w:szCs w:val="22"/>
          <w:lang w:val="en-NZ"/>
        </w:rPr>
      </w:pPr>
      <w:r w:rsidRPr="00F14110">
        <w:rPr>
          <w:rFonts w:cstheme="minorHAnsi"/>
          <w:sz w:val="22"/>
          <w:szCs w:val="22"/>
          <w:lang w:val="en-NZ"/>
        </w:rPr>
        <w:t>Underlying many of the inequities detailed in this report is a failure to give sufficient attention to the affirmative action and special protection measures that certain groups of children in Aotearoa are entitled to.</w:t>
      </w:r>
    </w:p>
    <w:p w14:paraId="040D6A7A" w14:textId="1F3CEF2F" w:rsidR="00F14110" w:rsidRDefault="00F14110" w:rsidP="00F14110">
      <w:pPr>
        <w:rPr>
          <w:rFonts w:cstheme="minorHAnsi"/>
          <w:sz w:val="22"/>
          <w:szCs w:val="22"/>
          <w:lang w:val="en-NZ"/>
        </w:rPr>
      </w:pPr>
    </w:p>
    <w:p w14:paraId="34289BC2" w14:textId="77777777" w:rsidR="00F14110" w:rsidRPr="00F14110" w:rsidRDefault="00F14110" w:rsidP="00F14110">
      <w:pPr>
        <w:pStyle w:val="Heading2"/>
      </w:pPr>
      <w:bookmarkStart w:id="62" w:name="_Toc111485486"/>
      <w:r w:rsidRPr="00F14110">
        <w:t>Asylum-seeking, Refugee and Migrant Children – LOIPR 26</w:t>
      </w:r>
      <w:bookmarkEnd w:id="62"/>
    </w:p>
    <w:p w14:paraId="7FB093F2" w14:textId="77777777" w:rsidR="00F14110" w:rsidRPr="00F14110" w:rsidRDefault="00F14110" w:rsidP="00F14110">
      <w:pPr>
        <w:rPr>
          <w:rFonts w:cstheme="minorHAnsi"/>
          <w:sz w:val="22"/>
          <w:szCs w:val="22"/>
          <w:lang w:val="en-NZ"/>
        </w:rPr>
      </w:pPr>
    </w:p>
    <w:p w14:paraId="5535250A" w14:textId="0157D8F5" w:rsidR="00F14110" w:rsidRDefault="00F14110" w:rsidP="00F14110">
      <w:pPr>
        <w:pStyle w:val="ListParagraph"/>
        <w:numPr>
          <w:ilvl w:val="0"/>
          <w:numId w:val="9"/>
        </w:numPr>
        <w:ind w:hanging="720"/>
        <w:rPr>
          <w:rFonts w:cstheme="minorHAnsi"/>
          <w:sz w:val="22"/>
          <w:szCs w:val="22"/>
          <w:lang w:val="mi-NZ"/>
        </w:rPr>
      </w:pPr>
      <w:r w:rsidRPr="00F14110">
        <w:rPr>
          <w:rFonts w:cstheme="minorHAnsi"/>
          <w:sz w:val="22"/>
          <w:szCs w:val="22"/>
          <w:lang w:val="mi-NZ"/>
        </w:rPr>
        <w:t>We support the information provided by the Human Rights Commission and their suggested recommendations.</w:t>
      </w:r>
    </w:p>
    <w:p w14:paraId="580DAF45" w14:textId="77777777" w:rsidR="00F14110" w:rsidRPr="00F14110" w:rsidRDefault="00F14110" w:rsidP="00F14110">
      <w:pPr>
        <w:pStyle w:val="Heading2"/>
        <w:spacing w:before="0"/>
      </w:pPr>
      <w:bookmarkStart w:id="63" w:name="_Toc111485487"/>
      <w:r w:rsidRPr="00F14110">
        <w:lastRenderedPageBreak/>
        <w:t>Tamariki Māori – indigenous children – LOIPR 27</w:t>
      </w:r>
      <w:bookmarkEnd w:id="63"/>
    </w:p>
    <w:p w14:paraId="2009C362" w14:textId="77777777" w:rsidR="00F14110" w:rsidRPr="00F14110" w:rsidRDefault="00F14110" w:rsidP="00F14110">
      <w:pPr>
        <w:rPr>
          <w:rFonts w:cstheme="minorHAnsi"/>
          <w:sz w:val="22"/>
          <w:szCs w:val="22"/>
          <w:lang w:val="mi-NZ"/>
        </w:rPr>
      </w:pPr>
    </w:p>
    <w:p w14:paraId="70D2ADC3" w14:textId="127BAA75" w:rsidR="00F14110" w:rsidRPr="00F14110" w:rsidRDefault="00F14110" w:rsidP="00F14110">
      <w:pPr>
        <w:pStyle w:val="ListParagraph"/>
        <w:numPr>
          <w:ilvl w:val="0"/>
          <w:numId w:val="9"/>
        </w:numPr>
        <w:ind w:hanging="720"/>
        <w:rPr>
          <w:rFonts w:cstheme="minorHAnsi"/>
          <w:sz w:val="22"/>
          <w:szCs w:val="22"/>
          <w:lang w:val="mi-NZ"/>
        </w:rPr>
      </w:pPr>
      <w:r w:rsidRPr="00F14110">
        <w:rPr>
          <w:rFonts w:cstheme="minorHAnsi"/>
          <w:sz w:val="22"/>
          <w:szCs w:val="22"/>
          <w:lang w:val="mi-NZ"/>
        </w:rPr>
        <w:t>Information about the rights of tamariki Māori is woven throughout this report. Please see the Rights of Tamariki Māori in Aotearoa New Zealand Thematic Report</w:t>
      </w:r>
      <w:r w:rsidR="007D2EA8">
        <w:rPr>
          <w:rFonts w:cstheme="minorHAnsi"/>
          <w:sz w:val="22"/>
          <w:szCs w:val="22"/>
          <w:lang w:val="mi-NZ"/>
        </w:rPr>
        <w:t>.</w:t>
      </w:r>
    </w:p>
    <w:p w14:paraId="31994DDC" w14:textId="2498362F" w:rsidR="00F14110" w:rsidRDefault="00F14110" w:rsidP="00F14110">
      <w:pPr>
        <w:rPr>
          <w:rFonts w:cstheme="minorHAnsi"/>
          <w:sz w:val="22"/>
          <w:szCs w:val="22"/>
          <w:lang w:val="mi-NZ"/>
        </w:rPr>
      </w:pPr>
    </w:p>
    <w:p w14:paraId="48E490BA" w14:textId="77777777" w:rsidR="00F14110" w:rsidRPr="00F14110" w:rsidRDefault="00F14110" w:rsidP="00F14110">
      <w:pPr>
        <w:pStyle w:val="Heading2"/>
      </w:pPr>
      <w:bookmarkStart w:id="64" w:name="_Toc111485488"/>
      <w:r w:rsidRPr="00F14110">
        <w:t>Children Belonging to Minority Groups – LOIPR 27</w:t>
      </w:r>
      <w:bookmarkEnd w:id="64"/>
    </w:p>
    <w:p w14:paraId="7E63774C" w14:textId="620F1D89" w:rsidR="00F14110" w:rsidRDefault="00F14110" w:rsidP="00F14110">
      <w:pPr>
        <w:rPr>
          <w:rFonts w:cstheme="minorHAnsi"/>
          <w:sz w:val="22"/>
          <w:szCs w:val="22"/>
          <w:lang w:val="mi-NZ"/>
        </w:rPr>
      </w:pPr>
    </w:p>
    <w:p w14:paraId="78ECFBC4" w14:textId="52565271" w:rsidR="00F14110" w:rsidRDefault="00F14110" w:rsidP="00F14110">
      <w:pPr>
        <w:pStyle w:val="Heading3"/>
        <w:rPr>
          <w:lang w:val="mi-NZ"/>
        </w:rPr>
      </w:pPr>
      <w:r>
        <w:rPr>
          <w:lang w:val="mi-NZ"/>
        </w:rPr>
        <w:t>Pacific Children</w:t>
      </w:r>
    </w:p>
    <w:p w14:paraId="54A59450" w14:textId="77777777" w:rsidR="00F14110" w:rsidRPr="00F14110" w:rsidRDefault="00F14110" w:rsidP="00F14110">
      <w:pPr>
        <w:rPr>
          <w:lang w:val="mi-NZ"/>
        </w:rPr>
      </w:pPr>
    </w:p>
    <w:p w14:paraId="6B5CA1BF" w14:textId="0C6D8EE2" w:rsidR="00F14110" w:rsidRPr="00F14110" w:rsidRDefault="00F14110" w:rsidP="00F14110">
      <w:pPr>
        <w:pStyle w:val="ListParagraph"/>
        <w:numPr>
          <w:ilvl w:val="0"/>
          <w:numId w:val="9"/>
        </w:numPr>
        <w:ind w:hanging="720"/>
        <w:rPr>
          <w:rFonts w:cstheme="minorHAnsi"/>
          <w:sz w:val="22"/>
          <w:szCs w:val="22"/>
          <w:lang w:val="mi-NZ"/>
        </w:rPr>
      </w:pPr>
      <w:r w:rsidRPr="00F14110">
        <w:rPr>
          <w:rFonts w:cstheme="minorHAnsi"/>
          <w:sz w:val="22"/>
          <w:szCs w:val="22"/>
          <w:lang w:val="mi-NZ"/>
        </w:rPr>
        <w:t>As detailed throughout this report, Pacific children experience inequities in the realisation of their rights. Climate change further threatens Pacific children’s experience of their rights.</w:t>
      </w:r>
      <w:r w:rsidRPr="00F14110">
        <w:rPr>
          <w:rFonts w:cstheme="minorHAnsi"/>
          <w:sz w:val="22"/>
          <w:szCs w:val="22"/>
          <w:vertAlign w:val="superscript"/>
          <w:lang w:val="mi-NZ"/>
        </w:rPr>
        <w:footnoteReference w:id="423"/>
      </w:r>
    </w:p>
    <w:p w14:paraId="5BB60057" w14:textId="77777777" w:rsidR="00F14110" w:rsidRPr="00F14110" w:rsidRDefault="00F14110" w:rsidP="00F14110">
      <w:pPr>
        <w:pStyle w:val="ListParagraph"/>
        <w:rPr>
          <w:rFonts w:cstheme="minorHAnsi"/>
          <w:sz w:val="22"/>
          <w:szCs w:val="22"/>
          <w:lang w:val="mi-NZ"/>
        </w:rPr>
      </w:pPr>
    </w:p>
    <w:p w14:paraId="614CC0CB" w14:textId="207950ED" w:rsidR="00F14110" w:rsidRPr="00EB39D6" w:rsidRDefault="00F14110" w:rsidP="00F14110">
      <w:pPr>
        <w:pStyle w:val="ListParagraph"/>
        <w:numPr>
          <w:ilvl w:val="0"/>
          <w:numId w:val="9"/>
        </w:numPr>
        <w:ind w:hanging="720"/>
        <w:rPr>
          <w:rFonts w:cstheme="minorHAnsi"/>
          <w:sz w:val="22"/>
          <w:szCs w:val="22"/>
          <w:lang w:val="mi-NZ"/>
        </w:rPr>
      </w:pPr>
      <w:r w:rsidRPr="00F14110">
        <w:rPr>
          <w:rFonts w:cstheme="minorHAnsi"/>
          <w:sz w:val="22"/>
          <w:szCs w:val="22"/>
          <w:lang w:val="mi-NZ"/>
        </w:rPr>
        <w:t>Government has apologised for the ‘dawn raids’ policy of the 1970s.</w:t>
      </w:r>
      <w:r w:rsidRPr="00F14110">
        <w:rPr>
          <w:rFonts w:cstheme="minorHAnsi"/>
          <w:sz w:val="22"/>
          <w:szCs w:val="22"/>
          <w:vertAlign w:val="superscript"/>
          <w:lang w:val="mi-NZ"/>
        </w:rPr>
        <w:footnoteReference w:id="424"/>
      </w:r>
      <w:r w:rsidRPr="00F14110">
        <w:rPr>
          <w:rFonts w:cstheme="minorHAnsi"/>
          <w:sz w:val="22"/>
          <w:szCs w:val="22"/>
          <w:lang w:val="mi-NZ"/>
        </w:rPr>
        <w:t xml:space="preserve"> </w:t>
      </w:r>
      <w:r w:rsidRPr="00F14110">
        <w:rPr>
          <w:rFonts w:cstheme="minorHAnsi"/>
          <w:sz w:val="22"/>
          <w:szCs w:val="22"/>
          <w:vertAlign w:val="superscript"/>
          <w:lang w:val="mi-NZ"/>
        </w:rPr>
        <w:footnoteReference w:id="425"/>
      </w:r>
      <w:r w:rsidRPr="00F14110">
        <w:rPr>
          <w:rFonts w:cstheme="minorHAnsi"/>
          <w:sz w:val="22"/>
          <w:szCs w:val="22"/>
          <w:lang w:val="mi-NZ"/>
        </w:rPr>
        <w:t xml:space="preserve"> This apology aims to help Pacific youth feel proud of their Pacific heritage. An historical account of the ‘dawn raids’ for use in teaching purposes, and the provision of resources to schools and kura who choose to teach about this, are part of the apology, together with $2.1 million in scholarships and fellowships to Pacific communities and Manaaki NZ short-term training scholarships for young leaders from Pacific nations.</w:t>
      </w:r>
      <w:r w:rsidRPr="00F14110">
        <w:rPr>
          <w:rFonts w:cstheme="minorHAnsi"/>
          <w:sz w:val="22"/>
          <w:szCs w:val="22"/>
          <w:vertAlign w:val="superscript"/>
          <w:lang w:val="mi-NZ"/>
        </w:rPr>
        <w:t xml:space="preserve"> </w:t>
      </w:r>
      <w:r w:rsidRPr="00F14110">
        <w:rPr>
          <w:rFonts w:cstheme="minorHAnsi"/>
          <w:sz w:val="22"/>
          <w:szCs w:val="22"/>
          <w:vertAlign w:val="superscript"/>
          <w:lang w:val="mi-NZ"/>
        </w:rPr>
        <w:footnoteReference w:id="426"/>
      </w:r>
    </w:p>
    <w:p w14:paraId="5B305135" w14:textId="77777777" w:rsidR="00F14110" w:rsidRPr="00F14110" w:rsidRDefault="00F14110" w:rsidP="00F14110">
      <w:pPr>
        <w:pStyle w:val="IntenseQuote"/>
        <w:ind w:left="720"/>
        <w:jc w:val="left"/>
        <w:rPr>
          <w:b/>
          <w:bCs/>
          <w:i w:val="0"/>
          <w:iCs w:val="0"/>
          <w:sz w:val="24"/>
          <w:szCs w:val="24"/>
          <w:lang w:val="mi-NZ"/>
        </w:rPr>
      </w:pPr>
      <w:r w:rsidRPr="00F14110">
        <w:rPr>
          <w:b/>
          <w:bCs/>
          <w:i w:val="0"/>
          <w:iCs w:val="0"/>
          <w:sz w:val="24"/>
          <w:szCs w:val="24"/>
          <w:lang w:val="mi-NZ"/>
        </w:rPr>
        <w:t>Recommendation</w:t>
      </w:r>
    </w:p>
    <w:p w14:paraId="67A8571C" w14:textId="67C4EC6D" w:rsidR="00F14110" w:rsidRPr="00F14110" w:rsidRDefault="00F14110" w:rsidP="00916EA3">
      <w:pPr>
        <w:pStyle w:val="IntenseQuote"/>
        <w:numPr>
          <w:ilvl w:val="0"/>
          <w:numId w:val="23"/>
        </w:numPr>
        <w:jc w:val="left"/>
        <w:rPr>
          <w:i w:val="0"/>
          <w:iCs w:val="0"/>
          <w:sz w:val="22"/>
          <w:szCs w:val="22"/>
          <w:lang w:val="mi-NZ"/>
        </w:rPr>
      </w:pPr>
      <w:r w:rsidRPr="00F14110">
        <w:rPr>
          <w:i w:val="0"/>
          <w:iCs w:val="0"/>
          <w:sz w:val="22"/>
          <w:szCs w:val="22"/>
          <w:lang w:val="mi-NZ"/>
        </w:rPr>
        <w:t>Building on the Dawn Raids apology, actively advance and protect the rights of all Pacific children to affirm their cultural identity</w:t>
      </w:r>
      <w:r w:rsidR="000E6D2F">
        <w:rPr>
          <w:i w:val="0"/>
          <w:iCs w:val="0"/>
          <w:sz w:val="22"/>
          <w:szCs w:val="22"/>
          <w:lang w:val="mi-NZ"/>
        </w:rPr>
        <w:t>,</w:t>
      </w:r>
      <w:r w:rsidRPr="00F14110">
        <w:rPr>
          <w:i w:val="0"/>
          <w:iCs w:val="0"/>
          <w:sz w:val="22"/>
          <w:szCs w:val="22"/>
          <w:lang w:val="mi-NZ"/>
        </w:rPr>
        <w:t xml:space="preserve"> and address inequities in their experiences and outcomes.</w:t>
      </w:r>
    </w:p>
    <w:p w14:paraId="66D53965" w14:textId="77777777" w:rsidR="00EB39D6" w:rsidRPr="00EB39D6" w:rsidRDefault="00EB39D6" w:rsidP="00EB39D6">
      <w:pPr>
        <w:pStyle w:val="Heading3"/>
      </w:pPr>
      <w:r w:rsidRPr="00EB39D6">
        <w:lastRenderedPageBreak/>
        <w:t>Muslim children</w:t>
      </w:r>
    </w:p>
    <w:p w14:paraId="3A4A9B30" w14:textId="77777777" w:rsidR="00F14110" w:rsidRPr="00F14110" w:rsidRDefault="00F14110" w:rsidP="00F14110">
      <w:pPr>
        <w:rPr>
          <w:rFonts w:cstheme="minorHAnsi"/>
          <w:sz w:val="22"/>
          <w:szCs w:val="22"/>
          <w:lang w:val="mi-NZ"/>
        </w:rPr>
      </w:pPr>
    </w:p>
    <w:p w14:paraId="68C1A966" w14:textId="1F53D3B9" w:rsidR="00EB39D6" w:rsidRPr="00EB39D6" w:rsidRDefault="00EB39D6" w:rsidP="00EB39D6">
      <w:pPr>
        <w:pStyle w:val="ListParagraph"/>
        <w:numPr>
          <w:ilvl w:val="0"/>
          <w:numId w:val="9"/>
        </w:numPr>
        <w:ind w:hanging="720"/>
        <w:rPr>
          <w:rFonts w:cstheme="minorHAnsi"/>
          <w:sz w:val="22"/>
          <w:szCs w:val="22"/>
          <w:lang w:val="mi-NZ"/>
        </w:rPr>
      </w:pPr>
      <w:r w:rsidRPr="00EB39D6">
        <w:rPr>
          <w:rFonts w:cstheme="minorHAnsi"/>
          <w:sz w:val="22"/>
          <w:szCs w:val="22"/>
          <w:lang w:val="mi-NZ"/>
        </w:rPr>
        <w:t>The Christchurch terrorist attacks, and their aftermath, brought to light concerns that Muslim communities had previously raised with Government, including harrassment and bullying of Muslim children in school, the safety of Muslim communities in Aotearoa, negative portrayal of Muslim individuals and communities in the media, access to social workers, lack of culturally appropriate services for Muslim communities and a lack of funding for Muslim projects.</w:t>
      </w:r>
      <w:r w:rsidRPr="00EB39D6">
        <w:rPr>
          <w:rFonts w:cstheme="minorHAnsi"/>
          <w:sz w:val="22"/>
          <w:szCs w:val="22"/>
          <w:vertAlign w:val="superscript"/>
          <w:lang w:val="en-NZ"/>
        </w:rPr>
        <w:footnoteReference w:id="427"/>
      </w:r>
    </w:p>
    <w:p w14:paraId="6105D74A" w14:textId="77777777" w:rsidR="00EB39D6" w:rsidRDefault="00EB39D6" w:rsidP="00EB39D6">
      <w:pPr>
        <w:pStyle w:val="ListParagraph"/>
        <w:rPr>
          <w:rFonts w:cstheme="minorHAnsi"/>
          <w:sz w:val="22"/>
          <w:szCs w:val="22"/>
          <w:lang w:val="mi-NZ"/>
        </w:rPr>
      </w:pPr>
    </w:p>
    <w:p w14:paraId="688CAF9B" w14:textId="6DEE10C2" w:rsidR="00EB39D6" w:rsidRPr="00EB39D6" w:rsidRDefault="00EB39D6" w:rsidP="00EB39D6">
      <w:pPr>
        <w:pStyle w:val="ListParagraph"/>
        <w:numPr>
          <w:ilvl w:val="0"/>
          <w:numId w:val="9"/>
        </w:numPr>
        <w:ind w:hanging="720"/>
        <w:rPr>
          <w:rFonts w:cstheme="minorHAnsi"/>
          <w:sz w:val="22"/>
          <w:szCs w:val="22"/>
          <w:lang w:val="mi-NZ"/>
        </w:rPr>
      </w:pPr>
      <w:r w:rsidRPr="00EB39D6">
        <w:rPr>
          <w:rFonts w:cstheme="minorHAnsi"/>
          <w:sz w:val="22"/>
          <w:szCs w:val="22"/>
          <w:lang w:val="mi-NZ"/>
        </w:rPr>
        <w:t>Responses to the recommendations of the Royal Commission of Inquiry into the Terrorist Attack on Christchurch Mosques on 15 March 2019, especially those related to building social cohesion and inclusion, need to explicitly address the rights of Muslim children.</w:t>
      </w:r>
      <w:r w:rsidRPr="00EB39D6">
        <w:rPr>
          <w:rFonts w:cstheme="minorHAnsi"/>
          <w:sz w:val="22"/>
          <w:szCs w:val="22"/>
          <w:vertAlign w:val="superscript"/>
          <w:lang w:val="mi-NZ"/>
        </w:rPr>
        <w:footnoteReference w:id="428"/>
      </w:r>
      <w:r w:rsidRPr="00EB39D6">
        <w:rPr>
          <w:rFonts w:cstheme="minorHAnsi"/>
          <w:sz w:val="22"/>
          <w:szCs w:val="22"/>
          <w:lang w:val="mi-NZ"/>
        </w:rPr>
        <w:t xml:space="preserve"> </w:t>
      </w:r>
    </w:p>
    <w:p w14:paraId="14E761C0" w14:textId="0D96A9F3" w:rsidR="00EB39D6" w:rsidRPr="00EB39D6" w:rsidRDefault="00EB39D6" w:rsidP="00EB39D6">
      <w:pPr>
        <w:pStyle w:val="IntenseQuote"/>
        <w:ind w:left="720"/>
        <w:jc w:val="left"/>
        <w:rPr>
          <w:b/>
          <w:bCs/>
          <w:i w:val="0"/>
          <w:iCs w:val="0"/>
          <w:sz w:val="24"/>
          <w:szCs w:val="24"/>
          <w:lang w:val="mi-NZ"/>
        </w:rPr>
      </w:pPr>
      <w:r w:rsidRPr="00EB39D6">
        <w:rPr>
          <w:b/>
          <w:bCs/>
          <w:i w:val="0"/>
          <w:iCs w:val="0"/>
          <w:sz w:val="24"/>
          <w:szCs w:val="24"/>
          <w:lang w:val="mi-NZ"/>
        </w:rPr>
        <w:t>Recommendation</w:t>
      </w:r>
    </w:p>
    <w:p w14:paraId="0B9DB149" w14:textId="77777777" w:rsidR="00EB39D6" w:rsidRPr="00EB39D6" w:rsidRDefault="00EB39D6" w:rsidP="00916EA3">
      <w:pPr>
        <w:pStyle w:val="IntenseQuote"/>
        <w:numPr>
          <w:ilvl w:val="0"/>
          <w:numId w:val="23"/>
        </w:numPr>
        <w:jc w:val="left"/>
        <w:rPr>
          <w:i w:val="0"/>
          <w:iCs w:val="0"/>
          <w:sz w:val="22"/>
          <w:szCs w:val="22"/>
          <w:lang w:val="mi-NZ"/>
        </w:rPr>
      </w:pPr>
      <w:r w:rsidRPr="00EB39D6">
        <w:rPr>
          <w:i w:val="0"/>
          <w:iCs w:val="0"/>
          <w:sz w:val="22"/>
          <w:szCs w:val="22"/>
          <w:lang w:val="mi-NZ"/>
        </w:rPr>
        <w:t>Address the recommendations of the Royal Commission of Inquiry into the Terrorist Attack on Christchurch Mosques on 15 March 2019, ensuring responses protect and advance the rights of Muslim children in Aotearoa and that Muslim children and families are primary partners in shaping these responses.</w:t>
      </w:r>
    </w:p>
    <w:p w14:paraId="4EF638D7" w14:textId="5A70CAB8" w:rsidR="00EB39D6" w:rsidRPr="00E7687D" w:rsidRDefault="00EB39D6" w:rsidP="00EB39D6">
      <w:pPr>
        <w:pStyle w:val="Heading1"/>
        <w:rPr>
          <w:lang w:val="mi-NZ"/>
        </w:rPr>
      </w:pPr>
      <w:bookmarkStart w:id="65" w:name="_Toc111485489"/>
      <w:r w:rsidRPr="00E7687D">
        <w:rPr>
          <w:lang w:val="mi-NZ"/>
        </w:rPr>
        <w:t>Children who Work – LOIPR 28</w:t>
      </w:r>
      <w:bookmarkEnd w:id="65"/>
    </w:p>
    <w:p w14:paraId="588D1DB6" w14:textId="7839A951" w:rsidR="00F14110" w:rsidRPr="00EB39D6" w:rsidRDefault="00F14110" w:rsidP="00EB39D6">
      <w:pPr>
        <w:rPr>
          <w:rFonts w:cstheme="minorHAnsi"/>
          <w:sz w:val="22"/>
          <w:szCs w:val="22"/>
          <w:lang w:val="mi-NZ"/>
        </w:rPr>
      </w:pPr>
    </w:p>
    <w:p w14:paraId="666BF3DD" w14:textId="1C3B1B34" w:rsidR="00EB39D6" w:rsidRPr="00EB39D6" w:rsidRDefault="00EB39D6" w:rsidP="00EB39D6">
      <w:pPr>
        <w:pStyle w:val="ListParagraph"/>
        <w:numPr>
          <w:ilvl w:val="0"/>
          <w:numId w:val="9"/>
        </w:numPr>
        <w:ind w:hanging="720"/>
        <w:rPr>
          <w:rFonts w:cstheme="minorHAnsi"/>
          <w:sz w:val="22"/>
          <w:szCs w:val="22"/>
          <w:lang w:val="mi-NZ"/>
        </w:rPr>
      </w:pPr>
      <w:r w:rsidRPr="00EB39D6">
        <w:rPr>
          <w:rFonts w:cstheme="minorHAnsi"/>
          <w:sz w:val="22"/>
          <w:szCs w:val="22"/>
          <w:lang w:val="mi-NZ"/>
        </w:rPr>
        <w:t>In May 2022, the Employment Court found that children worked as employees from the age of six in companies owned by the Gloriavale Christian Community.</w:t>
      </w:r>
      <w:r w:rsidRPr="00EB39D6">
        <w:rPr>
          <w:rFonts w:cstheme="minorHAnsi"/>
          <w:sz w:val="22"/>
          <w:szCs w:val="22"/>
          <w:vertAlign w:val="superscript"/>
          <w:lang w:val="mi-NZ"/>
        </w:rPr>
        <w:footnoteReference w:id="429"/>
      </w:r>
      <w:r w:rsidRPr="00EB39D6">
        <w:rPr>
          <w:rFonts w:cstheme="minorHAnsi"/>
          <w:sz w:val="22"/>
          <w:szCs w:val="22"/>
          <w:lang w:val="mi-NZ"/>
        </w:rPr>
        <w:t xml:space="preserve"> The plaintiffs claimed that they were required to work long hours under harsh conditions and were denied food and publicly shamed if they were regarded as not working hard enough. The Court noted:</w:t>
      </w:r>
    </w:p>
    <w:p w14:paraId="56775753" w14:textId="77777777" w:rsidR="00EB39D6" w:rsidRPr="00EB39D6" w:rsidRDefault="00EB39D6" w:rsidP="00EB39D6">
      <w:pPr>
        <w:pStyle w:val="ListParagraph"/>
        <w:rPr>
          <w:rFonts w:cstheme="minorHAnsi"/>
          <w:sz w:val="22"/>
          <w:szCs w:val="22"/>
        </w:rPr>
      </w:pPr>
    </w:p>
    <w:p w14:paraId="3B5DF686" w14:textId="7326EC50" w:rsidR="00EB39D6" w:rsidRPr="00EB39D6" w:rsidRDefault="00EB39D6" w:rsidP="00EB39D6">
      <w:pPr>
        <w:pStyle w:val="ListParagraph"/>
        <w:rPr>
          <w:rFonts w:cstheme="minorHAnsi"/>
          <w:sz w:val="22"/>
          <w:szCs w:val="22"/>
        </w:rPr>
      </w:pPr>
      <w:r w:rsidRPr="00EB39D6">
        <w:rPr>
          <w:rFonts w:cstheme="minorHAnsi"/>
          <w:i/>
          <w:iCs/>
          <w:sz w:val="22"/>
          <w:szCs w:val="22"/>
        </w:rPr>
        <w:t>The mean age of Community members is 12 years, with 30 to 40 children</w:t>
      </w:r>
      <w:r>
        <w:rPr>
          <w:rFonts w:cstheme="minorHAnsi"/>
          <w:i/>
          <w:iCs/>
          <w:sz w:val="22"/>
          <w:szCs w:val="22"/>
        </w:rPr>
        <w:t xml:space="preserve"> </w:t>
      </w:r>
      <w:r w:rsidRPr="00EB39D6">
        <w:rPr>
          <w:rFonts w:cstheme="minorHAnsi"/>
          <w:i/>
          <w:iCs/>
          <w:sz w:val="22"/>
          <w:szCs w:val="22"/>
        </w:rPr>
        <w:t xml:space="preserve">born annually. </w:t>
      </w:r>
      <w:proofErr w:type="gramStart"/>
      <w:r w:rsidRPr="00EB39D6">
        <w:rPr>
          <w:rFonts w:cstheme="minorHAnsi"/>
          <w:i/>
          <w:iCs/>
          <w:sz w:val="22"/>
          <w:szCs w:val="22"/>
        </w:rPr>
        <w:t>It is plain that the</w:t>
      </w:r>
      <w:proofErr w:type="gramEnd"/>
      <w:r w:rsidRPr="00EB39D6">
        <w:rPr>
          <w:rFonts w:cstheme="minorHAnsi"/>
          <w:i/>
          <w:iCs/>
          <w:sz w:val="22"/>
          <w:szCs w:val="22"/>
        </w:rPr>
        <w:t xml:space="preserve"> ready access to child labour (children of </w:t>
      </w:r>
      <w:r w:rsidRPr="00EB39D6">
        <w:rPr>
          <w:rFonts w:cstheme="minorHAnsi"/>
          <w:i/>
          <w:iCs/>
          <w:sz w:val="22"/>
          <w:szCs w:val="22"/>
        </w:rPr>
        <w:lastRenderedPageBreak/>
        <w:t xml:space="preserve">adult residents) constitutes a significant factor in the success of the </w:t>
      </w:r>
      <w:proofErr w:type="spellStart"/>
      <w:r w:rsidRPr="00EB39D6">
        <w:rPr>
          <w:rFonts w:cstheme="minorHAnsi"/>
          <w:i/>
          <w:iCs/>
          <w:sz w:val="22"/>
          <w:szCs w:val="22"/>
        </w:rPr>
        <w:t>Gloriavale</w:t>
      </w:r>
      <w:proofErr w:type="spellEnd"/>
      <w:r w:rsidRPr="00EB39D6">
        <w:rPr>
          <w:rFonts w:cstheme="minorHAnsi"/>
          <w:i/>
          <w:iCs/>
          <w:sz w:val="22"/>
          <w:szCs w:val="22"/>
        </w:rPr>
        <w:t xml:space="preserve"> business model.</w:t>
      </w:r>
      <w:r w:rsidRPr="00EB39D6">
        <w:rPr>
          <w:rFonts w:cstheme="minorHAnsi"/>
          <w:i/>
          <w:iCs/>
          <w:sz w:val="22"/>
          <w:szCs w:val="22"/>
          <w:vertAlign w:val="superscript"/>
        </w:rPr>
        <w:footnoteReference w:id="430"/>
      </w:r>
      <w:r w:rsidRPr="00EB39D6">
        <w:rPr>
          <w:rFonts w:cstheme="minorHAnsi"/>
          <w:i/>
          <w:iCs/>
          <w:sz w:val="22"/>
          <w:szCs w:val="22"/>
        </w:rPr>
        <w:t xml:space="preserve"> </w:t>
      </w:r>
    </w:p>
    <w:p w14:paraId="1EC757AF" w14:textId="77777777" w:rsidR="00EB39D6" w:rsidRPr="00EB39D6" w:rsidRDefault="00EB39D6" w:rsidP="00EB39D6">
      <w:pPr>
        <w:pStyle w:val="ListParagraph"/>
        <w:rPr>
          <w:rFonts w:cstheme="minorHAnsi"/>
          <w:sz w:val="22"/>
          <w:szCs w:val="22"/>
          <w:lang w:val="mi-NZ"/>
        </w:rPr>
      </w:pPr>
    </w:p>
    <w:p w14:paraId="607BA8B8" w14:textId="77777777" w:rsidR="00EB39D6" w:rsidRPr="00EB39D6" w:rsidRDefault="00EB39D6" w:rsidP="00EB39D6">
      <w:pPr>
        <w:pStyle w:val="ListParagraph"/>
        <w:numPr>
          <w:ilvl w:val="0"/>
          <w:numId w:val="9"/>
        </w:numPr>
        <w:ind w:hanging="720"/>
        <w:rPr>
          <w:rFonts w:cstheme="minorHAnsi"/>
          <w:sz w:val="22"/>
          <w:szCs w:val="22"/>
          <w:lang w:val="mi-NZ"/>
        </w:rPr>
      </w:pPr>
      <w:r w:rsidRPr="00EB39D6">
        <w:rPr>
          <w:rFonts w:cstheme="minorHAnsi"/>
          <w:sz w:val="22"/>
          <w:szCs w:val="22"/>
          <w:lang w:val="mi-NZ"/>
        </w:rPr>
        <w:t>Government has reported that Aotearoa has a range of protections and restrictions on children’s work, through a combination of education and health and safety legislation.</w:t>
      </w:r>
      <w:r w:rsidRPr="00EB39D6">
        <w:rPr>
          <w:rFonts w:cstheme="minorHAnsi"/>
          <w:sz w:val="22"/>
          <w:szCs w:val="22"/>
          <w:vertAlign w:val="superscript"/>
          <w:lang w:val="mi-NZ"/>
        </w:rPr>
        <w:footnoteReference w:id="431"/>
      </w:r>
      <w:r w:rsidRPr="00EB39D6">
        <w:rPr>
          <w:rFonts w:cstheme="minorHAnsi"/>
          <w:sz w:val="22"/>
          <w:szCs w:val="22"/>
          <w:lang w:val="mi-NZ"/>
        </w:rPr>
        <w:t xml:space="preserve"> It has chosen not to ratify the International Labour Organisation’s Minimum Age Convention, 1973 (138) and it maintains the following reservation to the CRC:</w:t>
      </w:r>
    </w:p>
    <w:p w14:paraId="03047403" w14:textId="77777777" w:rsidR="00EB39D6" w:rsidRPr="00EB39D6" w:rsidRDefault="00EB39D6" w:rsidP="00EB39D6">
      <w:pPr>
        <w:pStyle w:val="ListParagraph"/>
        <w:rPr>
          <w:rFonts w:cstheme="minorHAnsi"/>
          <w:sz w:val="22"/>
          <w:szCs w:val="22"/>
          <w:lang w:val="mi-NZ"/>
        </w:rPr>
      </w:pPr>
    </w:p>
    <w:p w14:paraId="5CE35069" w14:textId="77777777" w:rsidR="00EB39D6" w:rsidRPr="00EB39D6" w:rsidRDefault="00EB39D6" w:rsidP="00EB39D6">
      <w:pPr>
        <w:pStyle w:val="ListParagraph"/>
        <w:rPr>
          <w:rFonts w:cstheme="minorHAnsi"/>
          <w:i/>
          <w:iCs/>
          <w:sz w:val="22"/>
          <w:szCs w:val="22"/>
          <w:lang w:val="en-NZ"/>
        </w:rPr>
      </w:pPr>
      <w:r w:rsidRPr="00EB39D6">
        <w:rPr>
          <w:rFonts w:cstheme="minorHAnsi"/>
          <w:i/>
          <w:iCs/>
          <w:sz w:val="22"/>
          <w:szCs w:val="22"/>
          <w:lang w:val="en-NZ"/>
        </w:rPr>
        <w:t>The Government of New Zealand considers that the rights of the child provided for in article 32(1) are adequately protected by its existing law. It therefore reserves the right not to legislate further or to take additional measures as may be envisaged in article 32(2).</w:t>
      </w:r>
      <w:r w:rsidRPr="00EB39D6">
        <w:rPr>
          <w:rFonts w:cstheme="minorHAnsi"/>
          <w:i/>
          <w:iCs/>
          <w:sz w:val="22"/>
          <w:szCs w:val="22"/>
          <w:vertAlign w:val="superscript"/>
          <w:lang w:val="en-NZ"/>
        </w:rPr>
        <w:footnoteReference w:id="432"/>
      </w:r>
    </w:p>
    <w:p w14:paraId="1790A444" w14:textId="3744A14A" w:rsidR="00EB39D6" w:rsidRPr="00EB39D6" w:rsidRDefault="00EB39D6" w:rsidP="00EB39D6">
      <w:pPr>
        <w:pStyle w:val="ListParagraph"/>
        <w:rPr>
          <w:rFonts w:cstheme="minorHAnsi"/>
          <w:sz w:val="22"/>
          <w:szCs w:val="22"/>
          <w:lang w:val="mi-NZ"/>
        </w:rPr>
      </w:pPr>
    </w:p>
    <w:p w14:paraId="22FA8033" w14:textId="77777777" w:rsidR="00EB39D6" w:rsidRPr="00EB39D6" w:rsidRDefault="00EB39D6" w:rsidP="00EB39D6">
      <w:pPr>
        <w:pStyle w:val="ListParagraph"/>
        <w:numPr>
          <w:ilvl w:val="0"/>
          <w:numId w:val="9"/>
        </w:numPr>
        <w:ind w:hanging="720"/>
        <w:rPr>
          <w:rFonts w:cstheme="minorHAnsi"/>
          <w:sz w:val="22"/>
          <w:szCs w:val="22"/>
        </w:rPr>
      </w:pPr>
      <w:r w:rsidRPr="00EB39D6">
        <w:rPr>
          <w:rFonts w:cstheme="minorHAnsi"/>
          <w:sz w:val="22"/>
          <w:szCs w:val="22"/>
          <w:lang w:val="en-NZ"/>
        </w:rPr>
        <w:t>There is very little recent information on the reality of children’s work experiences, but what is available indicates that child workers are typically found in family-run businesses, in the primary sector (agriculture and horticulture), as well as the retail and hospitality industries. They tend to work in the informal labour market, which means many young workers are overlooked in statistical reporting and analysis and are not covered by the protections that do exist.</w:t>
      </w:r>
      <w:r w:rsidRPr="00EB39D6">
        <w:rPr>
          <w:rFonts w:cstheme="minorHAnsi"/>
          <w:sz w:val="22"/>
          <w:szCs w:val="22"/>
          <w:vertAlign w:val="superscript"/>
          <w:lang w:val="en-NZ"/>
        </w:rPr>
        <w:footnoteReference w:id="433"/>
      </w:r>
      <w:r w:rsidRPr="00EB39D6">
        <w:rPr>
          <w:rFonts w:cstheme="minorHAnsi"/>
          <w:sz w:val="22"/>
          <w:szCs w:val="22"/>
          <w:lang w:val="en-NZ"/>
        </w:rPr>
        <w:t xml:space="preserve"> </w:t>
      </w:r>
    </w:p>
    <w:p w14:paraId="7F14E08B" w14:textId="77777777" w:rsidR="00EB39D6" w:rsidRPr="00EB39D6" w:rsidRDefault="00EB39D6" w:rsidP="00EB39D6">
      <w:pPr>
        <w:pStyle w:val="ListParagraph"/>
        <w:rPr>
          <w:rFonts w:cstheme="minorHAnsi"/>
          <w:sz w:val="22"/>
          <w:szCs w:val="22"/>
          <w:lang w:val="en-NZ"/>
        </w:rPr>
      </w:pPr>
    </w:p>
    <w:p w14:paraId="5EF7214A" w14:textId="77777777" w:rsidR="00EB39D6" w:rsidRPr="00EB39D6" w:rsidRDefault="00EB39D6" w:rsidP="00EB39D6">
      <w:pPr>
        <w:pStyle w:val="ListParagraph"/>
        <w:numPr>
          <w:ilvl w:val="0"/>
          <w:numId w:val="9"/>
        </w:numPr>
        <w:ind w:hanging="720"/>
        <w:rPr>
          <w:rFonts w:cstheme="minorHAnsi"/>
          <w:sz w:val="22"/>
          <w:szCs w:val="22"/>
          <w:lang w:val="en-NZ"/>
        </w:rPr>
      </w:pPr>
      <w:r w:rsidRPr="00EB39D6">
        <w:rPr>
          <w:rFonts w:cstheme="minorHAnsi"/>
          <w:sz w:val="22"/>
          <w:szCs w:val="22"/>
          <w:lang w:val="en-NZ"/>
        </w:rPr>
        <w:t>Research has shown that some young people work to contribute to the family income; for some, their work interferes with their education; and many are harmed at work.</w:t>
      </w:r>
      <w:r w:rsidRPr="00EB39D6">
        <w:rPr>
          <w:rFonts w:cstheme="minorHAnsi"/>
          <w:sz w:val="22"/>
          <w:szCs w:val="22"/>
          <w:vertAlign w:val="superscript"/>
          <w:lang w:val="en-NZ"/>
        </w:rPr>
        <w:footnoteReference w:id="434"/>
      </w:r>
      <w:r w:rsidRPr="00EB39D6">
        <w:rPr>
          <w:rFonts w:cstheme="minorHAnsi"/>
          <w:sz w:val="22"/>
          <w:szCs w:val="22"/>
          <w:lang w:val="en-NZ"/>
        </w:rPr>
        <w:t xml:space="preserve"> </w:t>
      </w:r>
    </w:p>
    <w:p w14:paraId="49C50A32" w14:textId="77777777" w:rsidR="00EB39D6" w:rsidRPr="00EB39D6" w:rsidRDefault="00EB39D6" w:rsidP="00EB39D6">
      <w:pPr>
        <w:pStyle w:val="ListParagraph"/>
        <w:rPr>
          <w:rFonts w:cstheme="minorHAnsi"/>
          <w:sz w:val="22"/>
          <w:szCs w:val="22"/>
          <w:lang w:val="en-NZ"/>
        </w:rPr>
      </w:pPr>
    </w:p>
    <w:p w14:paraId="2724F2BD" w14:textId="77777777" w:rsidR="00EB39D6" w:rsidRPr="00EB39D6" w:rsidRDefault="00EB39D6" w:rsidP="00EB39D6">
      <w:pPr>
        <w:pStyle w:val="ListParagraph"/>
        <w:numPr>
          <w:ilvl w:val="0"/>
          <w:numId w:val="9"/>
        </w:numPr>
        <w:ind w:hanging="720"/>
        <w:rPr>
          <w:rFonts w:cstheme="minorHAnsi"/>
          <w:sz w:val="22"/>
          <w:szCs w:val="22"/>
          <w:lang w:val="en-NZ"/>
        </w:rPr>
      </w:pPr>
      <w:r w:rsidRPr="00EB39D6">
        <w:rPr>
          <w:rFonts w:cstheme="minorHAnsi"/>
          <w:sz w:val="22"/>
          <w:szCs w:val="22"/>
          <w:lang w:val="en-NZ"/>
        </w:rPr>
        <w:t>Since 2019, there have been media and anecdotal reports of older children leaving school to work to support their families financially, a situation the COVID-19 lockdowns exacerbated.</w:t>
      </w:r>
      <w:r w:rsidRPr="00EB39D6">
        <w:rPr>
          <w:rFonts w:cstheme="minorHAnsi"/>
          <w:sz w:val="22"/>
          <w:szCs w:val="22"/>
          <w:vertAlign w:val="superscript"/>
          <w:lang w:val="en-NZ"/>
        </w:rPr>
        <w:footnoteReference w:id="435"/>
      </w:r>
      <w:r w:rsidRPr="00EB39D6">
        <w:rPr>
          <w:rFonts w:cstheme="minorHAnsi"/>
          <w:sz w:val="22"/>
          <w:szCs w:val="22"/>
          <w:lang w:val="en-NZ"/>
        </w:rPr>
        <w:t xml:space="preserve"> </w:t>
      </w:r>
      <w:r w:rsidRPr="00EB39D6">
        <w:rPr>
          <w:rFonts w:cstheme="minorHAnsi"/>
          <w:sz w:val="22"/>
          <w:szCs w:val="22"/>
          <w:vertAlign w:val="superscript"/>
          <w:lang w:val="en-NZ"/>
        </w:rPr>
        <w:footnoteReference w:id="436"/>
      </w:r>
      <w:r w:rsidRPr="00EB39D6">
        <w:rPr>
          <w:rFonts w:cstheme="minorHAnsi"/>
          <w:sz w:val="22"/>
          <w:szCs w:val="22"/>
          <w:lang w:val="en-NZ"/>
        </w:rPr>
        <w:t xml:space="preserve"> While contributing to family wellbeing and income is honourable, and many young people want to work: </w:t>
      </w:r>
    </w:p>
    <w:p w14:paraId="4F80F694" w14:textId="77777777" w:rsidR="00EB39D6" w:rsidRPr="00935714" w:rsidRDefault="00EB39D6" w:rsidP="00EB39D6">
      <w:pPr>
        <w:rPr>
          <w:rFonts w:cstheme="minorHAnsi"/>
          <w:sz w:val="22"/>
          <w:szCs w:val="22"/>
          <w:lang w:val="en-NZ"/>
        </w:rPr>
      </w:pPr>
    </w:p>
    <w:p w14:paraId="21807544" w14:textId="77777777" w:rsidR="00EB39D6" w:rsidRPr="00EB39D6" w:rsidRDefault="00EB39D6" w:rsidP="00EB39D6">
      <w:pPr>
        <w:pStyle w:val="ListParagraph"/>
        <w:rPr>
          <w:rFonts w:cstheme="minorHAnsi"/>
          <w:sz w:val="22"/>
          <w:szCs w:val="22"/>
          <w:lang w:val="en-NZ"/>
        </w:rPr>
      </w:pPr>
      <w:r w:rsidRPr="00EB39D6">
        <w:rPr>
          <w:rFonts w:cstheme="minorHAnsi"/>
          <w:i/>
          <w:iCs/>
          <w:sz w:val="22"/>
          <w:szCs w:val="22"/>
          <w:lang w:val="en-NZ"/>
        </w:rPr>
        <w:lastRenderedPageBreak/>
        <w:t>Now the financial imperative is such that not making money is not an option.</w:t>
      </w:r>
      <w:r w:rsidRPr="00EB39D6">
        <w:rPr>
          <w:rFonts w:cstheme="minorHAnsi"/>
          <w:sz w:val="22"/>
          <w:szCs w:val="22"/>
          <w:vertAlign w:val="superscript"/>
          <w:lang w:val="en-NZ"/>
        </w:rPr>
        <w:footnoteReference w:id="437"/>
      </w:r>
      <w:r w:rsidRPr="00EB39D6">
        <w:rPr>
          <w:rFonts w:cstheme="minorHAnsi"/>
          <w:sz w:val="22"/>
          <w:szCs w:val="22"/>
          <w:lang w:val="en-NZ"/>
        </w:rPr>
        <w:t xml:space="preserve"> </w:t>
      </w:r>
    </w:p>
    <w:p w14:paraId="581F81F3" w14:textId="77777777" w:rsidR="00EB39D6" w:rsidRPr="00EB39D6" w:rsidRDefault="00EB39D6" w:rsidP="00EB39D6">
      <w:pPr>
        <w:pStyle w:val="ListParagraph"/>
        <w:rPr>
          <w:rFonts w:cstheme="minorHAnsi"/>
          <w:sz w:val="22"/>
          <w:szCs w:val="22"/>
          <w:lang w:val="en-NZ"/>
        </w:rPr>
      </w:pPr>
    </w:p>
    <w:p w14:paraId="4BC935B9" w14:textId="77777777" w:rsidR="00EB39D6" w:rsidRPr="00EB39D6" w:rsidRDefault="00EB39D6" w:rsidP="00EB39D6">
      <w:pPr>
        <w:pStyle w:val="ListParagraph"/>
        <w:numPr>
          <w:ilvl w:val="0"/>
          <w:numId w:val="9"/>
        </w:numPr>
        <w:ind w:hanging="720"/>
        <w:rPr>
          <w:rFonts w:cstheme="minorHAnsi"/>
          <w:sz w:val="22"/>
          <w:szCs w:val="22"/>
          <w:lang w:val="en-NZ"/>
        </w:rPr>
      </w:pPr>
      <w:r w:rsidRPr="00EB39D6">
        <w:rPr>
          <w:rFonts w:cstheme="minorHAnsi"/>
          <w:sz w:val="22"/>
          <w:szCs w:val="22"/>
          <w:lang w:val="en-NZ"/>
        </w:rPr>
        <w:t>Young people in South Auckland are more likely to leave school without completing their secondary education than in other parts of Auckland. In 2020, 23% of South Auckland school leavers from public schools left with university entrance qualifications, compared to nearly half of students in the rest of Auckland.</w:t>
      </w:r>
      <w:r w:rsidRPr="00EB39D6">
        <w:rPr>
          <w:rFonts w:cstheme="minorHAnsi"/>
          <w:sz w:val="22"/>
          <w:szCs w:val="22"/>
          <w:vertAlign w:val="superscript"/>
          <w:lang w:val="en-NZ"/>
        </w:rPr>
        <w:footnoteReference w:id="438"/>
      </w:r>
    </w:p>
    <w:p w14:paraId="011ECA03" w14:textId="77777777" w:rsidR="00EB39D6" w:rsidRPr="00EB39D6" w:rsidRDefault="00EB39D6" w:rsidP="00EB39D6">
      <w:pPr>
        <w:pStyle w:val="ListParagraph"/>
        <w:rPr>
          <w:rFonts w:cstheme="minorHAnsi"/>
          <w:sz w:val="22"/>
          <w:szCs w:val="22"/>
          <w:lang w:val="en-NZ"/>
        </w:rPr>
      </w:pPr>
    </w:p>
    <w:p w14:paraId="1538735D" w14:textId="77777777" w:rsidR="00EB39D6" w:rsidRPr="00EB39D6" w:rsidRDefault="00EB39D6" w:rsidP="00EB39D6">
      <w:pPr>
        <w:pStyle w:val="ListParagraph"/>
        <w:numPr>
          <w:ilvl w:val="0"/>
          <w:numId w:val="9"/>
        </w:numPr>
        <w:ind w:hanging="720"/>
        <w:rPr>
          <w:rFonts w:cstheme="minorHAnsi"/>
          <w:sz w:val="22"/>
          <w:szCs w:val="22"/>
          <w:lang w:val="en-NZ"/>
        </w:rPr>
      </w:pPr>
      <w:r w:rsidRPr="00EB39D6">
        <w:rPr>
          <w:rFonts w:cstheme="minorHAnsi"/>
          <w:sz w:val="22"/>
          <w:szCs w:val="22"/>
          <w:lang w:val="en-NZ"/>
        </w:rPr>
        <w:t>Better information is needed on young workers, including levels of harm at work and how work is impacting children’s education and development. This will ensure the regulatory framework, and other measures taken to protect them from harm and exploitation, are effective. Better data collection about the reality of children’s work experiences and aspirations, including through listening to children, would also help to inform appropriate policy and regulatory responses. For example, extending financial support for training, such as being paid to train as a teacher or nurse, might enable children to continue with their education and contribute to their families.</w:t>
      </w:r>
    </w:p>
    <w:p w14:paraId="31AE78F3" w14:textId="77777777" w:rsidR="00EB39D6" w:rsidRPr="00EB39D6" w:rsidRDefault="00EB39D6" w:rsidP="00EB39D6">
      <w:pPr>
        <w:pStyle w:val="ListParagraph"/>
        <w:rPr>
          <w:rFonts w:cstheme="minorHAnsi"/>
          <w:sz w:val="22"/>
          <w:szCs w:val="22"/>
          <w:lang w:val="en-NZ"/>
        </w:rPr>
      </w:pPr>
    </w:p>
    <w:p w14:paraId="4D3022EF" w14:textId="7DEA4B3F" w:rsidR="00EB39D6" w:rsidRPr="00E45566" w:rsidRDefault="00EB39D6" w:rsidP="00EB39D6">
      <w:pPr>
        <w:pStyle w:val="ListParagraph"/>
        <w:numPr>
          <w:ilvl w:val="0"/>
          <w:numId w:val="9"/>
        </w:numPr>
        <w:ind w:hanging="720"/>
        <w:rPr>
          <w:rFonts w:cstheme="minorHAnsi"/>
          <w:sz w:val="22"/>
          <w:szCs w:val="22"/>
          <w:lang w:val="mi-NZ"/>
        </w:rPr>
      </w:pPr>
      <w:r w:rsidRPr="00EB39D6">
        <w:rPr>
          <w:rFonts w:cstheme="minorHAnsi"/>
          <w:sz w:val="22"/>
          <w:szCs w:val="22"/>
          <w:lang w:val="en-NZ"/>
        </w:rPr>
        <w:t>We submit that the existing protections for young workers are not, in reality, adequate to protect the rights provided for in Article 32(1).</w:t>
      </w:r>
      <w:r w:rsidRPr="00EB39D6">
        <w:rPr>
          <w:rFonts w:cstheme="minorHAnsi"/>
          <w:sz w:val="22"/>
          <w:szCs w:val="22"/>
          <w:vertAlign w:val="superscript"/>
          <w:lang w:val="en-NZ"/>
        </w:rPr>
        <w:footnoteReference w:id="439"/>
      </w:r>
    </w:p>
    <w:p w14:paraId="71FB51F8" w14:textId="3393B22F" w:rsidR="00EB39D6" w:rsidRPr="00EB39D6" w:rsidRDefault="00EB39D6" w:rsidP="00EB39D6">
      <w:pPr>
        <w:pStyle w:val="IntenseQuote"/>
        <w:ind w:left="720"/>
        <w:jc w:val="left"/>
        <w:rPr>
          <w:b/>
          <w:bCs/>
          <w:i w:val="0"/>
          <w:iCs w:val="0"/>
          <w:sz w:val="24"/>
          <w:szCs w:val="24"/>
          <w:lang w:val="mi-NZ"/>
        </w:rPr>
      </w:pPr>
      <w:r w:rsidRPr="00EB39D6">
        <w:rPr>
          <w:b/>
          <w:bCs/>
          <w:i w:val="0"/>
          <w:iCs w:val="0"/>
          <w:sz w:val="24"/>
          <w:szCs w:val="24"/>
          <w:lang w:val="mi-NZ"/>
        </w:rPr>
        <w:t>Recommendations</w:t>
      </w:r>
    </w:p>
    <w:p w14:paraId="51849C64" w14:textId="77777777" w:rsidR="00EB39D6" w:rsidRPr="00EB39D6" w:rsidRDefault="00EB39D6" w:rsidP="00916EA3">
      <w:pPr>
        <w:pStyle w:val="IntenseQuote"/>
        <w:numPr>
          <w:ilvl w:val="0"/>
          <w:numId w:val="23"/>
        </w:numPr>
        <w:jc w:val="left"/>
        <w:rPr>
          <w:i w:val="0"/>
          <w:iCs w:val="0"/>
          <w:sz w:val="22"/>
          <w:szCs w:val="22"/>
          <w:lang w:val="mi-NZ"/>
        </w:rPr>
      </w:pPr>
      <w:r w:rsidRPr="00EB39D6">
        <w:rPr>
          <w:i w:val="0"/>
          <w:iCs w:val="0"/>
          <w:sz w:val="22"/>
          <w:szCs w:val="22"/>
          <w:lang w:val="mi-NZ"/>
        </w:rPr>
        <w:t>Remove the reservation to Article 32(2).</w:t>
      </w:r>
    </w:p>
    <w:p w14:paraId="6770878F" w14:textId="77777777" w:rsidR="00EB39D6" w:rsidRPr="00EB39D6" w:rsidRDefault="00EB39D6" w:rsidP="00916EA3">
      <w:pPr>
        <w:pStyle w:val="IntenseQuote"/>
        <w:numPr>
          <w:ilvl w:val="0"/>
          <w:numId w:val="23"/>
        </w:numPr>
        <w:jc w:val="left"/>
        <w:rPr>
          <w:i w:val="0"/>
          <w:iCs w:val="0"/>
          <w:sz w:val="22"/>
          <w:szCs w:val="22"/>
          <w:lang w:val="mi-NZ"/>
        </w:rPr>
      </w:pPr>
      <w:r w:rsidRPr="00EB39D6">
        <w:rPr>
          <w:i w:val="0"/>
          <w:iCs w:val="0"/>
          <w:sz w:val="22"/>
          <w:szCs w:val="22"/>
          <w:lang w:val="mi-NZ"/>
        </w:rPr>
        <w:t>Engage with child workers to strengthen regulatory framework for children who work, including minimum ages for work.</w:t>
      </w:r>
    </w:p>
    <w:p w14:paraId="630D73FB" w14:textId="61325F41" w:rsidR="00EB39D6" w:rsidRPr="00EB39D6" w:rsidRDefault="00EB39D6" w:rsidP="00916EA3">
      <w:pPr>
        <w:pStyle w:val="IntenseQuote"/>
        <w:numPr>
          <w:ilvl w:val="0"/>
          <w:numId w:val="23"/>
        </w:numPr>
        <w:jc w:val="left"/>
        <w:rPr>
          <w:i w:val="0"/>
          <w:iCs w:val="0"/>
          <w:sz w:val="22"/>
          <w:szCs w:val="22"/>
          <w:lang w:val="mi-NZ"/>
        </w:rPr>
      </w:pPr>
      <w:r w:rsidRPr="00EB39D6">
        <w:rPr>
          <w:i w:val="0"/>
          <w:iCs w:val="0"/>
          <w:sz w:val="22"/>
          <w:szCs w:val="22"/>
          <w:lang w:val="mi-NZ"/>
        </w:rPr>
        <w:t xml:space="preserve">Collect information, including through speaking with child workers, about </w:t>
      </w:r>
      <w:r w:rsidR="006200F4">
        <w:rPr>
          <w:i w:val="0"/>
          <w:iCs w:val="0"/>
          <w:sz w:val="22"/>
          <w:szCs w:val="22"/>
          <w:lang w:val="mi-NZ"/>
        </w:rPr>
        <w:t>children’s</w:t>
      </w:r>
      <w:r w:rsidRPr="00EB39D6">
        <w:rPr>
          <w:i w:val="0"/>
          <w:iCs w:val="0"/>
          <w:sz w:val="22"/>
          <w:szCs w:val="22"/>
          <w:lang w:val="mi-NZ"/>
        </w:rPr>
        <w:t xml:space="preserve"> work experiences.</w:t>
      </w:r>
    </w:p>
    <w:p w14:paraId="162747C4" w14:textId="77777777" w:rsidR="00EB39D6" w:rsidRPr="00EB39D6" w:rsidRDefault="00EB39D6" w:rsidP="00916EA3">
      <w:pPr>
        <w:pStyle w:val="IntenseQuote"/>
        <w:numPr>
          <w:ilvl w:val="0"/>
          <w:numId w:val="23"/>
        </w:numPr>
        <w:jc w:val="left"/>
        <w:rPr>
          <w:i w:val="0"/>
          <w:iCs w:val="0"/>
          <w:sz w:val="22"/>
          <w:szCs w:val="22"/>
          <w:lang w:val="mi-NZ"/>
        </w:rPr>
      </w:pPr>
      <w:r w:rsidRPr="00EB39D6">
        <w:rPr>
          <w:i w:val="0"/>
          <w:iCs w:val="0"/>
          <w:sz w:val="22"/>
          <w:szCs w:val="22"/>
          <w:lang w:val="mi-NZ"/>
        </w:rPr>
        <w:t>Provide children with information on their rights and support to prevent them being harmed or exploited at work.</w:t>
      </w:r>
    </w:p>
    <w:p w14:paraId="110CCDBE" w14:textId="27108DBE" w:rsidR="00EB39D6" w:rsidRPr="00E7687D" w:rsidRDefault="00EB39D6" w:rsidP="00EB39D6">
      <w:pPr>
        <w:pStyle w:val="Heading1"/>
        <w:rPr>
          <w:lang w:val="mi-NZ"/>
        </w:rPr>
      </w:pPr>
      <w:bookmarkStart w:id="66" w:name="_Toc111485490"/>
      <w:r w:rsidRPr="00E7687D">
        <w:rPr>
          <w:lang w:val="mi-NZ"/>
        </w:rPr>
        <w:lastRenderedPageBreak/>
        <w:t>Youth Justice – LOIPR 29</w:t>
      </w:r>
      <w:bookmarkEnd w:id="66"/>
    </w:p>
    <w:p w14:paraId="2D4BBA20" w14:textId="4A59E2B9" w:rsidR="00EB39D6" w:rsidRDefault="00EB39D6" w:rsidP="00EB39D6">
      <w:pPr>
        <w:rPr>
          <w:rFonts w:cstheme="minorHAnsi"/>
          <w:sz w:val="22"/>
          <w:szCs w:val="22"/>
          <w:lang w:val="mi-NZ"/>
        </w:rPr>
      </w:pPr>
    </w:p>
    <w:p w14:paraId="58527F4F" w14:textId="77777777" w:rsidR="00EB39D6" w:rsidRPr="00E7687D" w:rsidRDefault="00EB39D6" w:rsidP="00EB39D6">
      <w:pPr>
        <w:pStyle w:val="Heading2"/>
        <w:rPr>
          <w:lang w:val="mi-NZ"/>
        </w:rPr>
      </w:pPr>
      <w:bookmarkStart w:id="67" w:name="_Toc111485491"/>
      <w:r w:rsidRPr="00E7687D">
        <w:rPr>
          <w:lang w:val="mi-NZ"/>
        </w:rPr>
        <w:t xml:space="preserve">Minimum age of criminal responsibility </w:t>
      </w:r>
      <w:r>
        <w:rPr>
          <w:lang w:val="mi-NZ"/>
        </w:rPr>
        <w:t>and</w:t>
      </w:r>
      <w:r w:rsidRPr="00E7687D">
        <w:rPr>
          <w:lang w:val="mi-NZ"/>
        </w:rPr>
        <w:t xml:space="preserve"> children aged 10-14 years who offend</w:t>
      </w:r>
      <w:bookmarkEnd w:id="67"/>
      <w:r w:rsidRPr="00E7687D">
        <w:rPr>
          <w:lang w:val="mi-NZ"/>
        </w:rPr>
        <w:t xml:space="preserve"> </w:t>
      </w:r>
    </w:p>
    <w:p w14:paraId="755BA83F" w14:textId="77777777" w:rsidR="00EB39D6" w:rsidRPr="00EB39D6" w:rsidRDefault="00EB39D6" w:rsidP="00EB39D6">
      <w:pPr>
        <w:rPr>
          <w:rFonts w:cstheme="minorHAnsi"/>
          <w:sz w:val="22"/>
          <w:szCs w:val="22"/>
          <w:lang w:val="mi-NZ"/>
        </w:rPr>
      </w:pPr>
    </w:p>
    <w:p w14:paraId="6B7A74F2" w14:textId="26E34A6C" w:rsidR="00EB39D6" w:rsidRPr="00EB39D6" w:rsidRDefault="00EB39D6" w:rsidP="00EB39D6">
      <w:pPr>
        <w:pStyle w:val="ListParagraph"/>
        <w:numPr>
          <w:ilvl w:val="0"/>
          <w:numId w:val="9"/>
        </w:numPr>
        <w:ind w:hanging="720"/>
        <w:rPr>
          <w:rFonts w:cstheme="minorHAnsi"/>
          <w:sz w:val="22"/>
          <w:szCs w:val="22"/>
          <w:lang w:val="en-NZ"/>
        </w:rPr>
      </w:pPr>
      <w:r w:rsidRPr="00EB39D6">
        <w:rPr>
          <w:rFonts w:cstheme="minorHAnsi"/>
          <w:sz w:val="22"/>
          <w:szCs w:val="22"/>
          <w:lang w:val="en-NZ"/>
        </w:rPr>
        <w:t>The minimum age of criminal responsibility is 10 years of age for serious offences. There are calls to immediately raise this to 14 or 16 in line with the Committee’s General Comment No. 24, contemporary understanding of neuroscience and child development, and consistency with Aotearoa’s youth justice system which starts at 14.</w:t>
      </w:r>
      <w:r w:rsidRPr="00EB39D6">
        <w:rPr>
          <w:rFonts w:cstheme="minorHAnsi"/>
          <w:sz w:val="22"/>
          <w:szCs w:val="22"/>
          <w:vertAlign w:val="superscript"/>
          <w:lang w:val="en-NZ"/>
        </w:rPr>
        <w:footnoteReference w:id="440"/>
      </w:r>
      <w:r w:rsidRPr="00EB39D6">
        <w:rPr>
          <w:rFonts w:cstheme="minorHAnsi"/>
          <w:sz w:val="22"/>
          <w:szCs w:val="22"/>
          <w:lang w:val="en-NZ"/>
        </w:rPr>
        <w:t xml:space="preserve"> </w:t>
      </w:r>
      <w:r w:rsidR="00B774D1">
        <w:rPr>
          <w:rStyle w:val="FootnoteReference"/>
          <w:rFonts w:cstheme="minorHAnsi"/>
          <w:sz w:val="22"/>
          <w:szCs w:val="22"/>
          <w:lang w:val="en-NZ"/>
        </w:rPr>
        <w:footnoteReference w:id="441"/>
      </w:r>
      <w:r w:rsidRPr="00EB39D6">
        <w:rPr>
          <w:rFonts w:cstheme="minorHAnsi"/>
          <w:sz w:val="22"/>
          <w:szCs w:val="22"/>
          <w:lang w:val="en-NZ"/>
        </w:rPr>
        <w:t xml:space="preserve"> </w:t>
      </w:r>
    </w:p>
    <w:p w14:paraId="53E546EC" w14:textId="77777777" w:rsidR="00EB39D6" w:rsidRPr="00EB39D6" w:rsidRDefault="00EB39D6" w:rsidP="00EB39D6">
      <w:pPr>
        <w:pStyle w:val="ListParagraph"/>
        <w:rPr>
          <w:rFonts w:cstheme="minorHAnsi"/>
          <w:sz w:val="22"/>
          <w:szCs w:val="22"/>
          <w:lang w:val="en-NZ"/>
        </w:rPr>
      </w:pPr>
    </w:p>
    <w:p w14:paraId="035A34DE" w14:textId="2C76D9D8" w:rsidR="00EB39D6" w:rsidRPr="00EB39D6" w:rsidRDefault="00EB39D6" w:rsidP="00EB39D6">
      <w:pPr>
        <w:pStyle w:val="ListParagraph"/>
        <w:numPr>
          <w:ilvl w:val="0"/>
          <w:numId w:val="9"/>
        </w:numPr>
        <w:ind w:hanging="720"/>
        <w:rPr>
          <w:rFonts w:cstheme="minorHAnsi"/>
          <w:sz w:val="22"/>
          <w:szCs w:val="22"/>
          <w:lang w:val="en-NZ"/>
        </w:rPr>
      </w:pPr>
      <w:r w:rsidRPr="00EB39D6">
        <w:rPr>
          <w:rFonts w:cstheme="minorHAnsi"/>
          <w:sz w:val="22"/>
          <w:szCs w:val="22"/>
          <w:lang w:val="en-NZ"/>
        </w:rPr>
        <w:t>The majority of the small number of children aged 10-14 who offend are already involved with care and protection services. This means that raising the minimum age of criminal responsibility should not meaningfully increase the numbers of people being referred to care and protection services and will enable these children to be managed under one system, rather than two. However, recent research using Integrated Data Infrastructure (IDI) data on 48,989 children from their birth in 2000 until 30 June 2019, OT case files, and key stakeholder interviews found that existing systems are failing children who offend and that changes are needed across Government, not just in the youth justice system.</w:t>
      </w:r>
      <w:r w:rsidRPr="00EB39D6">
        <w:rPr>
          <w:rFonts w:cstheme="minorHAnsi"/>
          <w:sz w:val="22"/>
          <w:szCs w:val="22"/>
          <w:vertAlign w:val="superscript"/>
          <w:lang w:val="en-NZ"/>
        </w:rPr>
        <w:footnoteReference w:id="442"/>
      </w:r>
      <w:r w:rsidRPr="00EB39D6">
        <w:rPr>
          <w:rFonts w:cstheme="minorHAnsi"/>
          <w:sz w:val="22"/>
          <w:szCs w:val="22"/>
          <w:lang w:val="en-NZ"/>
        </w:rPr>
        <w:t xml:space="preserve">  </w:t>
      </w:r>
    </w:p>
    <w:p w14:paraId="17FAFD18" w14:textId="77777777" w:rsidR="00883E15" w:rsidRDefault="00883E15" w:rsidP="00883E15">
      <w:pPr>
        <w:pStyle w:val="ListParagraph"/>
        <w:rPr>
          <w:rFonts w:cstheme="minorHAnsi"/>
          <w:sz w:val="22"/>
          <w:szCs w:val="22"/>
          <w:lang w:val="en-NZ"/>
        </w:rPr>
      </w:pPr>
    </w:p>
    <w:p w14:paraId="36AAEA5D" w14:textId="7CDF277E" w:rsidR="00EB39D6" w:rsidRPr="00EB39D6" w:rsidRDefault="00EB39D6" w:rsidP="00EB39D6">
      <w:pPr>
        <w:pStyle w:val="ListParagraph"/>
        <w:numPr>
          <w:ilvl w:val="0"/>
          <w:numId w:val="9"/>
        </w:numPr>
        <w:ind w:hanging="720"/>
        <w:rPr>
          <w:rFonts w:cstheme="minorHAnsi"/>
          <w:sz w:val="22"/>
          <w:szCs w:val="22"/>
          <w:lang w:val="en-NZ"/>
        </w:rPr>
      </w:pPr>
      <w:r w:rsidRPr="00EB39D6">
        <w:rPr>
          <w:rFonts w:cstheme="minorHAnsi"/>
          <w:sz w:val="22"/>
          <w:szCs w:val="22"/>
          <w:lang w:val="en-NZ"/>
        </w:rPr>
        <w:t>The researchers made an overarching recommendation for change that Government should develop a strategic plan and vision to:</w:t>
      </w:r>
    </w:p>
    <w:p w14:paraId="55EDB0B9" w14:textId="77777777" w:rsidR="00EB39D6" w:rsidRPr="00EB39D6" w:rsidRDefault="00EB39D6" w:rsidP="00EB39D6">
      <w:pPr>
        <w:pStyle w:val="ListParagraph"/>
        <w:rPr>
          <w:rFonts w:cstheme="minorHAnsi"/>
          <w:sz w:val="22"/>
          <w:szCs w:val="22"/>
          <w:lang w:val="en-NZ"/>
        </w:rPr>
      </w:pPr>
    </w:p>
    <w:p w14:paraId="1AA1993A" w14:textId="77777777" w:rsidR="00EB39D6" w:rsidRPr="00EB39D6" w:rsidRDefault="00EB39D6" w:rsidP="00EB39D6">
      <w:pPr>
        <w:pStyle w:val="ListParagraph"/>
        <w:rPr>
          <w:rFonts w:cstheme="minorHAnsi"/>
          <w:sz w:val="22"/>
          <w:szCs w:val="22"/>
          <w:lang w:val="en-NZ"/>
        </w:rPr>
      </w:pPr>
      <w:r w:rsidRPr="00EB39D6">
        <w:rPr>
          <w:rFonts w:cstheme="minorHAnsi"/>
          <w:sz w:val="22"/>
          <w:szCs w:val="22"/>
          <w:lang w:val="en-NZ"/>
        </w:rPr>
        <w:t xml:space="preserve">a) </w:t>
      </w:r>
      <w:r w:rsidRPr="00EB39D6">
        <w:rPr>
          <w:rFonts w:cstheme="minorHAnsi"/>
          <w:sz w:val="22"/>
          <w:szCs w:val="22"/>
          <w:lang w:val="en-NZ"/>
        </w:rPr>
        <w:tab/>
        <w:t>More effectively identify and address the needs of children (i.e., from birth to 14 years old) and families with significant child welfare concerns at the earliest opportunity.</w:t>
      </w:r>
    </w:p>
    <w:p w14:paraId="44800EC0" w14:textId="77777777" w:rsidR="00EB39D6" w:rsidRPr="00EB39D6" w:rsidRDefault="00EB39D6" w:rsidP="00EB39D6">
      <w:pPr>
        <w:pStyle w:val="ListParagraph"/>
        <w:rPr>
          <w:rFonts w:cstheme="minorHAnsi"/>
          <w:sz w:val="22"/>
          <w:szCs w:val="22"/>
          <w:lang w:val="en-NZ"/>
        </w:rPr>
      </w:pPr>
      <w:r w:rsidRPr="00EB39D6">
        <w:rPr>
          <w:rFonts w:cstheme="minorHAnsi"/>
          <w:sz w:val="22"/>
          <w:szCs w:val="22"/>
          <w:lang w:val="en-NZ"/>
        </w:rPr>
        <w:t xml:space="preserve">b) </w:t>
      </w:r>
      <w:r w:rsidRPr="00EB39D6">
        <w:rPr>
          <w:rFonts w:cstheme="minorHAnsi"/>
          <w:sz w:val="22"/>
          <w:szCs w:val="22"/>
          <w:lang w:val="en-NZ"/>
        </w:rPr>
        <w:tab/>
        <w:t>Better respond to the needs of those aged 10-13 years who have engaged in serious offending.</w:t>
      </w:r>
      <w:r w:rsidRPr="00EB39D6">
        <w:rPr>
          <w:rFonts w:cstheme="minorHAnsi"/>
          <w:sz w:val="22"/>
          <w:szCs w:val="22"/>
          <w:vertAlign w:val="superscript"/>
          <w:lang w:val="en-NZ"/>
        </w:rPr>
        <w:footnoteReference w:id="443"/>
      </w:r>
    </w:p>
    <w:p w14:paraId="7FC2BCEE" w14:textId="77777777" w:rsidR="00EB39D6" w:rsidRPr="00EB39D6" w:rsidRDefault="00EB39D6" w:rsidP="00EB39D6">
      <w:pPr>
        <w:pStyle w:val="ListParagraph"/>
        <w:rPr>
          <w:rFonts w:cstheme="minorHAnsi"/>
          <w:sz w:val="22"/>
          <w:szCs w:val="22"/>
          <w:lang w:val="en-NZ"/>
        </w:rPr>
      </w:pPr>
    </w:p>
    <w:p w14:paraId="4728DE71" w14:textId="4B661475" w:rsidR="00F14110" w:rsidRDefault="00EB39D6" w:rsidP="00EB39D6">
      <w:pPr>
        <w:pStyle w:val="ListParagraph"/>
        <w:numPr>
          <w:ilvl w:val="0"/>
          <w:numId w:val="9"/>
        </w:numPr>
        <w:ind w:hanging="720"/>
        <w:rPr>
          <w:rFonts w:cstheme="minorHAnsi"/>
          <w:sz w:val="22"/>
          <w:szCs w:val="22"/>
          <w:lang w:val="en-NZ"/>
        </w:rPr>
      </w:pPr>
      <w:r w:rsidRPr="00EB39D6">
        <w:rPr>
          <w:rFonts w:cstheme="minorHAnsi"/>
          <w:sz w:val="22"/>
          <w:szCs w:val="22"/>
          <w:lang w:val="en-NZ"/>
        </w:rPr>
        <w:t>We endorse this recommendation</w:t>
      </w:r>
      <w:r w:rsidR="00883E15">
        <w:rPr>
          <w:rFonts w:cstheme="minorHAnsi"/>
          <w:sz w:val="22"/>
          <w:szCs w:val="22"/>
          <w:lang w:val="en-NZ"/>
        </w:rPr>
        <w:t>,</w:t>
      </w:r>
      <w:r w:rsidRPr="00EB39D6">
        <w:rPr>
          <w:rFonts w:cstheme="minorHAnsi"/>
          <w:sz w:val="22"/>
          <w:szCs w:val="22"/>
          <w:lang w:val="en-NZ"/>
        </w:rPr>
        <w:t xml:space="preserve"> and the related recommendation to implement the recommendations of the Government’s WEAG.</w:t>
      </w:r>
      <w:r w:rsidRPr="00EB39D6">
        <w:rPr>
          <w:rFonts w:cstheme="minorHAnsi"/>
          <w:sz w:val="22"/>
          <w:szCs w:val="22"/>
          <w:vertAlign w:val="superscript"/>
          <w:lang w:val="en-NZ"/>
        </w:rPr>
        <w:footnoteReference w:id="444"/>
      </w:r>
    </w:p>
    <w:p w14:paraId="37A0B17F" w14:textId="77777777" w:rsidR="00525C59" w:rsidRDefault="00525C59" w:rsidP="00EB39D6">
      <w:pPr>
        <w:pStyle w:val="Heading2"/>
        <w:rPr>
          <w:lang w:val="mi-NZ"/>
        </w:rPr>
      </w:pPr>
    </w:p>
    <w:p w14:paraId="164B500A" w14:textId="36CED3D0" w:rsidR="00EB39D6" w:rsidRPr="00E7687D" w:rsidRDefault="00EB39D6" w:rsidP="00EB39D6">
      <w:pPr>
        <w:pStyle w:val="Heading2"/>
        <w:rPr>
          <w:lang w:val="mi-NZ"/>
        </w:rPr>
      </w:pPr>
      <w:bookmarkStart w:id="68" w:name="_Toc111485492"/>
      <w:r w:rsidRPr="00E7687D">
        <w:rPr>
          <w:lang w:val="mi-NZ"/>
        </w:rPr>
        <w:t>Including all 17-year-olds in the youth justice system</w:t>
      </w:r>
      <w:bookmarkEnd w:id="68"/>
    </w:p>
    <w:p w14:paraId="3C27E4D4" w14:textId="77777777" w:rsidR="00EB39D6" w:rsidRPr="00EB39D6" w:rsidRDefault="00EB39D6" w:rsidP="00EB39D6">
      <w:pPr>
        <w:rPr>
          <w:rFonts w:cstheme="minorHAnsi"/>
          <w:sz w:val="22"/>
          <w:szCs w:val="22"/>
          <w:lang w:val="en-NZ"/>
        </w:rPr>
      </w:pPr>
    </w:p>
    <w:p w14:paraId="4312D887" w14:textId="768BA3C1" w:rsidR="00EB39D6" w:rsidRPr="00EB39D6" w:rsidRDefault="00EB39D6" w:rsidP="00EB39D6">
      <w:pPr>
        <w:pStyle w:val="ListParagraph"/>
        <w:numPr>
          <w:ilvl w:val="0"/>
          <w:numId w:val="9"/>
        </w:numPr>
        <w:ind w:hanging="720"/>
        <w:rPr>
          <w:rFonts w:cstheme="minorHAnsi"/>
          <w:sz w:val="22"/>
          <w:szCs w:val="22"/>
          <w:lang w:val="en-NZ"/>
        </w:rPr>
      </w:pPr>
      <w:r w:rsidRPr="00EB39D6">
        <w:rPr>
          <w:rFonts w:cstheme="minorHAnsi"/>
          <w:sz w:val="22"/>
          <w:szCs w:val="22"/>
          <w:lang w:val="en-NZ"/>
        </w:rPr>
        <w:t>From 1 July 2019, the youth justice jurisdiction was expanded to include most 17-year-olds.</w:t>
      </w:r>
      <w:r w:rsidRPr="00EB39D6">
        <w:rPr>
          <w:rFonts w:cstheme="minorHAnsi"/>
          <w:sz w:val="22"/>
          <w:szCs w:val="22"/>
          <w:vertAlign w:val="superscript"/>
          <w:lang w:val="en-NZ"/>
        </w:rPr>
        <w:footnoteReference w:id="445"/>
      </w:r>
      <w:r w:rsidRPr="00EB39D6">
        <w:rPr>
          <w:rFonts w:cstheme="minorHAnsi"/>
          <w:sz w:val="22"/>
          <w:szCs w:val="22"/>
          <w:vertAlign w:val="superscript"/>
          <w:lang w:val="en-NZ"/>
        </w:rPr>
        <w:t xml:space="preserve"> </w:t>
      </w:r>
      <w:r w:rsidRPr="00EB39D6">
        <w:rPr>
          <w:rFonts w:cstheme="minorHAnsi"/>
          <w:sz w:val="22"/>
          <w:szCs w:val="22"/>
          <w:vertAlign w:val="superscript"/>
          <w:lang w:val="en-NZ"/>
        </w:rPr>
        <w:footnoteReference w:id="446"/>
      </w:r>
      <w:r w:rsidRPr="00EB39D6">
        <w:rPr>
          <w:rFonts w:cstheme="minorHAnsi"/>
          <w:sz w:val="22"/>
          <w:szCs w:val="22"/>
          <w:lang w:val="en-NZ"/>
        </w:rPr>
        <w:t xml:space="preserve"> However, there is an important exception: 17-year-olds charged with an offence listed in Schedule 1A of the </w:t>
      </w:r>
      <w:proofErr w:type="spellStart"/>
      <w:r w:rsidRPr="00EB39D6">
        <w:rPr>
          <w:rFonts w:cstheme="minorHAnsi"/>
          <w:sz w:val="22"/>
          <w:szCs w:val="22"/>
          <w:lang w:val="en-NZ"/>
        </w:rPr>
        <w:t>Oranga</w:t>
      </w:r>
      <w:proofErr w:type="spellEnd"/>
      <w:r w:rsidRPr="00EB39D6">
        <w:rPr>
          <w:rFonts w:cstheme="minorHAnsi"/>
          <w:sz w:val="22"/>
          <w:szCs w:val="22"/>
          <w:lang w:val="en-NZ"/>
        </w:rPr>
        <w:t xml:space="preserve"> Tamariki Act 1989 must be transferred from the Youth Court to the District or High Court at their first appearance.</w:t>
      </w:r>
      <w:r w:rsidRPr="00EB39D6">
        <w:rPr>
          <w:rFonts w:cstheme="minorHAnsi"/>
          <w:sz w:val="22"/>
          <w:szCs w:val="22"/>
          <w:vertAlign w:val="superscript"/>
          <w:lang w:val="en-NZ"/>
        </w:rPr>
        <w:footnoteReference w:id="447"/>
      </w:r>
      <w:r w:rsidRPr="00EB39D6">
        <w:rPr>
          <w:rFonts w:cstheme="minorHAnsi"/>
          <w:sz w:val="22"/>
          <w:szCs w:val="22"/>
          <w:lang w:val="en-NZ"/>
        </w:rPr>
        <w:t xml:space="preserve"> If the young person is facing additional charges, and the Youth Court determines they are related to a Schedule 1A offence, those charges will also be transferred to the adult jurisdiction.</w:t>
      </w:r>
    </w:p>
    <w:p w14:paraId="450999D8" w14:textId="77777777" w:rsidR="00EB39D6" w:rsidRPr="00EB39D6" w:rsidRDefault="00EB39D6" w:rsidP="00EB39D6">
      <w:pPr>
        <w:pStyle w:val="ListParagraph"/>
        <w:rPr>
          <w:rFonts w:cstheme="minorHAnsi"/>
          <w:sz w:val="22"/>
          <w:szCs w:val="22"/>
          <w:lang w:val="en-NZ"/>
        </w:rPr>
      </w:pPr>
    </w:p>
    <w:p w14:paraId="1C5FD567" w14:textId="77777777" w:rsidR="00EB39D6" w:rsidRPr="00EB39D6" w:rsidRDefault="00EB39D6" w:rsidP="00EB39D6">
      <w:pPr>
        <w:pStyle w:val="ListParagraph"/>
        <w:numPr>
          <w:ilvl w:val="0"/>
          <w:numId w:val="9"/>
        </w:numPr>
        <w:ind w:hanging="720"/>
        <w:rPr>
          <w:rFonts w:cstheme="minorHAnsi"/>
          <w:sz w:val="22"/>
          <w:szCs w:val="22"/>
          <w:lang w:val="mi-NZ"/>
        </w:rPr>
      </w:pPr>
      <w:r w:rsidRPr="00EB39D6">
        <w:rPr>
          <w:rFonts w:cstheme="minorHAnsi"/>
          <w:sz w:val="22"/>
          <w:szCs w:val="22"/>
          <w:lang w:val="en-NZ"/>
        </w:rPr>
        <w:t>The Ministry’s initial Regulatory Impact Statement proposed including all 17-year-olds within the youth justice system, with discretionary transfer for sentencing only where more intensive sentencing is required (imprisonment, home detention).</w:t>
      </w:r>
      <w:r w:rsidRPr="00EB39D6">
        <w:rPr>
          <w:rFonts w:cstheme="minorHAnsi"/>
          <w:sz w:val="22"/>
          <w:szCs w:val="22"/>
          <w:vertAlign w:val="superscript"/>
          <w:lang w:val="en-NZ"/>
        </w:rPr>
        <w:footnoteReference w:id="448"/>
      </w:r>
      <w:r w:rsidRPr="00EB39D6">
        <w:rPr>
          <w:rFonts w:cstheme="minorHAnsi"/>
          <w:sz w:val="22"/>
          <w:szCs w:val="22"/>
          <w:lang w:val="en-NZ"/>
        </w:rPr>
        <w:t xml:space="preserve"> However, the Cabinet Social Policy Committee (SOC), now the Cabinet Social Wellbeing Committee (SWC), requested proposals generating a greater distinction between 17-year-olds and other young people, particularly for 17-year-olds who are serious and recidivist </w:t>
      </w:r>
      <w:r w:rsidRPr="00EB39D6">
        <w:rPr>
          <w:rFonts w:cstheme="minorHAnsi"/>
          <w:sz w:val="22"/>
          <w:szCs w:val="22"/>
          <w:lang w:val="en-NZ"/>
        </w:rPr>
        <w:lastRenderedPageBreak/>
        <w:t>offenders.</w:t>
      </w:r>
      <w:r w:rsidRPr="00EB39D6">
        <w:rPr>
          <w:rFonts w:cstheme="minorHAnsi"/>
          <w:sz w:val="22"/>
          <w:szCs w:val="22"/>
          <w:vertAlign w:val="superscript"/>
          <w:lang w:val="en-NZ"/>
        </w:rPr>
        <w:footnoteReference w:id="449"/>
      </w:r>
      <w:r w:rsidRPr="00EB39D6">
        <w:rPr>
          <w:rFonts w:cstheme="minorHAnsi"/>
          <w:sz w:val="22"/>
          <w:szCs w:val="22"/>
          <w:lang w:val="en-NZ"/>
        </w:rPr>
        <w:t xml:space="preserve"> This resulted in the proposal changing to that ultimately implemented by the Children, Young Persons, and Their Families (</w:t>
      </w:r>
      <w:proofErr w:type="spellStart"/>
      <w:r w:rsidRPr="00EB39D6">
        <w:rPr>
          <w:rFonts w:cstheme="minorHAnsi"/>
          <w:sz w:val="22"/>
          <w:szCs w:val="22"/>
          <w:lang w:val="en-NZ"/>
        </w:rPr>
        <w:t>Oranga</w:t>
      </w:r>
      <w:proofErr w:type="spellEnd"/>
      <w:r w:rsidRPr="00EB39D6">
        <w:rPr>
          <w:rFonts w:cstheme="minorHAnsi"/>
          <w:sz w:val="22"/>
          <w:szCs w:val="22"/>
          <w:lang w:val="en-NZ"/>
        </w:rPr>
        <w:t xml:space="preserve"> Tamariki) Legislation Act 2017. </w:t>
      </w:r>
    </w:p>
    <w:p w14:paraId="238A9368" w14:textId="77777777" w:rsidR="00EB39D6" w:rsidRPr="00EB39D6" w:rsidRDefault="00EB39D6" w:rsidP="00EB39D6">
      <w:pPr>
        <w:pStyle w:val="ListParagraph"/>
        <w:rPr>
          <w:rFonts w:cstheme="minorHAnsi"/>
          <w:sz w:val="22"/>
          <w:szCs w:val="22"/>
          <w:lang w:val="mi-NZ"/>
        </w:rPr>
      </w:pPr>
    </w:p>
    <w:p w14:paraId="1645BF18" w14:textId="675BDDF4" w:rsidR="00EB39D6" w:rsidRPr="00EB39D6" w:rsidRDefault="00EB39D6" w:rsidP="00EB39D6">
      <w:pPr>
        <w:pStyle w:val="ListParagraph"/>
        <w:numPr>
          <w:ilvl w:val="0"/>
          <w:numId w:val="9"/>
        </w:numPr>
        <w:ind w:hanging="720"/>
        <w:rPr>
          <w:rFonts w:cstheme="minorHAnsi"/>
          <w:sz w:val="22"/>
          <w:szCs w:val="22"/>
          <w:lang w:val="en-NZ"/>
        </w:rPr>
      </w:pPr>
      <w:r w:rsidRPr="00EB39D6">
        <w:rPr>
          <w:rFonts w:cstheme="minorHAnsi"/>
          <w:sz w:val="22"/>
          <w:szCs w:val="22"/>
          <w:lang w:val="en-NZ"/>
        </w:rPr>
        <w:t>There is limited publicly available data on how many 17-year-olds have been prosecuted in the adult jurisdiction since the amendment Act came into effect. According to Statistics New Zealand, around 78 were convicted and sentenced in the adult jurisdiction in 2020, and around 51 in 2021.</w:t>
      </w:r>
      <w:r w:rsidRPr="00EB39D6">
        <w:rPr>
          <w:rFonts w:cstheme="minorHAnsi"/>
          <w:sz w:val="22"/>
          <w:szCs w:val="22"/>
          <w:vertAlign w:val="superscript"/>
          <w:lang w:val="en-NZ"/>
        </w:rPr>
        <w:footnoteReference w:id="450"/>
      </w:r>
      <w:r w:rsidRPr="00EB39D6">
        <w:rPr>
          <w:rFonts w:cstheme="minorHAnsi"/>
          <w:sz w:val="22"/>
          <w:szCs w:val="22"/>
          <w:lang w:val="en-NZ"/>
        </w:rPr>
        <w:t xml:space="preserve"> However, COVID-related court delays may mean these figures </w:t>
      </w:r>
      <w:r w:rsidR="00D81496">
        <w:rPr>
          <w:rFonts w:cstheme="minorHAnsi"/>
          <w:sz w:val="22"/>
          <w:szCs w:val="22"/>
          <w:lang w:val="en-NZ"/>
        </w:rPr>
        <w:t>do</w:t>
      </w:r>
      <w:r w:rsidRPr="00EB39D6">
        <w:rPr>
          <w:rFonts w:cstheme="minorHAnsi"/>
          <w:sz w:val="22"/>
          <w:szCs w:val="22"/>
          <w:lang w:val="en-NZ"/>
        </w:rPr>
        <w:t xml:space="preserve"> not accurately reflect the true impact of these changes.</w:t>
      </w:r>
      <w:r w:rsidRPr="00EB39D6">
        <w:rPr>
          <w:rFonts w:cstheme="minorHAnsi"/>
          <w:sz w:val="22"/>
          <w:szCs w:val="22"/>
          <w:vertAlign w:val="superscript"/>
          <w:lang w:val="en-NZ"/>
        </w:rPr>
        <w:footnoteReference w:id="451"/>
      </w:r>
    </w:p>
    <w:p w14:paraId="0CC0CC0C" w14:textId="77777777" w:rsidR="00EB39D6" w:rsidRPr="00EB39D6" w:rsidRDefault="00EB39D6" w:rsidP="00EB39D6">
      <w:pPr>
        <w:pStyle w:val="ListParagraph"/>
        <w:rPr>
          <w:rFonts w:cstheme="minorHAnsi"/>
          <w:sz w:val="22"/>
          <w:szCs w:val="22"/>
          <w:lang w:val="mi-NZ"/>
        </w:rPr>
      </w:pPr>
    </w:p>
    <w:p w14:paraId="5B60910B" w14:textId="77777777" w:rsidR="00EB39D6" w:rsidRPr="00EB39D6" w:rsidRDefault="00EB39D6" w:rsidP="00EB39D6">
      <w:pPr>
        <w:pStyle w:val="ListParagraph"/>
        <w:numPr>
          <w:ilvl w:val="0"/>
          <w:numId w:val="9"/>
        </w:numPr>
        <w:ind w:hanging="720"/>
        <w:rPr>
          <w:rFonts w:cstheme="minorHAnsi"/>
          <w:sz w:val="22"/>
          <w:szCs w:val="22"/>
          <w:lang w:val="mi-NZ"/>
        </w:rPr>
      </w:pPr>
      <w:r w:rsidRPr="00EB39D6">
        <w:rPr>
          <w:rFonts w:cstheme="minorHAnsi"/>
          <w:sz w:val="22"/>
          <w:szCs w:val="22"/>
          <w:lang w:val="mi-NZ"/>
        </w:rPr>
        <w:t>There are many reasons to raise the age of criminal majority and include those under 17 in the youth justice system, as recommended in the Committee’s 2016 concluding observations.</w:t>
      </w:r>
      <w:r w:rsidRPr="00EB39D6">
        <w:rPr>
          <w:rFonts w:cstheme="minorHAnsi"/>
          <w:sz w:val="22"/>
          <w:szCs w:val="22"/>
          <w:vertAlign w:val="superscript"/>
          <w:lang w:val="mi-NZ"/>
        </w:rPr>
        <w:footnoteReference w:id="452"/>
      </w:r>
      <w:r w:rsidRPr="00EB39D6">
        <w:rPr>
          <w:rFonts w:cstheme="minorHAnsi"/>
          <w:sz w:val="22"/>
          <w:szCs w:val="22"/>
          <w:lang w:val="mi-NZ"/>
        </w:rPr>
        <w:t xml:space="preserve">  </w:t>
      </w:r>
      <w:r w:rsidRPr="00EB39D6">
        <w:rPr>
          <w:rFonts w:cstheme="minorHAnsi"/>
          <w:sz w:val="22"/>
          <w:szCs w:val="22"/>
          <w:lang w:val="en-NZ"/>
        </w:rPr>
        <w:t>In the Aotearoa context, any decision on the jurisdictional boundaries of the Youth Court, and any negative flow-on effects, have the potential to disproportionately affect Māori who are already over-represented in the youth and criminal justice systems.</w:t>
      </w:r>
    </w:p>
    <w:p w14:paraId="22A9450A" w14:textId="77777777" w:rsidR="00EB39D6" w:rsidRPr="00EB39D6" w:rsidRDefault="00EB39D6" w:rsidP="00EB39D6">
      <w:pPr>
        <w:pStyle w:val="ListParagraph"/>
        <w:rPr>
          <w:rFonts w:cstheme="minorHAnsi"/>
          <w:sz w:val="22"/>
          <w:szCs w:val="22"/>
          <w:lang w:val="mi-NZ"/>
        </w:rPr>
      </w:pPr>
    </w:p>
    <w:p w14:paraId="52CA55A4" w14:textId="77777777" w:rsidR="00EB39D6" w:rsidRPr="00EB39D6" w:rsidRDefault="00EB39D6" w:rsidP="00EB39D6">
      <w:pPr>
        <w:pStyle w:val="ListParagraph"/>
        <w:numPr>
          <w:ilvl w:val="0"/>
          <w:numId w:val="9"/>
        </w:numPr>
        <w:ind w:hanging="720"/>
        <w:rPr>
          <w:rFonts w:cstheme="minorHAnsi"/>
          <w:sz w:val="22"/>
          <w:szCs w:val="22"/>
          <w:lang w:val="en-NZ"/>
        </w:rPr>
      </w:pPr>
      <w:r w:rsidRPr="00EB39D6">
        <w:rPr>
          <w:rFonts w:cstheme="minorHAnsi"/>
          <w:sz w:val="22"/>
          <w:szCs w:val="22"/>
          <w:lang w:val="en-NZ"/>
        </w:rPr>
        <w:t xml:space="preserve">Moving Māori and Pacific youth into the adult jurisdiction also prevents their involvement in the </w:t>
      </w:r>
      <w:proofErr w:type="spellStart"/>
      <w:r w:rsidRPr="00EB39D6">
        <w:rPr>
          <w:rFonts w:cstheme="minorHAnsi"/>
          <w:sz w:val="22"/>
          <w:szCs w:val="22"/>
          <w:lang w:val="en-NZ"/>
        </w:rPr>
        <w:t>Rangatahi</w:t>
      </w:r>
      <w:proofErr w:type="spellEnd"/>
      <w:r w:rsidRPr="00EB39D6">
        <w:rPr>
          <w:rFonts w:cstheme="minorHAnsi"/>
          <w:sz w:val="22"/>
          <w:szCs w:val="22"/>
          <w:lang w:val="en-NZ"/>
        </w:rPr>
        <w:t xml:space="preserve"> and Pasifika Courts</w:t>
      </w:r>
      <w:bookmarkStart w:id="69" w:name="_Int_ZEdzL0VJ"/>
      <w:r w:rsidRPr="00EB39D6">
        <w:rPr>
          <w:rFonts w:cstheme="minorHAnsi"/>
          <w:sz w:val="22"/>
          <w:szCs w:val="22"/>
          <w:lang w:val="en-NZ"/>
        </w:rPr>
        <w:t>.</w:t>
      </w:r>
      <w:r w:rsidRPr="00EB39D6">
        <w:rPr>
          <w:rFonts w:cstheme="minorHAnsi"/>
          <w:sz w:val="22"/>
          <w:szCs w:val="22"/>
          <w:vertAlign w:val="superscript"/>
          <w:lang w:val="mi-NZ"/>
        </w:rPr>
        <w:footnoteReference w:id="453"/>
      </w:r>
      <w:r w:rsidRPr="00EB39D6">
        <w:rPr>
          <w:rFonts w:cstheme="minorHAnsi"/>
          <w:sz w:val="22"/>
          <w:szCs w:val="22"/>
          <w:lang w:val="mi-NZ"/>
        </w:rPr>
        <w:t xml:space="preserve"> </w:t>
      </w:r>
      <w:bookmarkEnd w:id="69"/>
      <w:r w:rsidRPr="00EB39D6">
        <w:rPr>
          <w:rFonts w:cstheme="minorHAnsi"/>
          <w:sz w:val="22"/>
          <w:szCs w:val="22"/>
          <w:lang w:val="en-NZ"/>
        </w:rPr>
        <w:t xml:space="preserve">Ministry of Justice data indicates that young people who attended </w:t>
      </w:r>
      <w:proofErr w:type="spellStart"/>
      <w:r w:rsidRPr="00EB39D6">
        <w:rPr>
          <w:rFonts w:cstheme="minorHAnsi"/>
          <w:sz w:val="22"/>
          <w:szCs w:val="22"/>
          <w:lang w:val="en-NZ"/>
        </w:rPr>
        <w:t>Rangatahi</w:t>
      </w:r>
      <w:proofErr w:type="spellEnd"/>
      <w:r w:rsidRPr="00EB39D6">
        <w:rPr>
          <w:rFonts w:cstheme="minorHAnsi"/>
          <w:sz w:val="22"/>
          <w:szCs w:val="22"/>
          <w:lang w:val="en-NZ"/>
        </w:rPr>
        <w:t xml:space="preserve"> Courts committed 14% fewer offences, and were 11% less likely to commit a new serious offence in the following year, than comparable youth.</w:t>
      </w:r>
      <w:r w:rsidRPr="00EB39D6">
        <w:rPr>
          <w:rFonts w:cstheme="minorHAnsi"/>
          <w:sz w:val="22"/>
          <w:szCs w:val="22"/>
          <w:vertAlign w:val="superscript"/>
          <w:lang w:val="en-NZ"/>
        </w:rPr>
        <w:footnoteReference w:id="454"/>
      </w:r>
      <w:r w:rsidRPr="00EB39D6">
        <w:rPr>
          <w:rFonts w:cstheme="minorHAnsi"/>
          <w:sz w:val="22"/>
          <w:szCs w:val="22"/>
          <w:lang w:val="en-NZ"/>
        </w:rPr>
        <w:t xml:space="preserve"> However, there is no comparable Marae-based criminal court in the adult jurisdiction, so these benefits are lost for any Māori youth transferred into the adult jurisdiction.</w:t>
      </w:r>
    </w:p>
    <w:p w14:paraId="05EA68D3" w14:textId="1FBF3CBC" w:rsidR="00F14110" w:rsidRDefault="00F14110" w:rsidP="00B06566">
      <w:pPr>
        <w:rPr>
          <w:rFonts w:cstheme="minorHAnsi"/>
          <w:sz w:val="22"/>
          <w:szCs w:val="22"/>
          <w:lang w:val="mi-NZ"/>
        </w:rPr>
      </w:pPr>
    </w:p>
    <w:p w14:paraId="0689BB36" w14:textId="39720434" w:rsidR="00B06566" w:rsidRPr="00E814C7" w:rsidRDefault="00B06566" w:rsidP="00E814C7">
      <w:pPr>
        <w:pStyle w:val="Heading2"/>
        <w:rPr>
          <w:lang w:val="mi-NZ"/>
        </w:rPr>
      </w:pPr>
      <w:bookmarkStart w:id="70" w:name="_Toc111485493"/>
      <w:r w:rsidRPr="00E7687D">
        <w:rPr>
          <w:lang w:val="mi-NZ"/>
        </w:rPr>
        <w:t>Age-mixing in places of detention</w:t>
      </w:r>
      <w:bookmarkEnd w:id="70"/>
    </w:p>
    <w:p w14:paraId="45EF6A4E" w14:textId="77777777" w:rsidR="00E814C7" w:rsidRDefault="00E814C7" w:rsidP="00E814C7">
      <w:pPr>
        <w:pStyle w:val="ListParagraph"/>
        <w:rPr>
          <w:rFonts w:cstheme="minorHAnsi"/>
          <w:sz w:val="22"/>
          <w:szCs w:val="22"/>
        </w:rPr>
      </w:pPr>
    </w:p>
    <w:p w14:paraId="312D5FB7" w14:textId="309B0369" w:rsidR="00B06566" w:rsidRPr="00E814C7" w:rsidRDefault="00B06566" w:rsidP="00B06566">
      <w:pPr>
        <w:pStyle w:val="ListParagraph"/>
        <w:numPr>
          <w:ilvl w:val="0"/>
          <w:numId w:val="9"/>
        </w:numPr>
        <w:ind w:hanging="720"/>
        <w:rPr>
          <w:rFonts w:cstheme="minorHAnsi"/>
          <w:sz w:val="22"/>
          <w:szCs w:val="22"/>
        </w:rPr>
      </w:pPr>
      <w:r w:rsidRPr="00B06566">
        <w:rPr>
          <w:rFonts w:cstheme="minorHAnsi"/>
          <w:sz w:val="22"/>
          <w:szCs w:val="22"/>
        </w:rPr>
        <w:t xml:space="preserve">There are several circumstances where children can potentially be detained with adults, including within the corrections system, mental health system and immigration facilities. </w:t>
      </w:r>
    </w:p>
    <w:p w14:paraId="34BDCDD1" w14:textId="77777777" w:rsidR="00B06566" w:rsidRPr="00B06566" w:rsidRDefault="00B06566" w:rsidP="00B06566">
      <w:pPr>
        <w:pStyle w:val="ListParagraph"/>
        <w:numPr>
          <w:ilvl w:val="0"/>
          <w:numId w:val="9"/>
        </w:numPr>
        <w:ind w:hanging="720"/>
        <w:rPr>
          <w:rFonts w:cstheme="minorHAnsi"/>
          <w:sz w:val="22"/>
          <w:szCs w:val="22"/>
        </w:rPr>
      </w:pPr>
      <w:r w:rsidRPr="00B06566">
        <w:rPr>
          <w:rFonts w:cstheme="minorHAnsi"/>
          <w:sz w:val="22"/>
          <w:szCs w:val="22"/>
        </w:rPr>
        <w:lastRenderedPageBreak/>
        <w:t>Withdrawing the reservation on age-mixing would help ensure that, when a child is detained, their best interests are a primary consideration and not limited by financial or resource constraints, such as the availability of suitable facilities.</w:t>
      </w:r>
    </w:p>
    <w:p w14:paraId="708D98B3" w14:textId="77777777" w:rsidR="00B06566" w:rsidRPr="00B06566" w:rsidRDefault="00B06566" w:rsidP="00B06566">
      <w:pPr>
        <w:pStyle w:val="ListParagraph"/>
        <w:rPr>
          <w:rFonts w:cstheme="minorHAnsi"/>
          <w:sz w:val="22"/>
          <w:szCs w:val="22"/>
        </w:rPr>
      </w:pPr>
    </w:p>
    <w:p w14:paraId="0327F9B3" w14:textId="77777777" w:rsidR="00B06566" w:rsidRPr="00B06566" w:rsidRDefault="00B06566" w:rsidP="00B06566">
      <w:pPr>
        <w:pStyle w:val="ListParagraph"/>
        <w:numPr>
          <w:ilvl w:val="0"/>
          <w:numId w:val="9"/>
        </w:numPr>
        <w:ind w:hanging="720"/>
        <w:rPr>
          <w:rFonts w:cstheme="minorHAnsi"/>
          <w:sz w:val="22"/>
          <w:szCs w:val="22"/>
        </w:rPr>
      </w:pPr>
      <w:r w:rsidRPr="00B06566">
        <w:rPr>
          <w:rFonts w:cstheme="minorHAnsi"/>
          <w:sz w:val="22"/>
          <w:szCs w:val="22"/>
        </w:rPr>
        <w:t>Recent changes to include 17-year-olds in the Youth Justice system (from 1 July 2019) mean there are now fewer 17-year-olds in the adult corrections system.</w:t>
      </w:r>
    </w:p>
    <w:p w14:paraId="2FA30672" w14:textId="77777777" w:rsidR="00B06566" w:rsidRPr="00B06566" w:rsidRDefault="00B06566" w:rsidP="00B06566">
      <w:pPr>
        <w:pStyle w:val="ListParagraph"/>
        <w:rPr>
          <w:rFonts w:cstheme="minorHAnsi"/>
          <w:sz w:val="22"/>
          <w:szCs w:val="22"/>
        </w:rPr>
      </w:pPr>
    </w:p>
    <w:p w14:paraId="1C3B02A9" w14:textId="77777777" w:rsidR="00B06566" w:rsidRPr="00B06566" w:rsidRDefault="00B06566" w:rsidP="00B06566">
      <w:pPr>
        <w:pStyle w:val="ListParagraph"/>
        <w:numPr>
          <w:ilvl w:val="0"/>
          <w:numId w:val="9"/>
        </w:numPr>
        <w:ind w:hanging="720"/>
        <w:rPr>
          <w:rFonts w:cstheme="minorHAnsi"/>
          <w:sz w:val="22"/>
          <w:szCs w:val="22"/>
        </w:rPr>
      </w:pPr>
      <w:r w:rsidRPr="00B06566">
        <w:rPr>
          <w:rFonts w:cstheme="minorHAnsi"/>
          <w:sz w:val="22"/>
          <w:szCs w:val="22"/>
        </w:rPr>
        <w:t xml:space="preserve">In male prisons, Youth Units are not restricted to offenders aged under 18 and some contain young adult male prisoners aged 18 and 19. Because there are no Youth Units in women’s prisons, all young women under 18 in the adult prison system must mix with adult prisoners. The low number of under-18-year-olds in the adult justice system means that, in both male and female facilities, mixing with adults does occur when it </w:t>
      </w:r>
      <w:proofErr w:type="gramStart"/>
      <w:r w:rsidRPr="00B06566">
        <w:rPr>
          <w:rFonts w:cstheme="minorHAnsi"/>
          <w:sz w:val="22"/>
          <w:szCs w:val="22"/>
        </w:rPr>
        <w:t>is considered to be</w:t>
      </w:r>
      <w:proofErr w:type="gramEnd"/>
      <w:r w:rsidRPr="00B06566">
        <w:rPr>
          <w:rFonts w:cstheme="minorHAnsi"/>
          <w:sz w:val="22"/>
          <w:szCs w:val="22"/>
        </w:rPr>
        <w:t xml:space="preserve"> in the offender’s best interests because it prevents isolation. Male under-18-year-olds are mixed with 18- and 19-year-olds in Youth Units, when it is </w:t>
      </w:r>
      <w:proofErr w:type="gramStart"/>
      <w:r w:rsidRPr="00B06566">
        <w:rPr>
          <w:rFonts w:cstheme="minorHAnsi"/>
          <w:sz w:val="22"/>
          <w:szCs w:val="22"/>
        </w:rPr>
        <w:t>assessed</w:t>
      </w:r>
      <w:proofErr w:type="gramEnd"/>
      <w:r w:rsidRPr="00B06566">
        <w:rPr>
          <w:rFonts w:cstheme="minorHAnsi"/>
          <w:sz w:val="22"/>
          <w:szCs w:val="22"/>
        </w:rPr>
        <w:t xml:space="preserve"> there is no risk of harm to the under-18-year-old.</w:t>
      </w:r>
      <w:r w:rsidRPr="00B06566">
        <w:rPr>
          <w:rFonts w:cstheme="minorHAnsi"/>
          <w:sz w:val="22"/>
          <w:szCs w:val="22"/>
          <w:vertAlign w:val="superscript"/>
        </w:rPr>
        <w:footnoteReference w:id="455"/>
      </w:r>
    </w:p>
    <w:p w14:paraId="1EE1BD33" w14:textId="77777777" w:rsidR="00B06566" w:rsidRPr="00B06566" w:rsidRDefault="00B06566" w:rsidP="00B06566">
      <w:pPr>
        <w:pStyle w:val="ListParagraph"/>
        <w:rPr>
          <w:rFonts w:cstheme="minorHAnsi"/>
          <w:sz w:val="22"/>
          <w:szCs w:val="22"/>
          <w:lang w:val="mi-NZ"/>
        </w:rPr>
      </w:pPr>
    </w:p>
    <w:p w14:paraId="55242305" w14:textId="77777777" w:rsidR="00B06566" w:rsidRPr="00B06566" w:rsidRDefault="00B06566" w:rsidP="00B06566">
      <w:pPr>
        <w:pStyle w:val="ListParagraph"/>
        <w:numPr>
          <w:ilvl w:val="0"/>
          <w:numId w:val="9"/>
        </w:numPr>
        <w:ind w:hanging="720"/>
        <w:rPr>
          <w:rFonts w:cstheme="minorHAnsi"/>
          <w:sz w:val="22"/>
          <w:szCs w:val="22"/>
          <w:lang w:val="mi-NZ"/>
        </w:rPr>
      </w:pPr>
      <w:r w:rsidRPr="00B06566">
        <w:rPr>
          <w:rFonts w:cstheme="minorHAnsi"/>
          <w:sz w:val="22"/>
          <w:szCs w:val="22"/>
          <w:lang w:val="mi-NZ"/>
        </w:rPr>
        <w:t>Recently, six young prisoners, including one 17-year-old, climbed onto the roof at a prison Youth Unit in protest and spent the night there in sub-zero conditions. This incident highlights the risks associated with young people being held in prisons, especially with older prisoners.</w:t>
      </w:r>
      <w:r w:rsidRPr="00B06566">
        <w:rPr>
          <w:rFonts w:cstheme="minorHAnsi"/>
          <w:sz w:val="22"/>
          <w:szCs w:val="22"/>
          <w:vertAlign w:val="superscript"/>
          <w:lang w:val="mi-NZ"/>
        </w:rPr>
        <w:footnoteReference w:id="456"/>
      </w:r>
    </w:p>
    <w:p w14:paraId="7E5A2298" w14:textId="77777777" w:rsidR="004D631E" w:rsidRDefault="004D631E" w:rsidP="00B06566">
      <w:pPr>
        <w:pStyle w:val="Heading2"/>
        <w:rPr>
          <w:lang w:val="mi-NZ"/>
        </w:rPr>
      </w:pPr>
    </w:p>
    <w:p w14:paraId="2469AE08" w14:textId="3849B2B9" w:rsidR="00B06566" w:rsidRPr="00E7687D" w:rsidRDefault="00B06566" w:rsidP="00B06566">
      <w:pPr>
        <w:pStyle w:val="Heading2"/>
        <w:rPr>
          <w:lang w:val="mi-NZ"/>
        </w:rPr>
      </w:pPr>
      <w:bookmarkStart w:id="71" w:name="_Toc111485494"/>
      <w:r>
        <w:rPr>
          <w:lang w:val="mi-NZ"/>
        </w:rPr>
        <w:t>Disabled c</w:t>
      </w:r>
      <w:r w:rsidRPr="00E7687D">
        <w:rPr>
          <w:lang w:val="mi-NZ"/>
        </w:rPr>
        <w:t>hildren and young people in the youth justice system</w:t>
      </w:r>
      <w:bookmarkEnd w:id="71"/>
    </w:p>
    <w:p w14:paraId="26EE70CA" w14:textId="77777777" w:rsidR="00B06566" w:rsidRPr="00B06566" w:rsidRDefault="00B06566" w:rsidP="00B06566">
      <w:pPr>
        <w:rPr>
          <w:rFonts w:cstheme="minorHAnsi"/>
          <w:sz w:val="22"/>
          <w:szCs w:val="22"/>
          <w:lang w:val="mi-NZ"/>
        </w:rPr>
      </w:pPr>
    </w:p>
    <w:p w14:paraId="6F1635E9" w14:textId="53476C12" w:rsidR="00B06566" w:rsidRPr="00B06566" w:rsidRDefault="00B06566" w:rsidP="00B06566">
      <w:pPr>
        <w:pStyle w:val="ListParagraph"/>
        <w:numPr>
          <w:ilvl w:val="0"/>
          <w:numId w:val="9"/>
        </w:numPr>
        <w:ind w:hanging="720"/>
        <w:rPr>
          <w:rFonts w:cstheme="minorHAnsi"/>
          <w:sz w:val="22"/>
          <w:szCs w:val="22"/>
          <w:lang w:val="mi-NZ"/>
        </w:rPr>
      </w:pPr>
      <w:r w:rsidRPr="00B06566">
        <w:rPr>
          <w:rFonts w:cstheme="minorHAnsi"/>
          <w:sz w:val="22"/>
          <w:szCs w:val="22"/>
          <w:lang w:val="mi-NZ"/>
        </w:rPr>
        <w:t>Recent Youth Court decisions have called attention to the many ways that Aotearoa fails disabled children who are involved in the youth justice system. For example:</w:t>
      </w:r>
    </w:p>
    <w:p w14:paraId="421F307E" w14:textId="77777777" w:rsidR="00B06566" w:rsidRPr="00B06566" w:rsidRDefault="00B06566" w:rsidP="00B06566">
      <w:pPr>
        <w:pStyle w:val="ListParagraph"/>
        <w:rPr>
          <w:rFonts w:cstheme="minorHAnsi"/>
          <w:sz w:val="22"/>
          <w:szCs w:val="22"/>
        </w:rPr>
      </w:pPr>
    </w:p>
    <w:p w14:paraId="41942D90" w14:textId="62EE14AE" w:rsidR="00B06566" w:rsidRPr="00B06566" w:rsidRDefault="00B06566" w:rsidP="00B06566">
      <w:pPr>
        <w:pStyle w:val="ListParagraph"/>
        <w:rPr>
          <w:rFonts w:cstheme="minorHAnsi"/>
          <w:sz w:val="22"/>
          <w:szCs w:val="22"/>
          <w:lang w:val="en-NZ"/>
        </w:rPr>
      </w:pPr>
      <w:r w:rsidRPr="00B06566">
        <w:rPr>
          <w:rFonts w:cstheme="minorHAnsi"/>
          <w:i/>
          <w:sz w:val="22"/>
          <w:szCs w:val="22"/>
          <w:lang w:val="en-NZ"/>
        </w:rPr>
        <w:t>[T]here have been breaches of [HN]’s rights on account of his disability, both under the CRC and the CRPD. Three significant ways in particular in which that has happened, common to most cases of young people in the Youth Justice system who have a disability, are the lack of access to appropriate supports and services, the often long-term detention in Youth Justice facilities, as well as significant delays in resolving the proceedings</w:t>
      </w:r>
      <w:r w:rsidRPr="00B06566">
        <w:rPr>
          <w:rFonts w:cstheme="minorHAnsi"/>
          <w:sz w:val="22"/>
          <w:szCs w:val="22"/>
          <w:lang w:val="en-NZ"/>
        </w:rPr>
        <w:t>.</w:t>
      </w:r>
      <w:r w:rsidRPr="00B06566">
        <w:rPr>
          <w:rFonts w:cstheme="minorHAnsi"/>
          <w:sz w:val="22"/>
          <w:szCs w:val="22"/>
          <w:vertAlign w:val="superscript"/>
          <w:lang w:val="mi-NZ"/>
        </w:rPr>
        <w:footnoteReference w:id="457"/>
      </w:r>
      <w:r w:rsidRPr="00B06566">
        <w:rPr>
          <w:rFonts w:cstheme="minorHAnsi"/>
          <w:sz w:val="22"/>
          <w:szCs w:val="22"/>
          <w:lang w:val="en-NZ"/>
        </w:rPr>
        <w:t xml:space="preserve"> </w:t>
      </w:r>
    </w:p>
    <w:p w14:paraId="6CA4B458" w14:textId="77777777" w:rsidR="00B06566" w:rsidRPr="00B06566" w:rsidRDefault="00B06566" w:rsidP="00B06566">
      <w:pPr>
        <w:pStyle w:val="ListParagraph"/>
        <w:rPr>
          <w:rFonts w:cstheme="minorHAnsi"/>
          <w:sz w:val="22"/>
          <w:szCs w:val="22"/>
          <w:lang w:val="mi-NZ"/>
        </w:rPr>
      </w:pPr>
    </w:p>
    <w:p w14:paraId="05A7754E" w14:textId="77777777" w:rsidR="00B06566" w:rsidRPr="00B06566" w:rsidRDefault="00B06566" w:rsidP="00B06566">
      <w:pPr>
        <w:pStyle w:val="ListParagraph"/>
        <w:numPr>
          <w:ilvl w:val="0"/>
          <w:numId w:val="9"/>
        </w:numPr>
        <w:ind w:hanging="720"/>
        <w:rPr>
          <w:rFonts w:cstheme="minorHAnsi"/>
          <w:sz w:val="22"/>
          <w:szCs w:val="22"/>
          <w:lang w:val="mi-NZ"/>
        </w:rPr>
      </w:pPr>
      <w:r w:rsidRPr="00B06566">
        <w:rPr>
          <w:rFonts w:cstheme="minorHAnsi"/>
          <w:sz w:val="22"/>
          <w:szCs w:val="22"/>
          <w:lang w:val="mi-NZ"/>
        </w:rPr>
        <w:lastRenderedPageBreak/>
        <w:t xml:space="preserve">As the Committee recognised in General Comment No. 24, many of these children should not be in the youth justice system at all. </w:t>
      </w:r>
    </w:p>
    <w:p w14:paraId="044BE304" w14:textId="2FC857FB" w:rsidR="00B06566" w:rsidRDefault="00B06566" w:rsidP="00B06566">
      <w:pPr>
        <w:rPr>
          <w:rFonts w:cstheme="minorHAnsi"/>
          <w:sz w:val="22"/>
          <w:szCs w:val="22"/>
          <w:lang w:val="mi-NZ"/>
        </w:rPr>
      </w:pPr>
    </w:p>
    <w:p w14:paraId="4B5B727A" w14:textId="77777777" w:rsidR="00B06566" w:rsidRPr="00E7687D" w:rsidRDefault="00B06566" w:rsidP="00B06566">
      <w:pPr>
        <w:pStyle w:val="Heading2"/>
        <w:rPr>
          <w:lang w:val="mi-NZ"/>
        </w:rPr>
      </w:pPr>
      <w:bookmarkStart w:id="72" w:name="_Toc111485495"/>
      <w:r w:rsidRPr="00E7687D">
        <w:rPr>
          <w:lang w:val="mi-NZ"/>
        </w:rPr>
        <w:t>Detention in Police cells</w:t>
      </w:r>
      <w:bookmarkEnd w:id="72"/>
    </w:p>
    <w:p w14:paraId="33E3F5DA" w14:textId="77777777" w:rsidR="00B06566" w:rsidRPr="00B06566" w:rsidRDefault="00B06566" w:rsidP="00B06566">
      <w:pPr>
        <w:rPr>
          <w:rFonts w:cstheme="minorHAnsi"/>
          <w:sz w:val="22"/>
          <w:szCs w:val="22"/>
          <w:lang w:val="mi-NZ"/>
        </w:rPr>
      </w:pPr>
    </w:p>
    <w:p w14:paraId="1CE02DFF" w14:textId="0EFB029C" w:rsidR="00B06566" w:rsidRPr="00B06566" w:rsidRDefault="00B06566" w:rsidP="00B06566">
      <w:pPr>
        <w:pStyle w:val="ListParagraph"/>
        <w:numPr>
          <w:ilvl w:val="0"/>
          <w:numId w:val="9"/>
        </w:numPr>
        <w:ind w:hanging="720"/>
        <w:rPr>
          <w:rFonts w:cstheme="minorHAnsi"/>
          <w:sz w:val="22"/>
          <w:szCs w:val="22"/>
          <w:lang w:val="mi-NZ"/>
        </w:rPr>
      </w:pPr>
      <w:r w:rsidRPr="00B06566">
        <w:rPr>
          <w:rFonts w:cstheme="minorHAnsi"/>
          <w:sz w:val="22"/>
          <w:szCs w:val="22"/>
          <w:lang w:val="mi-NZ"/>
        </w:rPr>
        <w:t>Data obtained from New Zealand Police under the Official Information Act 1982</w:t>
      </w:r>
      <w:r w:rsidRPr="00B06566">
        <w:rPr>
          <w:rFonts w:cstheme="minorHAnsi"/>
          <w:sz w:val="22"/>
          <w:szCs w:val="22"/>
          <w:vertAlign w:val="superscript"/>
          <w:lang w:val="mi-NZ"/>
        </w:rPr>
        <w:footnoteReference w:id="458"/>
      </w:r>
      <w:r w:rsidRPr="00B06566">
        <w:rPr>
          <w:rFonts w:cstheme="minorHAnsi"/>
          <w:sz w:val="22"/>
          <w:szCs w:val="22"/>
          <w:lang w:val="mi-NZ"/>
        </w:rPr>
        <w:t xml:space="preserve"> demonstrates that Police continue to detain young people in Police cells. Of particular concern, rangatahi and tamariki Māori are significantly over-represented in these numbers. The practice appears to have reduced in recent years, but it is unclear whether, and to what extent, the decrease has been affected by the COVID-19 pandemic. </w:t>
      </w:r>
    </w:p>
    <w:p w14:paraId="5F515DB6" w14:textId="77777777" w:rsidR="00B06566" w:rsidRPr="00B06566" w:rsidRDefault="00B06566" w:rsidP="00B06566">
      <w:pPr>
        <w:pStyle w:val="ListParagraph"/>
        <w:rPr>
          <w:rFonts w:cstheme="minorHAnsi"/>
          <w:sz w:val="22"/>
          <w:szCs w:val="22"/>
          <w:lang w:val="mi-NZ"/>
        </w:rPr>
      </w:pPr>
    </w:p>
    <w:p w14:paraId="4F84F34C" w14:textId="77777777" w:rsidR="00B06566" w:rsidRPr="00B06566" w:rsidRDefault="00B06566" w:rsidP="00B06566">
      <w:pPr>
        <w:pStyle w:val="ListParagraph"/>
        <w:numPr>
          <w:ilvl w:val="0"/>
          <w:numId w:val="9"/>
        </w:numPr>
        <w:ind w:hanging="720"/>
        <w:rPr>
          <w:rFonts w:cstheme="minorHAnsi"/>
          <w:sz w:val="22"/>
          <w:szCs w:val="22"/>
          <w:lang w:val="mi-NZ"/>
        </w:rPr>
      </w:pPr>
      <w:r w:rsidRPr="00B06566">
        <w:rPr>
          <w:rFonts w:cstheme="minorHAnsi"/>
          <w:sz w:val="22"/>
          <w:szCs w:val="22"/>
          <w:lang w:val="mi-NZ"/>
        </w:rPr>
        <w:t xml:space="preserve">Between 1 May 2015 and 31 March 2021, Police held in custody 680 unique individuals under aged 17 years and younger on remand, and 895 unique individuals aged 17 years and younger as remanded under s238(1)(e) of the Oranga Tamariki Act 1989. As the same person could be in custody on multiple occasions, the number of custodies for these individuals during this time is 3,417. </w:t>
      </w:r>
    </w:p>
    <w:p w14:paraId="3A767ED4" w14:textId="77777777" w:rsidR="00B06566" w:rsidRPr="00B06566" w:rsidRDefault="00B06566" w:rsidP="00B06566">
      <w:pPr>
        <w:pStyle w:val="ListParagraph"/>
        <w:rPr>
          <w:rFonts w:cstheme="minorHAnsi"/>
          <w:sz w:val="22"/>
          <w:szCs w:val="22"/>
          <w:lang w:val="mi-NZ"/>
        </w:rPr>
      </w:pPr>
    </w:p>
    <w:p w14:paraId="6EEC6B25" w14:textId="0310225A" w:rsidR="00B06566" w:rsidRDefault="00B06566" w:rsidP="00B06566">
      <w:pPr>
        <w:pStyle w:val="ListParagraph"/>
        <w:numPr>
          <w:ilvl w:val="0"/>
          <w:numId w:val="9"/>
        </w:numPr>
        <w:ind w:hanging="720"/>
        <w:rPr>
          <w:rFonts w:cstheme="minorHAnsi"/>
          <w:sz w:val="22"/>
          <w:szCs w:val="22"/>
          <w:lang w:val="mi-NZ"/>
        </w:rPr>
      </w:pPr>
      <w:r w:rsidRPr="00B06566">
        <w:rPr>
          <w:rFonts w:cstheme="minorHAnsi"/>
          <w:bCs/>
          <w:sz w:val="22"/>
          <w:szCs w:val="22"/>
          <w:lang w:val="mi-NZ"/>
        </w:rPr>
        <w:t>Table 1</w:t>
      </w:r>
      <w:r w:rsidRPr="00B06566">
        <w:rPr>
          <w:rFonts w:cstheme="minorHAnsi"/>
          <w:sz w:val="22"/>
          <w:szCs w:val="22"/>
          <w:lang w:val="mi-NZ"/>
        </w:rPr>
        <w:t xml:space="preserve"> shows the number of custody records where a young person was held in Police custody on remand each year from 2016 to 2020 including the number of tamariki Māori.</w:t>
      </w:r>
    </w:p>
    <w:p w14:paraId="0739179E" w14:textId="77777777" w:rsidR="00B06566" w:rsidRPr="00B06566" w:rsidRDefault="00B06566" w:rsidP="00B06566">
      <w:pPr>
        <w:pStyle w:val="ListParagraph"/>
        <w:rPr>
          <w:rFonts w:cstheme="minorHAnsi"/>
          <w:sz w:val="22"/>
          <w:szCs w:val="22"/>
          <w:lang w:val="mi-NZ"/>
        </w:rPr>
      </w:pPr>
    </w:p>
    <w:p w14:paraId="7408CBA5" w14:textId="7108323C" w:rsidR="00B06566" w:rsidRPr="000409DC" w:rsidRDefault="00B06566" w:rsidP="000409DC">
      <w:pPr>
        <w:ind w:left="720"/>
        <w:rPr>
          <w:rFonts w:cstheme="minorHAnsi"/>
          <w:b/>
          <w:bCs/>
          <w:lang w:val="mi-NZ"/>
        </w:rPr>
      </w:pPr>
      <w:r w:rsidRPr="00E7687D">
        <w:rPr>
          <w:rFonts w:cstheme="minorHAnsi"/>
          <w:b/>
          <w:bCs/>
          <w:lang w:val="mi-NZ"/>
        </w:rPr>
        <w:t>Table 1</w:t>
      </w:r>
    </w:p>
    <w:tbl>
      <w:tblPr>
        <w:tblW w:w="6692" w:type="dxa"/>
        <w:tblInd w:w="710" w:type="dxa"/>
        <w:tblLook w:val="04A0" w:firstRow="1" w:lastRow="0" w:firstColumn="1" w:lastColumn="0" w:noHBand="0" w:noVBand="1"/>
      </w:tblPr>
      <w:tblGrid>
        <w:gridCol w:w="1941"/>
        <w:gridCol w:w="2595"/>
        <w:gridCol w:w="2156"/>
      </w:tblGrid>
      <w:tr w:rsidR="00B06566" w:rsidRPr="00E7687D" w14:paraId="369E2589" w14:textId="77777777" w:rsidTr="000409DC">
        <w:trPr>
          <w:trHeight w:val="570"/>
        </w:trPr>
        <w:tc>
          <w:tcPr>
            <w:tcW w:w="19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79770D" w14:textId="77777777" w:rsidR="00B06566" w:rsidRPr="00E7687D" w:rsidRDefault="00B06566" w:rsidP="009E2F6D">
            <w:pPr>
              <w:jc w:val="center"/>
              <w:rPr>
                <w:rFonts w:cstheme="minorHAnsi"/>
                <w:b/>
                <w:bCs/>
                <w:color w:val="323232"/>
                <w:sz w:val="22"/>
                <w:szCs w:val="22"/>
                <w:lang w:eastAsia="en-NZ"/>
              </w:rPr>
            </w:pPr>
            <w:r w:rsidRPr="00E7687D">
              <w:rPr>
                <w:rFonts w:cstheme="minorHAnsi"/>
                <w:b/>
                <w:bCs/>
                <w:color w:val="323232"/>
                <w:sz w:val="22"/>
                <w:szCs w:val="22"/>
                <w:lang w:eastAsia="en-NZ"/>
              </w:rPr>
              <w:t>Year</w:t>
            </w:r>
          </w:p>
        </w:tc>
        <w:tc>
          <w:tcPr>
            <w:tcW w:w="2595" w:type="dxa"/>
            <w:tcBorders>
              <w:top w:val="single" w:sz="8" w:space="0" w:color="auto"/>
              <w:left w:val="nil"/>
              <w:bottom w:val="single" w:sz="8" w:space="0" w:color="auto"/>
              <w:right w:val="single" w:sz="8" w:space="0" w:color="auto"/>
            </w:tcBorders>
            <w:shd w:val="clear" w:color="auto" w:fill="auto"/>
            <w:vAlign w:val="center"/>
            <w:hideMark/>
          </w:tcPr>
          <w:p w14:paraId="1ED8D5D0" w14:textId="77777777" w:rsidR="00B06566" w:rsidRPr="00E7687D" w:rsidRDefault="00B06566" w:rsidP="009E2F6D">
            <w:pPr>
              <w:jc w:val="center"/>
              <w:rPr>
                <w:rFonts w:cstheme="minorHAnsi"/>
                <w:b/>
                <w:bCs/>
                <w:color w:val="323232"/>
                <w:sz w:val="22"/>
                <w:szCs w:val="22"/>
                <w:lang w:eastAsia="en-NZ"/>
              </w:rPr>
            </w:pPr>
            <w:r w:rsidRPr="00E7687D">
              <w:rPr>
                <w:rFonts w:cstheme="minorHAnsi"/>
                <w:b/>
                <w:bCs/>
                <w:color w:val="323232"/>
                <w:sz w:val="22"/>
                <w:szCs w:val="22"/>
                <w:lang w:eastAsia="en-NZ"/>
              </w:rPr>
              <w:t xml:space="preserve">Number of young people </w:t>
            </w:r>
            <w:r w:rsidRPr="00B152E2">
              <w:rPr>
                <w:rFonts w:cstheme="minorHAnsi"/>
                <w:b/>
                <w:bCs/>
                <w:color w:val="323232"/>
                <w:sz w:val="22"/>
                <w:szCs w:val="22"/>
                <w:lang w:eastAsia="en-NZ"/>
              </w:rPr>
              <w:t>in Police custody</w:t>
            </w:r>
          </w:p>
        </w:tc>
        <w:tc>
          <w:tcPr>
            <w:tcW w:w="2156" w:type="dxa"/>
            <w:tcBorders>
              <w:top w:val="single" w:sz="8" w:space="0" w:color="auto"/>
              <w:left w:val="nil"/>
              <w:bottom w:val="single" w:sz="8" w:space="0" w:color="auto"/>
              <w:right w:val="single" w:sz="8" w:space="0" w:color="auto"/>
            </w:tcBorders>
            <w:shd w:val="clear" w:color="auto" w:fill="auto"/>
            <w:vAlign w:val="center"/>
            <w:hideMark/>
          </w:tcPr>
          <w:p w14:paraId="7F8F46DA" w14:textId="77777777" w:rsidR="00B06566" w:rsidRPr="00E7687D" w:rsidRDefault="00B06566" w:rsidP="009E2F6D">
            <w:pPr>
              <w:jc w:val="center"/>
              <w:rPr>
                <w:rFonts w:cstheme="minorHAnsi"/>
                <w:b/>
                <w:bCs/>
                <w:color w:val="323232"/>
                <w:sz w:val="22"/>
                <w:szCs w:val="22"/>
                <w:lang w:eastAsia="en-NZ"/>
              </w:rPr>
            </w:pPr>
            <w:r w:rsidRPr="00E7687D">
              <w:rPr>
                <w:rFonts w:cstheme="minorHAnsi"/>
                <w:b/>
                <w:bCs/>
                <w:color w:val="323232"/>
                <w:sz w:val="22"/>
                <w:szCs w:val="22"/>
                <w:lang w:eastAsia="en-NZ"/>
              </w:rPr>
              <w:t>Number of custodies</w:t>
            </w:r>
          </w:p>
        </w:tc>
      </w:tr>
      <w:tr w:rsidR="00B06566" w:rsidRPr="00E7687D" w14:paraId="7873AEF3" w14:textId="77777777" w:rsidTr="000409DC">
        <w:trPr>
          <w:trHeight w:val="570"/>
        </w:trPr>
        <w:tc>
          <w:tcPr>
            <w:tcW w:w="1941" w:type="dxa"/>
            <w:tcBorders>
              <w:top w:val="single" w:sz="8" w:space="0" w:color="auto"/>
              <w:left w:val="single" w:sz="8" w:space="0" w:color="auto"/>
              <w:bottom w:val="single" w:sz="8" w:space="0" w:color="auto"/>
              <w:right w:val="single" w:sz="8" w:space="0" w:color="auto"/>
            </w:tcBorders>
            <w:shd w:val="clear" w:color="auto" w:fill="auto"/>
            <w:vAlign w:val="center"/>
          </w:tcPr>
          <w:p w14:paraId="6C12DAD9" w14:textId="77777777" w:rsidR="00B06566" w:rsidRPr="00E7687D" w:rsidRDefault="00B06566" w:rsidP="009E2F6D">
            <w:pPr>
              <w:jc w:val="center"/>
              <w:rPr>
                <w:rFonts w:cstheme="minorHAnsi"/>
                <w:bCs/>
                <w:color w:val="323232"/>
                <w:sz w:val="22"/>
                <w:szCs w:val="22"/>
                <w:lang w:eastAsia="en-NZ"/>
              </w:rPr>
            </w:pPr>
            <w:r w:rsidRPr="00E7687D">
              <w:rPr>
                <w:rFonts w:cstheme="minorHAnsi"/>
                <w:bCs/>
                <w:color w:val="323232"/>
                <w:sz w:val="22"/>
                <w:szCs w:val="22"/>
                <w:lang w:eastAsia="en-NZ"/>
              </w:rPr>
              <w:t>2016</w:t>
            </w:r>
          </w:p>
        </w:tc>
        <w:tc>
          <w:tcPr>
            <w:tcW w:w="2595" w:type="dxa"/>
            <w:tcBorders>
              <w:top w:val="single" w:sz="8" w:space="0" w:color="auto"/>
              <w:left w:val="nil"/>
              <w:bottom w:val="single" w:sz="8" w:space="0" w:color="auto"/>
              <w:right w:val="single" w:sz="8" w:space="0" w:color="auto"/>
            </w:tcBorders>
            <w:shd w:val="clear" w:color="auto" w:fill="auto"/>
            <w:vAlign w:val="center"/>
          </w:tcPr>
          <w:p w14:paraId="2A62AE1F" w14:textId="77777777" w:rsidR="00B06566" w:rsidRPr="00E7687D" w:rsidRDefault="00B06566" w:rsidP="009E2F6D">
            <w:pPr>
              <w:jc w:val="center"/>
              <w:rPr>
                <w:rFonts w:cstheme="minorHAnsi"/>
                <w:bCs/>
                <w:color w:val="323232"/>
                <w:sz w:val="22"/>
                <w:szCs w:val="22"/>
                <w:lang w:eastAsia="en-NZ"/>
              </w:rPr>
            </w:pPr>
            <w:r w:rsidRPr="00E7687D">
              <w:rPr>
                <w:rFonts w:cstheme="minorHAnsi"/>
                <w:bCs/>
                <w:color w:val="323232"/>
                <w:sz w:val="22"/>
                <w:szCs w:val="22"/>
                <w:lang w:eastAsia="en-NZ"/>
              </w:rPr>
              <w:t>78 (48 Māori)</w:t>
            </w:r>
          </w:p>
        </w:tc>
        <w:tc>
          <w:tcPr>
            <w:tcW w:w="2156" w:type="dxa"/>
            <w:tcBorders>
              <w:top w:val="single" w:sz="8" w:space="0" w:color="auto"/>
              <w:left w:val="nil"/>
              <w:bottom w:val="single" w:sz="8" w:space="0" w:color="auto"/>
              <w:right w:val="single" w:sz="8" w:space="0" w:color="auto"/>
            </w:tcBorders>
            <w:shd w:val="clear" w:color="auto" w:fill="auto"/>
            <w:vAlign w:val="center"/>
          </w:tcPr>
          <w:p w14:paraId="26BE9555" w14:textId="77777777" w:rsidR="00B06566" w:rsidRPr="00E7687D" w:rsidRDefault="00B06566" w:rsidP="009E2F6D">
            <w:pPr>
              <w:jc w:val="center"/>
              <w:rPr>
                <w:rFonts w:cstheme="minorHAnsi"/>
                <w:bCs/>
                <w:color w:val="323232"/>
                <w:sz w:val="22"/>
                <w:szCs w:val="22"/>
                <w:lang w:eastAsia="en-NZ"/>
              </w:rPr>
            </w:pPr>
            <w:r w:rsidRPr="00E7687D">
              <w:rPr>
                <w:rFonts w:cstheme="minorHAnsi"/>
                <w:bCs/>
                <w:color w:val="323232"/>
                <w:sz w:val="22"/>
                <w:szCs w:val="22"/>
                <w:lang w:eastAsia="en-NZ"/>
              </w:rPr>
              <w:t>416</w:t>
            </w:r>
          </w:p>
        </w:tc>
      </w:tr>
      <w:tr w:rsidR="00B06566" w:rsidRPr="00E7687D" w14:paraId="7F7C4FA2" w14:textId="77777777" w:rsidTr="000409DC">
        <w:trPr>
          <w:trHeight w:val="570"/>
        </w:trPr>
        <w:tc>
          <w:tcPr>
            <w:tcW w:w="1941" w:type="dxa"/>
            <w:tcBorders>
              <w:top w:val="single" w:sz="8" w:space="0" w:color="auto"/>
              <w:left w:val="single" w:sz="8" w:space="0" w:color="auto"/>
              <w:bottom w:val="single" w:sz="8" w:space="0" w:color="auto"/>
              <w:right w:val="single" w:sz="8" w:space="0" w:color="auto"/>
            </w:tcBorders>
            <w:shd w:val="clear" w:color="auto" w:fill="auto"/>
            <w:vAlign w:val="center"/>
          </w:tcPr>
          <w:p w14:paraId="090B8EA7" w14:textId="77777777" w:rsidR="00B06566" w:rsidRPr="00E7687D" w:rsidRDefault="00B06566" w:rsidP="009E2F6D">
            <w:pPr>
              <w:jc w:val="center"/>
              <w:rPr>
                <w:rFonts w:cstheme="minorHAnsi"/>
                <w:bCs/>
                <w:color w:val="323232"/>
                <w:sz w:val="22"/>
                <w:szCs w:val="22"/>
                <w:lang w:eastAsia="en-NZ"/>
              </w:rPr>
            </w:pPr>
            <w:r w:rsidRPr="00E7687D">
              <w:rPr>
                <w:rFonts w:cstheme="minorHAnsi"/>
                <w:bCs/>
                <w:color w:val="323232"/>
                <w:sz w:val="22"/>
                <w:szCs w:val="22"/>
                <w:lang w:eastAsia="en-NZ"/>
              </w:rPr>
              <w:t>2017</w:t>
            </w:r>
          </w:p>
        </w:tc>
        <w:tc>
          <w:tcPr>
            <w:tcW w:w="2595" w:type="dxa"/>
            <w:tcBorders>
              <w:top w:val="single" w:sz="8" w:space="0" w:color="auto"/>
              <w:left w:val="nil"/>
              <w:bottom w:val="single" w:sz="8" w:space="0" w:color="auto"/>
              <w:right w:val="single" w:sz="8" w:space="0" w:color="auto"/>
            </w:tcBorders>
            <w:shd w:val="clear" w:color="auto" w:fill="auto"/>
            <w:vAlign w:val="center"/>
          </w:tcPr>
          <w:p w14:paraId="1B6C3F36" w14:textId="77777777" w:rsidR="00B06566" w:rsidRPr="00E7687D" w:rsidRDefault="00B06566" w:rsidP="009E2F6D">
            <w:pPr>
              <w:jc w:val="center"/>
              <w:rPr>
                <w:rFonts w:cstheme="minorHAnsi"/>
                <w:bCs/>
                <w:color w:val="323232"/>
                <w:sz w:val="22"/>
                <w:szCs w:val="22"/>
                <w:lang w:eastAsia="en-NZ"/>
              </w:rPr>
            </w:pPr>
            <w:r w:rsidRPr="00E7687D">
              <w:rPr>
                <w:rFonts w:cstheme="minorHAnsi"/>
                <w:bCs/>
                <w:color w:val="323232"/>
                <w:sz w:val="22"/>
                <w:szCs w:val="22"/>
                <w:lang w:eastAsia="en-NZ"/>
              </w:rPr>
              <w:t>68 (34 Māori)</w:t>
            </w:r>
          </w:p>
        </w:tc>
        <w:tc>
          <w:tcPr>
            <w:tcW w:w="2156" w:type="dxa"/>
            <w:tcBorders>
              <w:top w:val="single" w:sz="8" w:space="0" w:color="auto"/>
              <w:left w:val="nil"/>
              <w:bottom w:val="single" w:sz="8" w:space="0" w:color="auto"/>
              <w:right w:val="single" w:sz="8" w:space="0" w:color="auto"/>
            </w:tcBorders>
            <w:shd w:val="clear" w:color="auto" w:fill="auto"/>
            <w:vAlign w:val="center"/>
          </w:tcPr>
          <w:p w14:paraId="22C1CA58" w14:textId="77777777" w:rsidR="00B06566" w:rsidRPr="00E7687D" w:rsidRDefault="00B06566" w:rsidP="009E2F6D">
            <w:pPr>
              <w:jc w:val="center"/>
              <w:rPr>
                <w:rFonts w:cstheme="minorHAnsi"/>
                <w:bCs/>
                <w:color w:val="323232"/>
                <w:sz w:val="22"/>
                <w:szCs w:val="22"/>
                <w:lang w:eastAsia="en-NZ"/>
              </w:rPr>
            </w:pPr>
            <w:r w:rsidRPr="00E7687D">
              <w:rPr>
                <w:rFonts w:cstheme="minorHAnsi"/>
                <w:bCs/>
                <w:color w:val="323232"/>
                <w:sz w:val="22"/>
                <w:szCs w:val="22"/>
                <w:lang w:eastAsia="en-NZ"/>
              </w:rPr>
              <w:t>380</w:t>
            </w:r>
          </w:p>
        </w:tc>
      </w:tr>
      <w:tr w:rsidR="00B06566" w:rsidRPr="00E7687D" w14:paraId="2DF91CBC" w14:textId="77777777" w:rsidTr="000409DC">
        <w:trPr>
          <w:trHeight w:val="570"/>
        </w:trPr>
        <w:tc>
          <w:tcPr>
            <w:tcW w:w="1941" w:type="dxa"/>
            <w:tcBorders>
              <w:top w:val="single" w:sz="8" w:space="0" w:color="auto"/>
              <w:left w:val="single" w:sz="8" w:space="0" w:color="auto"/>
              <w:bottom w:val="single" w:sz="8" w:space="0" w:color="auto"/>
              <w:right w:val="single" w:sz="8" w:space="0" w:color="auto"/>
            </w:tcBorders>
            <w:shd w:val="clear" w:color="auto" w:fill="auto"/>
            <w:vAlign w:val="center"/>
          </w:tcPr>
          <w:p w14:paraId="5F07E67F" w14:textId="77777777" w:rsidR="00B06566" w:rsidRPr="00E7687D" w:rsidRDefault="00B06566" w:rsidP="009E2F6D">
            <w:pPr>
              <w:jc w:val="center"/>
              <w:rPr>
                <w:rFonts w:cstheme="minorHAnsi"/>
                <w:bCs/>
                <w:color w:val="323232"/>
                <w:sz w:val="22"/>
                <w:szCs w:val="22"/>
                <w:lang w:eastAsia="en-NZ"/>
              </w:rPr>
            </w:pPr>
            <w:r w:rsidRPr="00E7687D">
              <w:rPr>
                <w:rFonts w:cstheme="minorHAnsi"/>
                <w:bCs/>
                <w:color w:val="323232"/>
                <w:sz w:val="22"/>
                <w:szCs w:val="22"/>
                <w:lang w:eastAsia="en-NZ"/>
              </w:rPr>
              <w:t>2018</w:t>
            </w:r>
          </w:p>
        </w:tc>
        <w:tc>
          <w:tcPr>
            <w:tcW w:w="2595" w:type="dxa"/>
            <w:tcBorders>
              <w:top w:val="single" w:sz="8" w:space="0" w:color="auto"/>
              <w:left w:val="nil"/>
              <w:bottom w:val="single" w:sz="8" w:space="0" w:color="auto"/>
              <w:right w:val="single" w:sz="8" w:space="0" w:color="auto"/>
            </w:tcBorders>
            <w:shd w:val="clear" w:color="auto" w:fill="auto"/>
            <w:vAlign w:val="center"/>
          </w:tcPr>
          <w:p w14:paraId="4D227EA9" w14:textId="77777777" w:rsidR="00B06566" w:rsidRPr="00E7687D" w:rsidRDefault="00B06566" w:rsidP="009E2F6D">
            <w:pPr>
              <w:jc w:val="center"/>
              <w:rPr>
                <w:rFonts w:cstheme="minorHAnsi"/>
                <w:bCs/>
                <w:color w:val="323232"/>
                <w:sz w:val="22"/>
                <w:szCs w:val="22"/>
                <w:lang w:eastAsia="en-NZ"/>
              </w:rPr>
            </w:pPr>
            <w:r w:rsidRPr="00E7687D">
              <w:rPr>
                <w:rFonts w:cstheme="minorHAnsi"/>
                <w:bCs/>
                <w:color w:val="323232"/>
                <w:sz w:val="22"/>
                <w:szCs w:val="22"/>
                <w:lang w:eastAsia="en-NZ"/>
              </w:rPr>
              <w:t>71 (33 Māori)</w:t>
            </w:r>
          </w:p>
        </w:tc>
        <w:tc>
          <w:tcPr>
            <w:tcW w:w="2156" w:type="dxa"/>
            <w:tcBorders>
              <w:top w:val="single" w:sz="8" w:space="0" w:color="auto"/>
              <w:left w:val="nil"/>
              <w:bottom w:val="single" w:sz="8" w:space="0" w:color="auto"/>
              <w:right w:val="single" w:sz="8" w:space="0" w:color="auto"/>
            </w:tcBorders>
            <w:shd w:val="clear" w:color="auto" w:fill="auto"/>
            <w:vAlign w:val="center"/>
          </w:tcPr>
          <w:p w14:paraId="3F620225" w14:textId="77777777" w:rsidR="00B06566" w:rsidRPr="00E7687D" w:rsidRDefault="00B06566" w:rsidP="009E2F6D">
            <w:pPr>
              <w:jc w:val="center"/>
              <w:rPr>
                <w:rFonts w:cstheme="minorHAnsi"/>
                <w:bCs/>
                <w:color w:val="323232"/>
                <w:sz w:val="22"/>
                <w:szCs w:val="22"/>
                <w:lang w:eastAsia="en-NZ"/>
              </w:rPr>
            </w:pPr>
            <w:r w:rsidRPr="00E7687D">
              <w:rPr>
                <w:rFonts w:cstheme="minorHAnsi"/>
                <w:bCs/>
                <w:color w:val="323232"/>
                <w:sz w:val="22"/>
                <w:szCs w:val="22"/>
                <w:lang w:eastAsia="en-NZ"/>
              </w:rPr>
              <w:t>410</w:t>
            </w:r>
          </w:p>
        </w:tc>
      </w:tr>
      <w:tr w:rsidR="00B06566" w:rsidRPr="00E7687D" w14:paraId="4FF03615" w14:textId="77777777" w:rsidTr="000409DC">
        <w:trPr>
          <w:trHeight w:val="570"/>
        </w:trPr>
        <w:tc>
          <w:tcPr>
            <w:tcW w:w="1941" w:type="dxa"/>
            <w:tcBorders>
              <w:top w:val="single" w:sz="8" w:space="0" w:color="auto"/>
              <w:left w:val="single" w:sz="8" w:space="0" w:color="auto"/>
              <w:bottom w:val="single" w:sz="8" w:space="0" w:color="auto"/>
              <w:right w:val="single" w:sz="8" w:space="0" w:color="auto"/>
            </w:tcBorders>
            <w:shd w:val="clear" w:color="auto" w:fill="auto"/>
            <w:vAlign w:val="center"/>
          </w:tcPr>
          <w:p w14:paraId="48D0233A" w14:textId="77777777" w:rsidR="00B06566" w:rsidRPr="00E7687D" w:rsidRDefault="00B06566" w:rsidP="009E2F6D">
            <w:pPr>
              <w:jc w:val="center"/>
              <w:rPr>
                <w:rFonts w:cstheme="minorHAnsi"/>
                <w:bCs/>
                <w:color w:val="323232"/>
                <w:sz w:val="22"/>
                <w:szCs w:val="22"/>
                <w:lang w:eastAsia="en-NZ"/>
              </w:rPr>
            </w:pPr>
            <w:r w:rsidRPr="00E7687D">
              <w:rPr>
                <w:rFonts w:cstheme="minorHAnsi"/>
                <w:bCs/>
                <w:color w:val="323232"/>
                <w:sz w:val="22"/>
                <w:szCs w:val="22"/>
                <w:lang w:eastAsia="en-NZ"/>
              </w:rPr>
              <w:t>2019</w:t>
            </w:r>
          </w:p>
        </w:tc>
        <w:tc>
          <w:tcPr>
            <w:tcW w:w="2595" w:type="dxa"/>
            <w:tcBorders>
              <w:top w:val="single" w:sz="8" w:space="0" w:color="auto"/>
              <w:left w:val="nil"/>
              <w:bottom w:val="single" w:sz="8" w:space="0" w:color="auto"/>
              <w:right w:val="single" w:sz="8" w:space="0" w:color="auto"/>
            </w:tcBorders>
            <w:shd w:val="clear" w:color="auto" w:fill="auto"/>
            <w:vAlign w:val="center"/>
          </w:tcPr>
          <w:p w14:paraId="73E4341F" w14:textId="77777777" w:rsidR="00B06566" w:rsidRPr="00E7687D" w:rsidRDefault="00B06566" w:rsidP="009E2F6D">
            <w:pPr>
              <w:jc w:val="center"/>
              <w:rPr>
                <w:rFonts w:cstheme="minorHAnsi"/>
                <w:bCs/>
                <w:color w:val="323232"/>
                <w:sz w:val="22"/>
                <w:szCs w:val="22"/>
                <w:lang w:eastAsia="en-NZ"/>
              </w:rPr>
            </w:pPr>
            <w:r w:rsidRPr="00E7687D">
              <w:rPr>
                <w:rFonts w:cstheme="minorHAnsi"/>
                <w:bCs/>
                <w:color w:val="323232"/>
                <w:sz w:val="22"/>
                <w:szCs w:val="22"/>
                <w:lang w:eastAsia="en-NZ"/>
              </w:rPr>
              <w:t>50 (23 Māori)</w:t>
            </w:r>
          </w:p>
        </w:tc>
        <w:tc>
          <w:tcPr>
            <w:tcW w:w="2156" w:type="dxa"/>
            <w:tcBorders>
              <w:top w:val="single" w:sz="8" w:space="0" w:color="auto"/>
              <w:left w:val="nil"/>
              <w:bottom w:val="single" w:sz="8" w:space="0" w:color="auto"/>
              <w:right w:val="single" w:sz="8" w:space="0" w:color="auto"/>
            </w:tcBorders>
            <w:shd w:val="clear" w:color="auto" w:fill="auto"/>
            <w:vAlign w:val="center"/>
          </w:tcPr>
          <w:p w14:paraId="14B0711E" w14:textId="77777777" w:rsidR="00B06566" w:rsidRPr="00E7687D" w:rsidRDefault="00B06566" w:rsidP="009E2F6D">
            <w:pPr>
              <w:jc w:val="center"/>
              <w:rPr>
                <w:rFonts w:cstheme="minorHAnsi"/>
                <w:bCs/>
                <w:color w:val="323232"/>
                <w:sz w:val="22"/>
                <w:szCs w:val="22"/>
                <w:lang w:eastAsia="en-NZ"/>
              </w:rPr>
            </w:pPr>
            <w:r w:rsidRPr="00E7687D">
              <w:rPr>
                <w:rFonts w:cstheme="minorHAnsi"/>
                <w:bCs/>
                <w:color w:val="323232"/>
                <w:sz w:val="22"/>
                <w:szCs w:val="22"/>
                <w:lang w:eastAsia="en-NZ"/>
              </w:rPr>
              <w:t>169</w:t>
            </w:r>
          </w:p>
        </w:tc>
      </w:tr>
      <w:tr w:rsidR="00B06566" w:rsidRPr="00E7687D" w14:paraId="730F5A51" w14:textId="77777777" w:rsidTr="000409DC">
        <w:trPr>
          <w:trHeight w:val="570"/>
        </w:trPr>
        <w:tc>
          <w:tcPr>
            <w:tcW w:w="1941" w:type="dxa"/>
            <w:tcBorders>
              <w:top w:val="single" w:sz="8" w:space="0" w:color="auto"/>
              <w:left w:val="single" w:sz="8" w:space="0" w:color="auto"/>
              <w:bottom w:val="single" w:sz="8" w:space="0" w:color="auto"/>
              <w:right w:val="single" w:sz="8" w:space="0" w:color="auto"/>
            </w:tcBorders>
            <w:shd w:val="clear" w:color="auto" w:fill="auto"/>
            <w:vAlign w:val="center"/>
          </w:tcPr>
          <w:p w14:paraId="4D57A795" w14:textId="77777777" w:rsidR="00B06566" w:rsidRPr="00E7687D" w:rsidRDefault="00B06566" w:rsidP="009E2F6D">
            <w:pPr>
              <w:jc w:val="center"/>
              <w:rPr>
                <w:rFonts w:cstheme="minorHAnsi"/>
                <w:bCs/>
                <w:color w:val="323232"/>
                <w:sz w:val="22"/>
                <w:szCs w:val="22"/>
                <w:lang w:eastAsia="en-NZ"/>
              </w:rPr>
            </w:pPr>
            <w:r w:rsidRPr="00E7687D">
              <w:rPr>
                <w:rFonts w:cstheme="minorHAnsi"/>
                <w:bCs/>
                <w:color w:val="323232"/>
                <w:sz w:val="22"/>
                <w:szCs w:val="22"/>
                <w:lang w:eastAsia="en-NZ"/>
              </w:rPr>
              <w:lastRenderedPageBreak/>
              <w:t>2020</w:t>
            </w:r>
          </w:p>
        </w:tc>
        <w:tc>
          <w:tcPr>
            <w:tcW w:w="2595" w:type="dxa"/>
            <w:tcBorders>
              <w:top w:val="single" w:sz="8" w:space="0" w:color="auto"/>
              <w:left w:val="nil"/>
              <w:bottom w:val="single" w:sz="8" w:space="0" w:color="auto"/>
              <w:right w:val="single" w:sz="8" w:space="0" w:color="auto"/>
            </w:tcBorders>
            <w:shd w:val="clear" w:color="auto" w:fill="auto"/>
            <w:vAlign w:val="center"/>
          </w:tcPr>
          <w:p w14:paraId="36C4E4CF" w14:textId="77777777" w:rsidR="00B06566" w:rsidRPr="00E7687D" w:rsidRDefault="00B06566" w:rsidP="009E2F6D">
            <w:pPr>
              <w:jc w:val="center"/>
              <w:rPr>
                <w:rFonts w:cstheme="minorHAnsi"/>
                <w:bCs/>
                <w:color w:val="323232"/>
                <w:sz w:val="22"/>
                <w:szCs w:val="22"/>
                <w:lang w:eastAsia="en-NZ"/>
              </w:rPr>
            </w:pPr>
            <w:r w:rsidRPr="00E7687D">
              <w:rPr>
                <w:rFonts w:cstheme="minorHAnsi"/>
                <w:bCs/>
                <w:color w:val="323232"/>
                <w:sz w:val="22"/>
                <w:szCs w:val="22"/>
                <w:lang w:eastAsia="en-NZ"/>
              </w:rPr>
              <w:t>22 (15 Māori)</w:t>
            </w:r>
          </w:p>
        </w:tc>
        <w:tc>
          <w:tcPr>
            <w:tcW w:w="2156" w:type="dxa"/>
            <w:tcBorders>
              <w:top w:val="single" w:sz="8" w:space="0" w:color="auto"/>
              <w:left w:val="nil"/>
              <w:bottom w:val="single" w:sz="8" w:space="0" w:color="auto"/>
              <w:right w:val="single" w:sz="8" w:space="0" w:color="auto"/>
            </w:tcBorders>
            <w:shd w:val="clear" w:color="auto" w:fill="auto"/>
            <w:vAlign w:val="center"/>
          </w:tcPr>
          <w:p w14:paraId="3A8A9F55" w14:textId="77777777" w:rsidR="00B06566" w:rsidRPr="00E7687D" w:rsidRDefault="00B06566" w:rsidP="009E2F6D">
            <w:pPr>
              <w:jc w:val="center"/>
              <w:rPr>
                <w:rFonts w:cstheme="minorHAnsi"/>
                <w:bCs/>
                <w:color w:val="323232"/>
                <w:sz w:val="22"/>
                <w:szCs w:val="22"/>
                <w:lang w:eastAsia="en-NZ"/>
              </w:rPr>
            </w:pPr>
            <w:r w:rsidRPr="00E7687D">
              <w:rPr>
                <w:rFonts w:cstheme="minorHAnsi"/>
                <w:bCs/>
                <w:color w:val="323232"/>
                <w:sz w:val="22"/>
                <w:szCs w:val="22"/>
                <w:lang w:eastAsia="en-NZ"/>
              </w:rPr>
              <w:t>26</w:t>
            </w:r>
          </w:p>
        </w:tc>
      </w:tr>
    </w:tbl>
    <w:p w14:paraId="1D0295CA" w14:textId="77777777" w:rsidR="00B06566" w:rsidRPr="00B06566" w:rsidRDefault="00B06566" w:rsidP="00B06566">
      <w:pPr>
        <w:pStyle w:val="ListParagraph"/>
        <w:rPr>
          <w:rFonts w:cstheme="minorHAnsi"/>
          <w:sz w:val="22"/>
          <w:szCs w:val="22"/>
          <w:lang w:val="mi-NZ"/>
        </w:rPr>
      </w:pPr>
    </w:p>
    <w:p w14:paraId="6568B4DD" w14:textId="043F14DD" w:rsidR="00B06566" w:rsidRPr="00B06566" w:rsidRDefault="00B06566" w:rsidP="00B06566">
      <w:pPr>
        <w:pStyle w:val="ListParagraph"/>
        <w:numPr>
          <w:ilvl w:val="0"/>
          <w:numId w:val="9"/>
        </w:numPr>
        <w:ind w:hanging="720"/>
        <w:rPr>
          <w:rFonts w:cstheme="minorHAnsi"/>
          <w:sz w:val="22"/>
          <w:szCs w:val="22"/>
          <w:lang w:val="mi-NZ"/>
        </w:rPr>
      </w:pPr>
      <w:r w:rsidRPr="00B06566">
        <w:rPr>
          <w:rFonts w:cstheme="minorHAnsi"/>
          <w:bCs/>
          <w:sz w:val="22"/>
          <w:szCs w:val="22"/>
          <w:lang w:val="mi-NZ"/>
        </w:rPr>
        <w:t>Table 2</w:t>
      </w:r>
      <w:r w:rsidRPr="00B06566">
        <w:rPr>
          <w:rFonts w:cstheme="minorHAnsi"/>
          <w:sz w:val="22"/>
          <w:szCs w:val="22"/>
          <w:lang w:val="mi-NZ"/>
        </w:rPr>
        <w:t xml:space="preserve"> shows the number of custody records where a young person was held in Police custody under s238(1)(e) of the Oranga Tamariki Act 1989 each year from 2016 to 2020 including the number of tamariki Māori. </w:t>
      </w:r>
    </w:p>
    <w:p w14:paraId="27B5DA61" w14:textId="06878ECA" w:rsidR="000409DC" w:rsidRDefault="000409DC" w:rsidP="000409DC">
      <w:pPr>
        <w:pStyle w:val="ListParagraph"/>
        <w:rPr>
          <w:rFonts w:cstheme="minorHAnsi"/>
          <w:sz w:val="22"/>
          <w:szCs w:val="22"/>
          <w:lang w:val="mi-NZ"/>
        </w:rPr>
      </w:pPr>
    </w:p>
    <w:p w14:paraId="7E299EC2" w14:textId="77777777" w:rsidR="000409DC" w:rsidRPr="00E7687D" w:rsidRDefault="000409DC" w:rsidP="000409DC">
      <w:pPr>
        <w:ind w:left="720"/>
        <w:rPr>
          <w:rFonts w:cstheme="minorHAnsi"/>
          <w:lang w:val="mi-NZ"/>
        </w:rPr>
      </w:pPr>
      <w:r w:rsidRPr="00E7687D">
        <w:rPr>
          <w:rFonts w:cstheme="minorHAnsi"/>
          <w:b/>
          <w:lang w:val="mi-NZ"/>
        </w:rPr>
        <w:t>Table 2</w:t>
      </w:r>
    </w:p>
    <w:p w14:paraId="1DBC73F6" w14:textId="77777777" w:rsidR="000409DC" w:rsidRPr="00E7687D" w:rsidRDefault="000409DC" w:rsidP="000409DC">
      <w:pPr>
        <w:ind w:left="720"/>
        <w:rPr>
          <w:rFonts w:cstheme="minorHAnsi"/>
        </w:rPr>
      </w:pPr>
    </w:p>
    <w:tbl>
      <w:tblPr>
        <w:tblW w:w="6692" w:type="dxa"/>
        <w:tblInd w:w="710" w:type="dxa"/>
        <w:tblLook w:val="04A0" w:firstRow="1" w:lastRow="0" w:firstColumn="1" w:lastColumn="0" w:noHBand="0" w:noVBand="1"/>
      </w:tblPr>
      <w:tblGrid>
        <w:gridCol w:w="1941"/>
        <w:gridCol w:w="2595"/>
        <w:gridCol w:w="2156"/>
      </w:tblGrid>
      <w:tr w:rsidR="000409DC" w:rsidRPr="00E7687D" w14:paraId="56EBD681" w14:textId="77777777" w:rsidTr="000409DC">
        <w:trPr>
          <w:trHeight w:val="570"/>
        </w:trPr>
        <w:tc>
          <w:tcPr>
            <w:tcW w:w="19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B96507" w14:textId="77777777" w:rsidR="000409DC" w:rsidRPr="00E7687D" w:rsidRDefault="000409DC" w:rsidP="009E2F6D">
            <w:pPr>
              <w:rPr>
                <w:rFonts w:cstheme="minorHAnsi"/>
                <w:b/>
                <w:bCs/>
                <w:color w:val="323232"/>
                <w:sz w:val="22"/>
                <w:szCs w:val="22"/>
                <w:lang w:eastAsia="en-NZ"/>
              </w:rPr>
            </w:pPr>
            <w:r w:rsidRPr="00E7687D">
              <w:rPr>
                <w:rFonts w:cstheme="minorHAnsi"/>
                <w:b/>
                <w:bCs/>
                <w:color w:val="323232"/>
                <w:sz w:val="22"/>
                <w:szCs w:val="22"/>
                <w:lang w:eastAsia="en-NZ"/>
              </w:rPr>
              <w:t xml:space="preserve">Year  </w:t>
            </w:r>
          </w:p>
        </w:tc>
        <w:tc>
          <w:tcPr>
            <w:tcW w:w="2595" w:type="dxa"/>
            <w:tcBorders>
              <w:top w:val="single" w:sz="8" w:space="0" w:color="auto"/>
              <w:left w:val="nil"/>
              <w:bottom w:val="single" w:sz="8" w:space="0" w:color="auto"/>
              <w:right w:val="single" w:sz="8" w:space="0" w:color="auto"/>
            </w:tcBorders>
            <w:shd w:val="clear" w:color="auto" w:fill="auto"/>
            <w:vAlign w:val="center"/>
            <w:hideMark/>
          </w:tcPr>
          <w:p w14:paraId="2065B462" w14:textId="77777777" w:rsidR="000409DC" w:rsidRPr="00E7687D" w:rsidRDefault="000409DC" w:rsidP="009E2F6D">
            <w:pPr>
              <w:rPr>
                <w:rFonts w:cstheme="minorHAnsi"/>
                <w:b/>
                <w:bCs/>
                <w:color w:val="323232"/>
                <w:sz w:val="22"/>
                <w:szCs w:val="22"/>
                <w:lang w:eastAsia="en-NZ"/>
              </w:rPr>
            </w:pPr>
            <w:r w:rsidRPr="00E7687D">
              <w:rPr>
                <w:rFonts w:cstheme="minorHAnsi"/>
                <w:b/>
                <w:bCs/>
                <w:color w:val="323232"/>
                <w:sz w:val="22"/>
                <w:szCs w:val="22"/>
                <w:lang w:eastAsia="en-NZ"/>
              </w:rPr>
              <w:t xml:space="preserve">Number of young people </w:t>
            </w:r>
            <w:r w:rsidRPr="00B152E2">
              <w:rPr>
                <w:rFonts w:cstheme="minorHAnsi"/>
                <w:b/>
                <w:bCs/>
                <w:color w:val="323232"/>
                <w:sz w:val="22"/>
                <w:szCs w:val="22"/>
                <w:lang w:eastAsia="en-NZ"/>
              </w:rPr>
              <w:t>in Police custody</w:t>
            </w:r>
            <w:r w:rsidRPr="00E7687D">
              <w:rPr>
                <w:rFonts w:cstheme="minorHAnsi"/>
                <w:b/>
                <w:bCs/>
                <w:color w:val="323232"/>
                <w:sz w:val="22"/>
                <w:szCs w:val="22"/>
                <w:lang w:eastAsia="en-NZ"/>
              </w:rPr>
              <w:t xml:space="preserve"> </w:t>
            </w:r>
          </w:p>
        </w:tc>
        <w:tc>
          <w:tcPr>
            <w:tcW w:w="2156" w:type="dxa"/>
            <w:tcBorders>
              <w:top w:val="single" w:sz="8" w:space="0" w:color="auto"/>
              <w:left w:val="nil"/>
              <w:bottom w:val="single" w:sz="8" w:space="0" w:color="auto"/>
              <w:right w:val="single" w:sz="8" w:space="0" w:color="auto"/>
            </w:tcBorders>
            <w:shd w:val="clear" w:color="auto" w:fill="auto"/>
            <w:vAlign w:val="center"/>
            <w:hideMark/>
          </w:tcPr>
          <w:p w14:paraId="78C5CA39" w14:textId="77777777" w:rsidR="000409DC" w:rsidRPr="00E7687D" w:rsidRDefault="000409DC" w:rsidP="009E2F6D">
            <w:pPr>
              <w:rPr>
                <w:rFonts w:cstheme="minorHAnsi"/>
                <w:b/>
                <w:bCs/>
                <w:color w:val="323232"/>
                <w:sz w:val="22"/>
                <w:szCs w:val="22"/>
                <w:lang w:eastAsia="en-NZ"/>
              </w:rPr>
            </w:pPr>
            <w:r w:rsidRPr="00E7687D">
              <w:rPr>
                <w:rFonts w:cstheme="minorHAnsi"/>
                <w:b/>
                <w:bCs/>
                <w:color w:val="323232"/>
                <w:sz w:val="22"/>
                <w:szCs w:val="22"/>
                <w:lang w:eastAsia="en-NZ"/>
              </w:rPr>
              <w:t xml:space="preserve">Number of custodies </w:t>
            </w:r>
          </w:p>
        </w:tc>
      </w:tr>
      <w:tr w:rsidR="000409DC" w:rsidRPr="00E7687D" w14:paraId="2F06EC98" w14:textId="77777777" w:rsidTr="000409DC">
        <w:trPr>
          <w:trHeight w:val="570"/>
        </w:trPr>
        <w:tc>
          <w:tcPr>
            <w:tcW w:w="1941" w:type="dxa"/>
            <w:tcBorders>
              <w:top w:val="single" w:sz="8" w:space="0" w:color="auto"/>
              <w:left w:val="single" w:sz="8" w:space="0" w:color="auto"/>
              <w:bottom w:val="single" w:sz="8" w:space="0" w:color="auto"/>
              <w:right w:val="single" w:sz="8" w:space="0" w:color="auto"/>
            </w:tcBorders>
            <w:shd w:val="clear" w:color="auto" w:fill="auto"/>
            <w:vAlign w:val="center"/>
          </w:tcPr>
          <w:p w14:paraId="3090FEFC" w14:textId="77777777" w:rsidR="000409DC" w:rsidRPr="00E7687D" w:rsidRDefault="000409DC" w:rsidP="009E2F6D">
            <w:pPr>
              <w:rPr>
                <w:rFonts w:cstheme="minorHAnsi"/>
                <w:bCs/>
                <w:color w:val="323232"/>
                <w:sz w:val="22"/>
                <w:szCs w:val="22"/>
                <w:lang w:eastAsia="en-NZ"/>
              </w:rPr>
            </w:pPr>
            <w:r w:rsidRPr="00E7687D">
              <w:rPr>
                <w:rFonts w:cstheme="minorHAnsi"/>
                <w:bCs/>
                <w:color w:val="323232"/>
                <w:sz w:val="22"/>
                <w:szCs w:val="22"/>
                <w:lang w:eastAsia="en-NZ"/>
              </w:rPr>
              <w:t>2016</w:t>
            </w:r>
          </w:p>
        </w:tc>
        <w:tc>
          <w:tcPr>
            <w:tcW w:w="2595" w:type="dxa"/>
            <w:tcBorders>
              <w:top w:val="single" w:sz="8" w:space="0" w:color="auto"/>
              <w:left w:val="nil"/>
              <w:bottom w:val="single" w:sz="8" w:space="0" w:color="auto"/>
              <w:right w:val="single" w:sz="8" w:space="0" w:color="auto"/>
            </w:tcBorders>
            <w:shd w:val="clear" w:color="auto" w:fill="auto"/>
            <w:vAlign w:val="center"/>
          </w:tcPr>
          <w:p w14:paraId="4592E782" w14:textId="77777777" w:rsidR="000409DC" w:rsidRPr="00E7687D" w:rsidRDefault="000409DC" w:rsidP="009E2F6D">
            <w:pPr>
              <w:rPr>
                <w:rFonts w:cstheme="minorHAnsi"/>
                <w:bCs/>
                <w:color w:val="323232"/>
                <w:sz w:val="22"/>
                <w:szCs w:val="22"/>
                <w:lang w:eastAsia="en-NZ"/>
              </w:rPr>
            </w:pPr>
            <w:r w:rsidRPr="00E7687D">
              <w:rPr>
                <w:rFonts w:cstheme="minorHAnsi"/>
                <w:bCs/>
                <w:color w:val="323232"/>
                <w:sz w:val="22"/>
                <w:szCs w:val="22"/>
                <w:lang w:eastAsia="en-NZ"/>
              </w:rPr>
              <w:t>110 (43 Māori)</w:t>
            </w:r>
          </w:p>
        </w:tc>
        <w:tc>
          <w:tcPr>
            <w:tcW w:w="2156" w:type="dxa"/>
            <w:tcBorders>
              <w:top w:val="single" w:sz="8" w:space="0" w:color="auto"/>
              <w:left w:val="nil"/>
              <w:bottom w:val="single" w:sz="8" w:space="0" w:color="auto"/>
              <w:right w:val="single" w:sz="8" w:space="0" w:color="auto"/>
            </w:tcBorders>
            <w:shd w:val="clear" w:color="auto" w:fill="auto"/>
            <w:vAlign w:val="center"/>
          </w:tcPr>
          <w:p w14:paraId="2FC83786" w14:textId="77777777" w:rsidR="000409DC" w:rsidRPr="00E7687D" w:rsidRDefault="000409DC" w:rsidP="009E2F6D">
            <w:pPr>
              <w:rPr>
                <w:rFonts w:cstheme="minorHAnsi"/>
                <w:bCs/>
                <w:color w:val="323232"/>
                <w:sz w:val="22"/>
                <w:szCs w:val="22"/>
                <w:lang w:eastAsia="en-NZ"/>
              </w:rPr>
            </w:pPr>
            <w:r w:rsidRPr="00E7687D">
              <w:rPr>
                <w:rFonts w:cstheme="minorHAnsi"/>
                <w:bCs/>
                <w:color w:val="323232"/>
                <w:sz w:val="22"/>
                <w:szCs w:val="22"/>
                <w:lang w:eastAsia="en-NZ"/>
              </w:rPr>
              <w:t>433</w:t>
            </w:r>
          </w:p>
        </w:tc>
      </w:tr>
      <w:tr w:rsidR="000409DC" w:rsidRPr="00E7687D" w14:paraId="47CFF569" w14:textId="77777777" w:rsidTr="000409DC">
        <w:trPr>
          <w:trHeight w:val="570"/>
        </w:trPr>
        <w:tc>
          <w:tcPr>
            <w:tcW w:w="1941" w:type="dxa"/>
            <w:tcBorders>
              <w:top w:val="single" w:sz="8" w:space="0" w:color="auto"/>
              <w:left w:val="single" w:sz="8" w:space="0" w:color="auto"/>
              <w:bottom w:val="single" w:sz="8" w:space="0" w:color="auto"/>
              <w:right w:val="single" w:sz="8" w:space="0" w:color="auto"/>
            </w:tcBorders>
            <w:shd w:val="clear" w:color="auto" w:fill="auto"/>
            <w:vAlign w:val="center"/>
          </w:tcPr>
          <w:p w14:paraId="37AF3FB0" w14:textId="77777777" w:rsidR="000409DC" w:rsidRPr="00E7687D" w:rsidRDefault="000409DC" w:rsidP="009E2F6D">
            <w:pPr>
              <w:rPr>
                <w:rFonts w:cstheme="minorHAnsi"/>
                <w:bCs/>
                <w:color w:val="323232"/>
                <w:sz w:val="22"/>
                <w:szCs w:val="22"/>
                <w:lang w:eastAsia="en-NZ"/>
              </w:rPr>
            </w:pPr>
            <w:r w:rsidRPr="00E7687D">
              <w:rPr>
                <w:rFonts w:cstheme="minorHAnsi"/>
                <w:bCs/>
                <w:color w:val="323232"/>
                <w:sz w:val="22"/>
                <w:szCs w:val="22"/>
                <w:lang w:eastAsia="en-NZ"/>
              </w:rPr>
              <w:t>2017</w:t>
            </w:r>
          </w:p>
        </w:tc>
        <w:tc>
          <w:tcPr>
            <w:tcW w:w="2595" w:type="dxa"/>
            <w:tcBorders>
              <w:top w:val="single" w:sz="8" w:space="0" w:color="auto"/>
              <w:left w:val="nil"/>
              <w:bottom w:val="single" w:sz="8" w:space="0" w:color="auto"/>
              <w:right w:val="single" w:sz="8" w:space="0" w:color="auto"/>
            </w:tcBorders>
            <w:shd w:val="clear" w:color="auto" w:fill="auto"/>
            <w:vAlign w:val="center"/>
          </w:tcPr>
          <w:p w14:paraId="592B0CD1" w14:textId="77777777" w:rsidR="000409DC" w:rsidRPr="00E7687D" w:rsidRDefault="000409DC" w:rsidP="009E2F6D">
            <w:pPr>
              <w:rPr>
                <w:rFonts w:cstheme="minorHAnsi"/>
                <w:bCs/>
                <w:color w:val="323232"/>
                <w:sz w:val="22"/>
                <w:szCs w:val="22"/>
                <w:lang w:eastAsia="en-NZ"/>
              </w:rPr>
            </w:pPr>
            <w:r w:rsidRPr="00E7687D">
              <w:rPr>
                <w:rFonts w:cstheme="minorHAnsi"/>
                <w:bCs/>
                <w:color w:val="323232"/>
                <w:sz w:val="22"/>
                <w:szCs w:val="22"/>
                <w:lang w:eastAsia="en-NZ"/>
              </w:rPr>
              <w:t>83 (43 Māori)</w:t>
            </w:r>
          </w:p>
        </w:tc>
        <w:tc>
          <w:tcPr>
            <w:tcW w:w="2156" w:type="dxa"/>
            <w:tcBorders>
              <w:top w:val="single" w:sz="8" w:space="0" w:color="auto"/>
              <w:left w:val="nil"/>
              <w:bottom w:val="single" w:sz="8" w:space="0" w:color="auto"/>
              <w:right w:val="single" w:sz="8" w:space="0" w:color="auto"/>
            </w:tcBorders>
            <w:shd w:val="clear" w:color="auto" w:fill="auto"/>
            <w:vAlign w:val="center"/>
          </w:tcPr>
          <w:p w14:paraId="63978B82" w14:textId="77777777" w:rsidR="000409DC" w:rsidRPr="00E7687D" w:rsidRDefault="000409DC" w:rsidP="009E2F6D">
            <w:pPr>
              <w:rPr>
                <w:rFonts w:cstheme="minorHAnsi"/>
                <w:bCs/>
                <w:color w:val="323232"/>
                <w:sz w:val="22"/>
                <w:szCs w:val="22"/>
                <w:lang w:eastAsia="en-NZ"/>
              </w:rPr>
            </w:pPr>
            <w:r w:rsidRPr="00E7687D">
              <w:rPr>
                <w:rFonts w:cstheme="minorHAnsi"/>
                <w:bCs/>
                <w:color w:val="323232"/>
                <w:sz w:val="22"/>
                <w:szCs w:val="22"/>
                <w:lang w:eastAsia="en-NZ"/>
              </w:rPr>
              <w:t>270</w:t>
            </w:r>
          </w:p>
        </w:tc>
      </w:tr>
      <w:tr w:rsidR="000409DC" w:rsidRPr="00E7687D" w14:paraId="0789A6C9" w14:textId="77777777" w:rsidTr="000409DC">
        <w:trPr>
          <w:trHeight w:val="570"/>
        </w:trPr>
        <w:tc>
          <w:tcPr>
            <w:tcW w:w="1941" w:type="dxa"/>
            <w:tcBorders>
              <w:top w:val="single" w:sz="8" w:space="0" w:color="auto"/>
              <w:left w:val="single" w:sz="8" w:space="0" w:color="auto"/>
              <w:bottom w:val="single" w:sz="8" w:space="0" w:color="auto"/>
              <w:right w:val="single" w:sz="8" w:space="0" w:color="auto"/>
            </w:tcBorders>
            <w:shd w:val="clear" w:color="auto" w:fill="auto"/>
            <w:vAlign w:val="center"/>
          </w:tcPr>
          <w:p w14:paraId="1006884D" w14:textId="77777777" w:rsidR="000409DC" w:rsidRPr="00E7687D" w:rsidRDefault="000409DC" w:rsidP="009E2F6D">
            <w:pPr>
              <w:rPr>
                <w:rFonts w:cstheme="minorHAnsi"/>
                <w:bCs/>
                <w:color w:val="323232"/>
                <w:sz w:val="22"/>
                <w:szCs w:val="22"/>
                <w:lang w:eastAsia="en-NZ"/>
              </w:rPr>
            </w:pPr>
            <w:r w:rsidRPr="00E7687D">
              <w:rPr>
                <w:rFonts w:cstheme="minorHAnsi"/>
                <w:bCs/>
                <w:color w:val="323232"/>
                <w:sz w:val="22"/>
                <w:szCs w:val="22"/>
                <w:lang w:eastAsia="en-NZ"/>
              </w:rPr>
              <w:t>2018</w:t>
            </w:r>
          </w:p>
        </w:tc>
        <w:tc>
          <w:tcPr>
            <w:tcW w:w="2595" w:type="dxa"/>
            <w:tcBorders>
              <w:top w:val="single" w:sz="8" w:space="0" w:color="auto"/>
              <w:left w:val="nil"/>
              <w:bottom w:val="single" w:sz="8" w:space="0" w:color="auto"/>
              <w:right w:val="single" w:sz="8" w:space="0" w:color="auto"/>
            </w:tcBorders>
            <w:shd w:val="clear" w:color="auto" w:fill="auto"/>
            <w:vAlign w:val="center"/>
          </w:tcPr>
          <w:p w14:paraId="65A7AC91" w14:textId="77777777" w:rsidR="000409DC" w:rsidRPr="00E7687D" w:rsidRDefault="000409DC" w:rsidP="009E2F6D">
            <w:pPr>
              <w:rPr>
                <w:rFonts w:cstheme="minorHAnsi"/>
                <w:bCs/>
                <w:color w:val="323232"/>
                <w:sz w:val="22"/>
                <w:szCs w:val="22"/>
                <w:lang w:eastAsia="en-NZ"/>
              </w:rPr>
            </w:pPr>
            <w:r w:rsidRPr="00E7687D">
              <w:rPr>
                <w:rFonts w:cstheme="minorHAnsi"/>
                <w:bCs/>
                <w:color w:val="323232"/>
                <w:sz w:val="22"/>
                <w:szCs w:val="22"/>
                <w:lang w:eastAsia="en-NZ"/>
              </w:rPr>
              <w:t>80 (43 Māori)</w:t>
            </w:r>
          </w:p>
        </w:tc>
        <w:tc>
          <w:tcPr>
            <w:tcW w:w="2156" w:type="dxa"/>
            <w:tcBorders>
              <w:top w:val="single" w:sz="8" w:space="0" w:color="auto"/>
              <w:left w:val="nil"/>
              <w:bottom w:val="single" w:sz="8" w:space="0" w:color="auto"/>
              <w:right w:val="single" w:sz="8" w:space="0" w:color="auto"/>
            </w:tcBorders>
            <w:shd w:val="clear" w:color="auto" w:fill="auto"/>
            <w:vAlign w:val="center"/>
          </w:tcPr>
          <w:p w14:paraId="6C941229" w14:textId="77777777" w:rsidR="000409DC" w:rsidRPr="00E7687D" w:rsidRDefault="000409DC" w:rsidP="009E2F6D">
            <w:pPr>
              <w:rPr>
                <w:rFonts w:cstheme="minorHAnsi"/>
                <w:bCs/>
                <w:color w:val="323232"/>
                <w:sz w:val="22"/>
                <w:szCs w:val="22"/>
                <w:lang w:eastAsia="en-NZ"/>
              </w:rPr>
            </w:pPr>
            <w:r w:rsidRPr="00E7687D">
              <w:rPr>
                <w:rFonts w:cstheme="minorHAnsi"/>
                <w:bCs/>
                <w:color w:val="323232"/>
                <w:sz w:val="22"/>
                <w:szCs w:val="22"/>
                <w:lang w:eastAsia="en-NZ"/>
              </w:rPr>
              <w:t>301</w:t>
            </w:r>
          </w:p>
        </w:tc>
      </w:tr>
      <w:tr w:rsidR="000409DC" w:rsidRPr="00E7687D" w14:paraId="1511EF27" w14:textId="77777777" w:rsidTr="000409DC">
        <w:trPr>
          <w:trHeight w:val="570"/>
        </w:trPr>
        <w:tc>
          <w:tcPr>
            <w:tcW w:w="1941" w:type="dxa"/>
            <w:tcBorders>
              <w:top w:val="single" w:sz="8" w:space="0" w:color="auto"/>
              <w:left w:val="single" w:sz="8" w:space="0" w:color="auto"/>
              <w:bottom w:val="single" w:sz="8" w:space="0" w:color="auto"/>
              <w:right w:val="single" w:sz="8" w:space="0" w:color="auto"/>
            </w:tcBorders>
            <w:shd w:val="clear" w:color="auto" w:fill="auto"/>
            <w:vAlign w:val="center"/>
          </w:tcPr>
          <w:p w14:paraId="46D0121C" w14:textId="77777777" w:rsidR="000409DC" w:rsidRPr="00E7687D" w:rsidRDefault="000409DC" w:rsidP="009E2F6D">
            <w:pPr>
              <w:rPr>
                <w:rFonts w:cstheme="minorHAnsi"/>
                <w:bCs/>
                <w:color w:val="323232"/>
                <w:sz w:val="22"/>
                <w:szCs w:val="22"/>
                <w:lang w:eastAsia="en-NZ"/>
              </w:rPr>
            </w:pPr>
            <w:r w:rsidRPr="00E7687D">
              <w:rPr>
                <w:rFonts w:cstheme="minorHAnsi"/>
                <w:bCs/>
                <w:color w:val="323232"/>
                <w:sz w:val="22"/>
                <w:szCs w:val="22"/>
                <w:lang w:eastAsia="en-NZ"/>
              </w:rPr>
              <w:t>2019</w:t>
            </w:r>
          </w:p>
        </w:tc>
        <w:tc>
          <w:tcPr>
            <w:tcW w:w="2595" w:type="dxa"/>
            <w:tcBorders>
              <w:top w:val="single" w:sz="8" w:space="0" w:color="auto"/>
              <w:left w:val="nil"/>
              <w:bottom w:val="single" w:sz="8" w:space="0" w:color="auto"/>
              <w:right w:val="single" w:sz="8" w:space="0" w:color="auto"/>
            </w:tcBorders>
            <w:shd w:val="clear" w:color="auto" w:fill="auto"/>
            <w:vAlign w:val="center"/>
          </w:tcPr>
          <w:p w14:paraId="375392A4" w14:textId="77777777" w:rsidR="000409DC" w:rsidRPr="00E7687D" w:rsidRDefault="000409DC" w:rsidP="009E2F6D">
            <w:pPr>
              <w:rPr>
                <w:rFonts w:cstheme="minorHAnsi"/>
                <w:bCs/>
                <w:color w:val="323232"/>
                <w:sz w:val="22"/>
                <w:szCs w:val="22"/>
                <w:lang w:eastAsia="en-NZ"/>
              </w:rPr>
            </w:pPr>
            <w:r w:rsidRPr="00E7687D">
              <w:rPr>
                <w:rFonts w:cstheme="minorHAnsi"/>
                <w:bCs/>
                <w:color w:val="323232"/>
                <w:sz w:val="22"/>
                <w:szCs w:val="22"/>
                <w:lang w:eastAsia="en-NZ"/>
              </w:rPr>
              <w:t>83 (41 Māori)</w:t>
            </w:r>
          </w:p>
        </w:tc>
        <w:tc>
          <w:tcPr>
            <w:tcW w:w="2156" w:type="dxa"/>
            <w:tcBorders>
              <w:top w:val="single" w:sz="8" w:space="0" w:color="auto"/>
              <w:left w:val="nil"/>
              <w:bottom w:val="single" w:sz="8" w:space="0" w:color="auto"/>
              <w:right w:val="single" w:sz="8" w:space="0" w:color="auto"/>
            </w:tcBorders>
            <w:shd w:val="clear" w:color="auto" w:fill="auto"/>
            <w:vAlign w:val="center"/>
          </w:tcPr>
          <w:p w14:paraId="1C2D6895" w14:textId="77777777" w:rsidR="000409DC" w:rsidRPr="00E7687D" w:rsidRDefault="000409DC" w:rsidP="009E2F6D">
            <w:pPr>
              <w:rPr>
                <w:rFonts w:cstheme="minorHAnsi"/>
                <w:bCs/>
                <w:color w:val="323232"/>
                <w:sz w:val="22"/>
                <w:szCs w:val="22"/>
                <w:lang w:eastAsia="en-NZ"/>
              </w:rPr>
            </w:pPr>
            <w:r w:rsidRPr="00E7687D">
              <w:rPr>
                <w:rFonts w:cstheme="minorHAnsi"/>
                <w:bCs/>
                <w:color w:val="323232"/>
                <w:sz w:val="22"/>
                <w:szCs w:val="22"/>
                <w:lang w:eastAsia="en-NZ"/>
              </w:rPr>
              <w:t>313</w:t>
            </w:r>
          </w:p>
        </w:tc>
      </w:tr>
      <w:tr w:rsidR="000409DC" w:rsidRPr="00E7687D" w14:paraId="2DCE1755" w14:textId="77777777" w:rsidTr="000409DC">
        <w:trPr>
          <w:trHeight w:val="570"/>
        </w:trPr>
        <w:tc>
          <w:tcPr>
            <w:tcW w:w="1941" w:type="dxa"/>
            <w:tcBorders>
              <w:top w:val="single" w:sz="8" w:space="0" w:color="auto"/>
              <w:left w:val="single" w:sz="8" w:space="0" w:color="auto"/>
              <w:bottom w:val="single" w:sz="8" w:space="0" w:color="auto"/>
              <w:right w:val="single" w:sz="8" w:space="0" w:color="auto"/>
            </w:tcBorders>
            <w:shd w:val="clear" w:color="auto" w:fill="auto"/>
            <w:vAlign w:val="center"/>
          </w:tcPr>
          <w:p w14:paraId="6C106888" w14:textId="77777777" w:rsidR="000409DC" w:rsidRPr="00E7687D" w:rsidRDefault="000409DC" w:rsidP="009E2F6D">
            <w:pPr>
              <w:rPr>
                <w:rFonts w:cstheme="minorHAnsi"/>
                <w:bCs/>
                <w:color w:val="323232"/>
                <w:sz w:val="22"/>
                <w:szCs w:val="22"/>
                <w:lang w:eastAsia="en-NZ"/>
              </w:rPr>
            </w:pPr>
            <w:r w:rsidRPr="00E7687D">
              <w:rPr>
                <w:rFonts w:cstheme="minorHAnsi"/>
                <w:bCs/>
                <w:color w:val="323232"/>
                <w:sz w:val="22"/>
                <w:szCs w:val="22"/>
                <w:lang w:eastAsia="en-NZ"/>
              </w:rPr>
              <w:t>2020</w:t>
            </w:r>
          </w:p>
        </w:tc>
        <w:tc>
          <w:tcPr>
            <w:tcW w:w="2595" w:type="dxa"/>
            <w:tcBorders>
              <w:top w:val="single" w:sz="8" w:space="0" w:color="auto"/>
              <w:left w:val="nil"/>
              <w:bottom w:val="single" w:sz="8" w:space="0" w:color="auto"/>
              <w:right w:val="single" w:sz="8" w:space="0" w:color="auto"/>
            </w:tcBorders>
            <w:shd w:val="clear" w:color="auto" w:fill="auto"/>
            <w:vAlign w:val="center"/>
          </w:tcPr>
          <w:p w14:paraId="4C87208B" w14:textId="77777777" w:rsidR="000409DC" w:rsidRPr="00E7687D" w:rsidRDefault="000409DC" w:rsidP="009E2F6D">
            <w:pPr>
              <w:rPr>
                <w:rFonts w:cstheme="minorHAnsi"/>
                <w:bCs/>
                <w:color w:val="323232"/>
                <w:sz w:val="22"/>
                <w:szCs w:val="22"/>
                <w:lang w:eastAsia="en-NZ"/>
              </w:rPr>
            </w:pPr>
            <w:r w:rsidRPr="00E7687D">
              <w:rPr>
                <w:rFonts w:cstheme="minorHAnsi"/>
                <w:bCs/>
                <w:color w:val="323232"/>
                <w:sz w:val="22"/>
                <w:szCs w:val="22"/>
                <w:lang w:eastAsia="en-NZ"/>
              </w:rPr>
              <w:t>79 (38 Māori)</w:t>
            </w:r>
          </w:p>
        </w:tc>
        <w:tc>
          <w:tcPr>
            <w:tcW w:w="2156" w:type="dxa"/>
            <w:tcBorders>
              <w:top w:val="single" w:sz="8" w:space="0" w:color="auto"/>
              <w:left w:val="nil"/>
              <w:bottom w:val="single" w:sz="8" w:space="0" w:color="auto"/>
              <w:right w:val="single" w:sz="8" w:space="0" w:color="auto"/>
            </w:tcBorders>
            <w:shd w:val="clear" w:color="auto" w:fill="auto"/>
            <w:vAlign w:val="center"/>
          </w:tcPr>
          <w:p w14:paraId="76F84724" w14:textId="77777777" w:rsidR="000409DC" w:rsidRPr="00E7687D" w:rsidRDefault="000409DC" w:rsidP="009E2F6D">
            <w:pPr>
              <w:rPr>
                <w:rFonts w:cstheme="minorHAnsi"/>
                <w:bCs/>
                <w:color w:val="323232"/>
                <w:sz w:val="22"/>
                <w:szCs w:val="22"/>
                <w:lang w:eastAsia="en-NZ"/>
              </w:rPr>
            </w:pPr>
            <w:r w:rsidRPr="00E7687D">
              <w:rPr>
                <w:rFonts w:cstheme="minorHAnsi"/>
                <w:bCs/>
                <w:color w:val="323232"/>
                <w:sz w:val="22"/>
                <w:szCs w:val="22"/>
                <w:lang w:eastAsia="en-NZ"/>
              </w:rPr>
              <w:t>260</w:t>
            </w:r>
          </w:p>
        </w:tc>
      </w:tr>
    </w:tbl>
    <w:p w14:paraId="197D7CCE" w14:textId="77777777" w:rsidR="000409DC" w:rsidRDefault="000409DC" w:rsidP="000409DC">
      <w:pPr>
        <w:pStyle w:val="ListParagraph"/>
        <w:rPr>
          <w:rFonts w:cstheme="minorHAnsi"/>
          <w:sz w:val="22"/>
          <w:szCs w:val="22"/>
          <w:lang w:val="mi-NZ"/>
        </w:rPr>
      </w:pPr>
    </w:p>
    <w:p w14:paraId="733AC185" w14:textId="29DBBCDB" w:rsidR="000409DC" w:rsidRPr="000409DC" w:rsidRDefault="000409DC" w:rsidP="000409DC">
      <w:pPr>
        <w:pStyle w:val="Heading2"/>
      </w:pPr>
    </w:p>
    <w:p w14:paraId="180F934A" w14:textId="629C53F7" w:rsidR="000409DC" w:rsidRPr="000409DC" w:rsidRDefault="000409DC" w:rsidP="000409DC">
      <w:pPr>
        <w:pStyle w:val="Heading2"/>
      </w:pPr>
      <w:bookmarkStart w:id="73" w:name="_Toc111485496"/>
      <w:r w:rsidRPr="000409DC">
        <w:t>Use of restraints in custody</w:t>
      </w:r>
      <w:bookmarkEnd w:id="73"/>
    </w:p>
    <w:p w14:paraId="6DE8D3BB" w14:textId="77777777" w:rsidR="000409DC" w:rsidRPr="000409DC" w:rsidRDefault="000409DC" w:rsidP="000409DC">
      <w:pPr>
        <w:rPr>
          <w:rFonts w:cstheme="minorHAnsi"/>
          <w:sz w:val="22"/>
          <w:szCs w:val="22"/>
          <w:lang w:val="mi-NZ"/>
        </w:rPr>
      </w:pPr>
    </w:p>
    <w:p w14:paraId="5204E672" w14:textId="74397694" w:rsidR="000409DC" w:rsidRPr="000409DC" w:rsidRDefault="000409DC" w:rsidP="000409DC">
      <w:pPr>
        <w:pStyle w:val="ListParagraph"/>
        <w:numPr>
          <w:ilvl w:val="0"/>
          <w:numId w:val="9"/>
        </w:numPr>
        <w:ind w:hanging="720"/>
        <w:rPr>
          <w:rFonts w:cstheme="minorHAnsi"/>
          <w:sz w:val="22"/>
          <w:szCs w:val="22"/>
          <w:lang w:val="mi-NZ"/>
        </w:rPr>
      </w:pPr>
      <w:r w:rsidRPr="000409DC">
        <w:rPr>
          <w:rFonts w:cstheme="minorHAnsi"/>
          <w:sz w:val="22"/>
          <w:szCs w:val="22"/>
          <w:lang w:val="mi-NZ"/>
        </w:rPr>
        <w:t>Judge Andrew Becroft, former Children’s Commissioner, called for the use of restraint chairs and spit hoods for children to be discontinued. Between 2015 and 2020, Police strapped 38 young people into restraint chairs in Police cells.</w:t>
      </w:r>
      <w:r w:rsidRPr="000409DC">
        <w:rPr>
          <w:rFonts w:cstheme="minorHAnsi"/>
          <w:sz w:val="22"/>
          <w:szCs w:val="22"/>
          <w:vertAlign w:val="superscript"/>
          <w:lang w:val="mi-NZ"/>
        </w:rPr>
        <w:footnoteReference w:id="459"/>
      </w:r>
      <w:r w:rsidRPr="000409DC">
        <w:rPr>
          <w:rFonts w:cstheme="minorHAnsi"/>
          <w:sz w:val="22"/>
          <w:szCs w:val="22"/>
          <w:lang w:val="mi-NZ"/>
        </w:rPr>
        <w:t xml:space="preserve"> Police data shows more frequent use of spit hoods, with Police </w:t>
      </w:r>
      <w:r w:rsidRPr="000409DC">
        <w:rPr>
          <w:rFonts w:cstheme="minorHAnsi"/>
          <w:sz w:val="22"/>
          <w:szCs w:val="22"/>
          <w:lang w:val="en-NZ"/>
        </w:rPr>
        <w:t xml:space="preserve">Tactical Options Reports (TORs) showing </w:t>
      </w:r>
      <w:r w:rsidRPr="000409DC">
        <w:rPr>
          <w:rFonts w:cstheme="minorHAnsi"/>
          <w:sz w:val="22"/>
          <w:szCs w:val="22"/>
          <w:lang w:val="mi-NZ"/>
        </w:rPr>
        <w:t xml:space="preserve">a spitting hood was used </w:t>
      </w:r>
      <w:r w:rsidRPr="000409DC">
        <w:rPr>
          <w:rFonts w:cstheme="minorHAnsi"/>
          <w:sz w:val="22"/>
          <w:szCs w:val="22"/>
          <w:lang w:val="en-NZ"/>
        </w:rPr>
        <w:t>on a subject aged 17 or under in</w:t>
      </w:r>
      <w:r w:rsidRPr="000409DC">
        <w:rPr>
          <w:rFonts w:cstheme="minorHAnsi"/>
          <w:sz w:val="22"/>
          <w:szCs w:val="22"/>
          <w:lang w:val="mi-NZ"/>
        </w:rPr>
        <w:t>:</w:t>
      </w:r>
    </w:p>
    <w:p w14:paraId="21097AEF" w14:textId="77777777" w:rsidR="000409DC" w:rsidRPr="000409DC" w:rsidRDefault="000409DC" w:rsidP="000409DC">
      <w:pPr>
        <w:pStyle w:val="ListParagraph"/>
        <w:rPr>
          <w:rFonts w:cstheme="minorHAnsi"/>
          <w:sz w:val="22"/>
          <w:szCs w:val="22"/>
          <w:lang w:val="mi-NZ"/>
        </w:rPr>
      </w:pPr>
    </w:p>
    <w:p w14:paraId="03BDDC4C" w14:textId="77777777" w:rsidR="000409DC" w:rsidRPr="000409DC" w:rsidRDefault="000409DC" w:rsidP="00916EA3">
      <w:pPr>
        <w:pStyle w:val="ListParagraph"/>
        <w:numPr>
          <w:ilvl w:val="0"/>
          <w:numId w:val="37"/>
        </w:numPr>
        <w:rPr>
          <w:rFonts w:cstheme="minorHAnsi"/>
          <w:sz w:val="22"/>
          <w:szCs w:val="22"/>
          <w:lang w:val="mi-NZ"/>
        </w:rPr>
      </w:pPr>
      <w:r w:rsidRPr="000409DC">
        <w:rPr>
          <w:rFonts w:cstheme="minorHAnsi"/>
          <w:sz w:val="22"/>
          <w:szCs w:val="22"/>
          <w:lang w:val="mi-NZ"/>
        </w:rPr>
        <w:t>41 TOR events from 1 May to 31 December 2015.</w:t>
      </w:r>
    </w:p>
    <w:p w14:paraId="25B90F4D" w14:textId="77777777" w:rsidR="000409DC" w:rsidRPr="000409DC" w:rsidRDefault="000409DC" w:rsidP="00916EA3">
      <w:pPr>
        <w:pStyle w:val="ListParagraph"/>
        <w:numPr>
          <w:ilvl w:val="0"/>
          <w:numId w:val="37"/>
        </w:numPr>
        <w:rPr>
          <w:rFonts w:cstheme="minorHAnsi"/>
          <w:sz w:val="22"/>
          <w:szCs w:val="22"/>
          <w:lang w:val="mi-NZ"/>
        </w:rPr>
      </w:pPr>
      <w:r w:rsidRPr="000409DC">
        <w:rPr>
          <w:rFonts w:cstheme="minorHAnsi"/>
          <w:sz w:val="22"/>
          <w:szCs w:val="22"/>
          <w:lang w:val="mi-NZ"/>
        </w:rPr>
        <w:t>70 TOR events in 2016.</w:t>
      </w:r>
    </w:p>
    <w:p w14:paraId="45FEC223" w14:textId="77777777" w:rsidR="000409DC" w:rsidRDefault="000409DC" w:rsidP="00916EA3">
      <w:pPr>
        <w:pStyle w:val="ListParagraph"/>
        <w:numPr>
          <w:ilvl w:val="0"/>
          <w:numId w:val="37"/>
        </w:numPr>
        <w:rPr>
          <w:rFonts w:cstheme="minorHAnsi"/>
          <w:sz w:val="22"/>
          <w:szCs w:val="22"/>
          <w:lang w:val="mi-NZ"/>
        </w:rPr>
      </w:pPr>
      <w:r w:rsidRPr="000409DC">
        <w:rPr>
          <w:rFonts w:cstheme="minorHAnsi"/>
          <w:sz w:val="22"/>
          <w:szCs w:val="22"/>
          <w:lang w:val="mi-NZ"/>
        </w:rPr>
        <w:t>42 TOR events in 2017.</w:t>
      </w:r>
    </w:p>
    <w:p w14:paraId="7D9EA352" w14:textId="44E5FBEE" w:rsidR="000409DC" w:rsidRPr="000409DC" w:rsidRDefault="000409DC" w:rsidP="00916EA3">
      <w:pPr>
        <w:pStyle w:val="ListParagraph"/>
        <w:numPr>
          <w:ilvl w:val="0"/>
          <w:numId w:val="37"/>
        </w:numPr>
        <w:rPr>
          <w:rFonts w:cstheme="minorHAnsi"/>
          <w:sz w:val="22"/>
          <w:szCs w:val="22"/>
          <w:lang w:val="mi-NZ"/>
        </w:rPr>
      </w:pPr>
      <w:r w:rsidRPr="000409DC">
        <w:rPr>
          <w:rFonts w:cstheme="minorHAnsi"/>
          <w:sz w:val="22"/>
          <w:szCs w:val="22"/>
          <w:lang w:val="mi-NZ"/>
        </w:rPr>
        <w:t>44 TOR events in 2018.</w:t>
      </w:r>
    </w:p>
    <w:p w14:paraId="49EC8C15" w14:textId="77777777" w:rsidR="000409DC" w:rsidRPr="000409DC" w:rsidRDefault="000409DC" w:rsidP="00916EA3">
      <w:pPr>
        <w:pStyle w:val="ListParagraph"/>
        <w:numPr>
          <w:ilvl w:val="0"/>
          <w:numId w:val="37"/>
        </w:numPr>
        <w:rPr>
          <w:rFonts w:cstheme="minorHAnsi"/>
          <w:sz w:val="22"/>
          <w:szCs w:val="22"/>
          <w:lang w:val="mi-NZ"/>
        </w:rPr>
      </w:pPr>
      <w:r w:rsidRPr="000409DC">
        <w:rPr>
          <w:rFonts w:cstheme="minorHAnsi"/>
          <w:sz w:val="22"/>
          <w:szCs w:val="22"/>
          <w:lang w:val="mi-NZ"/>
        </w:rPr>
        <w:lastRenderedPageBreak/>
        <w:t>43 TOR events in 2019.</w:t>
      </w:r>
    </w:p>
    <w:p w14:paraId="12C6CEE2" w14:textId="77777777" w:rsidR="000409DC" w:rsidRPr="000409DC" w:rsidRDefault="000409DC" w:rsidP="00916EA3">
      <w:pPr>
        <w:pStyle w:val="ListParagraph"/>
        <w:numPr>
          <w:ilvl w:val="0"/>
          <w:numId w:val="37"/>
        </w:numPr>
        <w:rPr>
          <w:rFonts w:cstheme="minorHAnsi"/>
          <w:sz w:val="22"/>
          <w:szCs w:val="22"/>
          <w:lang w:val="mi-NZ"/>
        </w:rPr>
      </w:pPr>
      <w:r w:rsidRPr="000409DC">
        <w:rPr>
          <w:rFonts w:cstheme="minorHAnsi"/>
          <w:sz w:val="22"/>
          <w:szCs w:val="22"/>
          <w:lang w:val="mi-NZ"/>
        </w:rPr>
        <w:t>51 TOR events in 2020.</w:t>
      </w:r>
    </w:p>
    <w:p w14:paraId="6FFB71FD" w14:textId="77777777" w:rsidR="000409DC" w:rsidRPr="000409DC" w:rsidRDefault="000409DC" w:rsidP="00916EA3">
      <w:pPr>
        <w:pStyle w:val="ListParagraph"/>
        <w:numPr>
          <w:ilvl w:val="0"/>
          <w:numId w:val="37"/>
        </w:numPr>
        <w:rPr>
          <w:rFonts w:cstheme="minorHAnsi"/>
          <w:sz w:val="22"/>
          <w:szCs w:val="22"/>
          <w:lang w:val="mi-NZ"/>
        </w:rPr>
      </w:pPr>
      <w:r w:rsidRPr="000409DC">
        <w:rPr>
          <w:rFonts w:cstheme="minorHAnsi"/>
          <w:sz w:val="22"/>
          <w:szCs w:val="22"/>
          <w:lang w:val="mi-NZ"/>
        </w:rPr>
        <w:t>17 TOR events in the three months to 31 March 2021.</w:t>
      </w:r>
    </w:p>
    <w:p w14:paraId="1C50F877" w14:textId="77777777" w:rsidR="000409DC" w:rsidRPr="000409DC" w:rsidRDefault="000409DC" w:rsidP="000409DC">
      <w:pPr>
        <w:pStyle w:val="ListParagraph"/>
        <w:rPr>
          <w:rFonts w:cstheme="minorHAnsi"/>
          <w:sz w:val="22"/>
          <w:szCs w:val="22"/>
          <w:lang w:val="mi-NZ"/>
        </w:rPr>
      </w:pPr>
    </w:p>
    <w:p w14:paraId="6958A2F4" w14:textId="77777777" w:rsidR="000409DC" w:rsidRPr="000409DC" w:rsidRDefault="000409DC" w:rsidP="000409DC">
      <w:pPr>
        <w:pStyle w:val="ListParagraph"/>
        <w:numPr>
          <w:ilvl w:val="0"/>
          <w:numId w:val="9"/>
        </w:numPr>
        <w:ind w:hanging="720"/>
        <w:rPr>
          <w:rFonts w:cstheme="minorHAnsi"/>
          <w:sz w:val="22"/>
          <w:szCs w:val="22"/>
          <w:lang w:val="mi-NZ"/>
        </w:rPr>
      </w:pPr>
      <w:r w:rsidRPr="000409DC">
        <w:rPr>
          <w:rFonts w:cstheme="minorHAnsi"/>
          <w:sz w:val="22"/>
          <w:szCs w:val="22"/>
          <w:lang w:val="mi-NZ"/>
        </w:rPr>
        <w:t>Media reports also suggest that Police officers failed to follow their own policy which prohibits the hooding of individuals after they have been pepper sprayed – this occurred 10 times in 2018 and 13 times in 2019.</w:t>
      </w:r>
      <w:r w:rsidRPr="000409DC">
        <w:rPr>
          <w:rFonts w:cstheme="minorHAnsi"/>
          <w:sz w:val="22"/>
          <w:szCs w:val="22"/>
          <w:vertAlign w:val="superscript"/>
          <w:lang w:val="mi-NZ"/>
        </w:rPr>
        <w:footnoteReference w:id="460"/>
      </w:r>
      <w:r w:rsidRPr="000409DC">
        <w:rPr>
          <w:rFonts w:cstheme="minorHAnsi"/>
          <w:sz w:val="22"/>
          <w:szCs w:val="22"/>
          <w:lang w:val="mi-NZ"/>
        </w:rPr>
        <w:t xml:space="preserve"> It is unclear whether these incidents involved children, but any breach of policy in relation to the use of such an abusive practice with them gives rise to additional concern.</w:t>
      </w:r>
    </w:p>
    <w:p w14:paraId="08704D8D" w14:textId="03E39853" w:rsidR="000409DC" w:rsidRDefault="000409DC" w:rsidP="000409DC">
      <w:pPr>
        <w:rPr>
          <w:rFonts w:cstheme="minorHAnsi"/>
          <w:sz w:val="22"/>
          <w:szCs w:val="22"/>
          <w:lang w:val="mi-NZ"/>
        </w:rPr>
      </w:pPr>
    </w:p>
    <w:p w14:paraId="2C0C9988" w14:textId="77777777" w:rsidR="000409DC" w:rsidRPr="00E7687D" w:rsidRDefault="000409DC" w:rsidP="000409DC">
      <w:pPr>
        <w:pStyle w:val="Heading2"/>
        <w:rPr>
          <w:lang w:val="mi-NZ"/>
        </w:rPr>
      </w:pPr>
      <w:bookmarkStart w:id="74" w:name="_Toc111485497"/>
      <w:r w:rsidRPr="00E7687D">
        <w:rPr>
          <w:lang w:val="mi-NZ"/>
        </w:rPr>
        <w:t>Over-representation of tamariki and rangatahi M</w:t>
      </w:r>
      <w:r w:rsidRPr="00E7687D">
        <w:t>ā</w:t>
      </w:r>
      <w:r w:rsidRPr="00E7687D">
        <w:rPr>
          <w:lang w:val="mi-NZ"/>
        </w:rPr>
        <w:t>ori and Pa</w:t>
      </w:r>
      <w:r>
        <w:rPr>
          <w:lang w:val="mi-NZ"/>
        </w:rPr>
        <w:t>cific</w:t>
      </w:r>
      <w:r w:rsidRPr="00E7687D">
        <w:rPr>
          <w:lang w:val="mi-NZ"/>
        </w:rPr>
        <w:t xml:space="preserve"> children in the youth justice system</w:t>
      </w:r>
      <w:bookmarkEnd w:id="74"/>
    </w:p>
    <w:p w14:paraId="4D57600C" w14:textId="77777777" w:rsidR="000409DC" w:rsidRPr="000409DC" w:rsidRDefault="000409DC" w:rsidP="000409DC">
      <w:pPr>
        <w:rPr>
          <w:rFonts w:cstheme="minorHAnsi"/>
          <w:sz w:val="22"/>
          <w:szCs w:val="22"/>
          <w:lang w:val="mi-NZ"/>
        </w:rPr>
      </w:pPr>
    </w:p>
    <w:p w14:paraId="1D8690A7" w14:textId="288D6A22" w:rsidR="000409DC" w:rsidRDefault="000409DC" w:rsidP="000409DC">
      <w:pPr>
        <w:pStyle w:val="ListParagraph"/>
        <w:numPr>
          <w:ilvl w:val="0"/>
          <w:numId w:val="9"/>
        </w:numPr>
        <w:ind w:hanging="720"/>
        <w:rPr>
          <w:rFonts w:cstheme="minorHAnsi"/>
          <w:sz w:val="22"/>
          <w:szCs w:val="22"/>
          <w:lang w:val="en-NZ"/>
        </w:rPr>
      </w:pPr>
      <w:r w:rsidRPr="000409DC">
        <w:rPr>
          <w:rFonts w:cstheme="minorHAnsi"/>
          <w:sz w:val="22"/>
          <w:szCs w:val="22"/>
          <w:lang w:val="en-NZ"/>
        </w:rPr>
        <w:t xml:space="preserve">Tamariki and </w:t>
      </w:r>
      <w:proofErr w:type="spellStart"/>
      <w:r w:rsidRPr="000409DC">
        <w:rPr>
          <w:rFonts w:cstheme="minorHAnsi"/>
          <w:sz w:val="22"/>
          <w:szCs w:val="22"/>
          <w:lang w:val="en-NZ"/>
        </w:rPr>
        <w:t>rangatahi</w:t>
      </w:r>
      <w:proofErr w:type="spellEnd"/>
      <w:r w:rsidRPr="000409DC">
        <w:rPr>
          <w:rFonts w:cstheme="minorHAnsi"/>
          <w:sz w:val="22"/>
          <w:szCs w:val="22"/>
          <w:lang w:val="en-NZ"/>
        </w:rPr>
        <w:t xml:space="preserve"> Māori continue to be overrepresented in the justice system. For example, in 2020/21:</w:t>
      </w:r>
      <w:r w:rsidRPr="000409DC">
        <w:rPr>
          <w:rFonts w:cstheme="minorHAnsi"/>
          <w:sz w:val="22"/>
          <w:szCs w:val="22"/>
          <w:vertAlign w:val="superscript"/>
          <w:lang w:val="en-NZ"/>
        </w:rPr>
        <w:footnoteReference w:id="461"/>
      </w:r>
    </w:p>
    <w:p w14:paraId="542D5758" w14:textId="77777777" w:rsidR="004D631E" w:rsidRPr="000409DC" w:rsidRDefault="004D631E" w:rsidP="004D631E">
      <w:pPr>
        <w:pStyle w:val="ListParagraph"/>
        <w:rPr>
          <w:rFonts w:cstheme="minorHAnsi"/>
          <w:sz w:val="22"/>
          <w:szCs w:val="22"/>
          <w:lang w:val="en-NZ"/>
        </w:rPr>
      </w:pPr>
    </w:p>
    <w:p w14:paraId="4E6811C9" w14:textId="77777777" w:rsidR="000409DC" w:rsidRPr="000409DC" w:rsidRDefault="000409DC" w:rsidP="00916EA3">
      <w:pPr>
        <w:pStyle w:val="ListParagraph"/>
        <w:numPr>
          <w:ilvl w:val="0"/>
          <w:numId w:val="38"/>
        </w:numPr>
        <w:rPr>
          <w:rFonts w:cstheme="minorHAnsi"/>
          <w:sz w:val="22"/>
          <w:szCs w:val="22"/>
          <w:lang w:val="en-NZ"/>
        </w:rPr>
      </w:pPr>
      <w:r w:rsidRPr="000409DC">
        <w:rPr>
          <w:rFonts w:cstheme="minorHAnsi"/>
          <w:sz w:val="22"/>
          <w:szCs w:val="22"/>
          <w:lang w:val="en-NZ"/>
        </w:rPr>
        <w:t>The offending rates for Māori children and young people were 6.3 and .4 times higher than for European/Other children and young people respectively.</w:t>
      </w:r>
    </w:p>
    <w:p w14:paraId="097F31ED" w14:textId="77777777" w:rsidR="000409DC" w:rsidRPr="000409DC" w:rsidRDefault="000409DC" w:rsidP="00916EA3">
      <w:pPr>
        <w:pStyle w:val="ListParagraph"/>
        <w:numPr>
          <w:ilvl w:val="0"/>
          <w:numId w:val="38"/>
        </w:numPr>
        <w:rPr>
          <w:rFonts w:cstheme="minorHAnsi"/>
          <w:sz w:val="22"/>
          <w:szCs w:val="22"/>
          <w:lang w:val="en-NZ"/>
        </w:rPr>
      </w:pPr>
      <w:r w:rsidRPr="000409DC">
        <w:rPr>
          <w:rFonts w:cstheme="minorHAnsi"/>
          <w:sz w:val="22"/>
          <w:szCs w:val="22"/>
          <w:lang w:val="en-NZ"/>
        </w:rPr>
        <w:t>The percentage of young Māori proceeded against who appeared in the Youth Court was 1.6 times higher than that for European/Other.</w:t>
      </w:r>
    </w:p>
    <w:p w14:paraId="6FAB05C5" w14:textId="77777777" w:rsidR="000409DC" w:rsidRPr="000409DC" w:rsidRDefault="000409DC" w:rsidP="00916EA3">
      <w:pPr>
        <w:pStyle w:val="ListParagraph"/>
        <w:numPr>
          <w:ilvl w:val="0"/>
          <w:numId w:val="38"/>
        </w:numPr>
        <w:rPr>
          <w:rFonts w:cstheme="minorHAnsi"/>
          <w:sz w:val="22"/>
          <w:szCs w:val="22"/>
          <w:lang w:val="en-NZ"/>
        </w:rPr>
      </w:pPr>
      <w:r w:rsidRPr="000409DC">
        <w:rPr>
          <w:rFonts w:cstheme="minorHAnsi"/>
          <w:sz w:val="22"/>
          <w:szCs w:val="22"/>
          <w:lang w:val="en-NZ"/>
        </w:rPr>
        <w:t>The Youth Court appearance rate for Māori young people was 8.5 times higher than that for European/Other.</w:t>
      </w:r>
    </w:p>
    <w:p w14:paraId="0F094B02" w14:textId="77777777" w:rsidR="000409DC" w:rsidRPr="000409DC" w:rsidRDefault="000409DC" w:rsidP="00916EA3">
      <w:pPr>
        <w:pStyle w:val="ListParagraph"/>
        <w:numPr>
          <w:ilvl w:val="0"/>
          <w:numId w:val="38"/>
        </w:numPr>
        <w:rPr>
          <w:rFonts w:cstheme="minorHAnsi"/>
          <w:sz w:val="22"/>
          <w:szCs w:val="22"/>
          <w:lang w:val="en-NZ"/>
        </w:rPr>
      </w:pPr>
      <w:r w:rsidRPr="000409DC">
        <w:rPr>
          <w:rFonts w:cstheme="minorHAnsi"/>
          <w:sz w:val="22"/>
          <w:szCs w:val="22"/>
          <w:lang w:val="en-NZ"/>
        </w:rPr>
        <w:t>The percentage of Māori children and young people remanded in custody was 1.9 times higher than that for European/Other.</w:t>
      </w:r>
    </w:p>
    <w:p w14:paraId="728F49B1" w14:textId="77777777" w:rsidR="000409DC" w:rsidRPr="000409DC" w:rsidRDefault="000409DC" w:rsidP="000409DC">
      <w:pPr>
        <w:pStyle w:val="ListParagraph"/>
        <w:rPr>
          <w:rFonts w:cstheme="minorHAnsi"/>
          <w:sz w:val="22"/>
          <w:szCs w:val="22"/>
          <w:lang w:val="en-NZ"/>
        </w:rPr>
      </w:pPr>
    </w:p>
    <w:p w14:paraId="7E0AED74" w14:textId="34B5F31D" w:rsidR="000409DC" w:rsidRPr="000409DC" w:rsidRDefault="000409DC" w:rsidP="000409DC">
      <w:pPr>
        <w:pStyle w:val="ListParagraph"/>
        <w:numPr>
          <w:ilvl w:val="0"/>
          <w:numId w:val="9"/>
        </w:numPr>
        <w:ind w:hanging="720"/>
        <w:rPr>
          <w:rFonts w:cstheme="minorHAnsi"/>
          <w:sz w:val="22"/>
          <w:szCs w:val="22"/>
          <w:lang w:val="en-NZ"/>
        </w:rPr>
      </w:pPr>
      <w:r w:rsidRPr="000409DC">
        <w:rPr>
          <w:rFonts w:cstheme="minorHAnsi"/>
          <w:sz w:val="22"/>
          <w:szCs w:val="22"/>
          <w:lang w:val="en-NZ"/>
        </w:rPr>
        <w:t xml:space="preserve">There have been positive developments in that the </w:t>
      </w:r>
      <w:proofErr w:type="spellStart"/>
      <w:r w:rsidRPr="000409DC">
        <w:rPr>
          <w:rFonts w:cstheme="minorHAnsi"/>
          <w:sz w:val="22"/>
          <w:szCs w:val="22"/>
          <w:lang w:val="en-NZ"/>
        </w:rPr>
        <w:t>Oranga</w:t>
      </w:r>
      <w:proofErr w:type="spellEnd"/>
      <w:r w:rsidRPr="000409DC">
        <w:rPr>
          <w:rFonts w:cstheme="minorHAnsi"/>
          <w:sz w:val="22"/>
          <w:szCs w:val="22"/>
          <w:lang w:val="en-NZ"/>
        </w:rPr>
        <w:t xml:space="preserve"> Tamariki Act 1989 now imposes duties on the chief executive of OT under s7AA to give practical effect to </w:t>
      </w:r>
      <w:proofErr w:type="spellStart"/>
      <w:r w:rsidR="00C52D88">
        <w:rPr>
          <w:rFonts w:cstheme="minorHAnsi"/>
          <w:sz w:val="22"/>
          <w:szCs w:val="22"/>
          <w:lang w:val="en-NZ"/>
        </w:rPr>
        <w:t>T</w:t>
      </w:r>
      <w:r w:rsidRPr="000409DC">
        <w:rPr>
          <w:rFonts w:cstheme="minorHAnsi"/>
          <w:sz w:val="22"/>
          <w:szCs w:val="22"/>
          <w:lang w:val="en-NZ"/>
        </w:rPr>
        <w:t>e</w:t>
      </w:r>
      <w:proofErr w:type="spellEnd"/>
      <w:r w:rsidRPr="000409DC">
        <w:rPr>
          <w:rFonts w:cstheme="minorHAnsi"/>
          <w:sz w:val="22"/>
          <w:szCs w:val="22"/>
          <w:lang w:val="en-NZ"/>
        </w:rPr>
        <w:t xml:space="preserve"> </w:t>
      </w:r>
      <w:proofErr w:type="spellStart"/>
      <w:r w:rsidRPr="000409DC">
        <w:rPr>
          <w:rFonts w:cstheme="minorHAnsi"/>
          <w:sz w:val="22"/>
          <w:szCs w:val="22"/>
          <w:lang w:val="en-NZ"/>
        </w:rPr>
        <w:t>Tiriti</w:t>
      </w:r>
      <w:proofErr w:type="spellEnd"/>
      <w:r w:rsidRPr="000409DC">
        <w:rPr>
          <w:rFonts w:cstheme="minorHAnsi"/>
          <w:sz w:val="22"/>
          <w:szCs w:val="22"/>
          <w:lang w:val="en-NZ"/>
        </w:rPr>
        <w:t xml:space="preserve"> o Waitangi, including by ensuring that the policies and practices of OT that impact on the wellbeing of young people have the objective of reducing disparities by setting measurable outcomes for Māori young people.</w:t>
      </w:r>
      <w:r w:rsidRPr="000409DC">
        <w:rPr>
          <w:rFonts w:cstheme="minorHAnsi"/>
          <w:sz w:val="22"/>
          <w:szCs w:val="22"/>
          <w:vertAlign w:val="superscript"/>
          <w:lang w:val="en-NZ"/>
        </w:rPr>
        <w:footnoteReference w:id="462"/>
      </w:r>
      <w:r w:rsidRPr="000409DC">
        <w:rPr>
          <w:rFonts w:cstheme="minorHAnsi"/>
          <w:sz w:val="22"/>
          <w:szCs w:val="22"/>
          <w:lang w:val="en-NZ"/>
        </w:rPr>
        <w:t xml:space="preserve"> However, recent decisions of the Youth Court have found no evidence that this is happening in practice.</w:t>
      </w:r>
      <w:r w:rsidRPr="000409DC">
        <w:rPr>
          <w:rFonts w:cstheme="minorHAnsi"/>
          <w:sz w:val="22"/>
          <w:szCs w:val="22"/>
          <w:vertAlign w:val="superscript"/>
          <w:lang w:val="en-NZ"/>
        </w:rPr>
        <w:footnoteReference w:id="463"/>
      </w:r>
      <w:r w:rsidRPr="000409DC">
        <w:rPr>
          <w:rFonts w:cstheme="minorHAnsi"/>
          <w:sz w:val="22"/>
          <w:szCs w:val="22"/>
          <w:lang w:val="en-NZ"/>
        </w:rPr>
        <w:t xml:space="preserve"> </w:t>
      </w:r>
    </w:p>
    <w:p w14:paraId="3FC04FB0" w14:textId="251CD628" w:rsidR="000409DC" w:rsidRPr="000409DC" w:rsidRDefault="000409DC" w:rsidP="000409DC">
      <w:pPr>
        <w:pStyle w:val="IntenseQuote"/>
        <w:ind w:left="720"/>
        <w:jc w:val="left"/>
        <w:rPr>
          <w:b/>
          <w:bCs/>
          <w:i w:val="0"/>
          <w:iCs w:val="0"/>
          <w:sz w:val="24"/>
          <w:szCs w:val="24"/>
          <w:lang w:val="mi-NZ"/>
        </w:rPr>
      </w:pPr>
      <w:r w:rsidRPr="000409DC">
        <w:rPr>
          <w:b/>
          <w:bCs/>
          <w:i w:val="0"/>
          <w:iCs w:val="0"/>
          <w:sz w:val="24"/>
          <w:szCs w:val="24"/>
          <w:lang w:val="mi-NZ"/>
        </w:rPr>
        <w:lastRenderedPageBreak/>
        <w:t>Recommendations</w:t>
      </w:r>
    </w:p>
    <w:p w14:paraId="4FBDF0E6" w14:textId="02E6C832" w:rsidR="000409DC" w:rsidRPr="000409DC" w:rsidRDefault="000409DC" w:rsidP="00916EA3">
      <w:pPr>
        <w:pStyle w:val="IntenseQuote"/>
        <w:numPr>
          <w:ilvl w:val="0"/>
          <w:numId w:val="23"/>
        </w:numPr>
        <w:jc w:val="left"/>
        <w:rPr>
          <w:i w:val="0"/>
          <w:iCs w:val="0"/>
          <w:sz w:val="22"/>
          <w:szCs w:val="22"/>
          <w:lang w:val="mi-NZ"/>
        </w:rPr>
      </w:pPr>
      <w:r w:rsidRPr="000409DC">
        <w:rPr>
          <w:i w:val="0"/>
          <w:iCs w:val="0"/>
          <w:sz w:val="22"/>
          <w:szCs w:val="22"/>
          <w:lang w:val="mi-NZ"/>
        </w:rPr>
        <w:t xml:space="preserve">Reform the youth justice system in line with GC </w:t>
      </w:r>
      <w:r w:rsidR="00507650">
        <w:rPr>
          <w:i w:val="0"/>
          <w:iCs w:val="0"/>
          <w:sz w:val="22"/>
          <w:szCs w:val="22"/>
          <w:lang w:val="mi-NZ"/>
        </w:rPr>
        <w:t>No.</w:t>
      </w:r>
      <w:r w:rsidRPr="000409DC">
        <w:rPr>
          <w:i w:val="0"/>
          <w:iCs w:val="0"/>
          <w:sz w:val="22"/>
          <w:szCs w:val="22"/>
          <w:lang w:val="mi-NZ"/>
        </w:rPr>
        <w:t>24</w:t>
      </w:r>
      <w:r w:rsidR="00507650">
        <w:rPr>
          <w:rStyle w:val="FootnoteReference"/>
          <w:i w:val="0"/>
          <w:iCs w:val="0"/>
          <w:sz w:val="22"/>
          <w:szCs w:val="22"/>
          <w:lang w:val="mi-NZ"/>
        </w:rPr>
        <w:footnoteReference w:id="464"/>
      </w:r>
      <w:r w:rsidRPr="000409DC">
        <w:rPr>
          <w:i w:val="0"/>
          <w:iCs w:val="0"/>
          <w:sz w:val="22"/>
          <w:szCs w:val="22"/>
          <w:lang w:val="mi-NZ"/>
        </w:rPr>
        <w:t xml:space="preserve">, and consistent with </w:t>
      </w:r>
      <w:r w:rsidR="00C52D88">
        <w:rPr>
          <w:i w:val="0"/>
          <w:iCs w:val="0"/>
          <w:sz w:val="22"/>
          <w:szCs w:val="22"/>
          <w:lang w:val="mi-NZ"/>
        </w:rPr>
        <w:t>T</w:t>
      </w:r>
      <w:r w:rsidRPr="000409DC">
        <w:rPr>
          <w:i w:val="0"/>
          <w:iCs w:val="0"/>
          <w:sz w:val="22"/>
          <w:szCs w:val="22"/>
          <w:lang w:val="mi-NZ"/>
        </w:rPr>
        <w:t>e Tiriti o Waitangi, to:</w:t>
      </w:r>
    </w:p>
    <w:p w14:paraId="44CF8FDB" w14:textId="77777777" w:rsidR="000409DC" w:rsidRPr="004D631E" w:rsidRDefault="000409DC" w:rsidP="00916EA3">
      <w:pPr>
        <w:pStyle w:val="IntenseQuote"/>
        <w:numPr>
          <w:ilvl w:val="0"/>
          <w:numId w:val="39"/>
        </w:numPr>
        <w:jc w:val="left"/>
        <w:rPr>
          <w:i w:val="0"/>
          <w:iCs w:val="0"/>
          <w:sz w:val="22"/>
          <w:szCs w:val="22"/>
          <w:lang w:val="mi-NZ"/>
        </w:rPr>
      </w:pPr>
      <w:r w:rsidRPr="004D631E">
        <w:rPr>
          <w:i w:val="0"/>
          <w:iCs w:val="0"/>
          <w:sz w:val="22"/>
          <w:szCs w:val="22"/>
          <w:lang w:val="mi-NZ"/>
        </w:rPr>
        <w:t xml:space="preserve">Reduce injustices and disparities for tamariki Māori. </w:t>
      </w:r>
    </w:p>
    <w:p w14:paraId="69CE9867" w14:textId="77777777" w:rsidR="000409DC" w:rsidRPr="004D631E" w:rsidRDefault="000409DC" w:rsidP="00916EA3">
      <w:pPr>
        <w:pStyle w:val="IntenseQuote"/>
        <w:numPr>
          <w:ilvl w:val="0"/>
          <w:numId w:val="39"/>
        </w:numPr>
        <w:jc w:val="left"/>
        <w:rPr>
          <w:i w:val="0"/>
          <w:iCs w:val="0"/>
          <w:sz w:val="22"/>
          <w:szCs w:val="22"/>
          <w:lang w:val="mi-NZ"/>
        </w:rPr>
      </w:pPr>
      <w:r w:rsidRPr="004D631E">
        <w:rPr>
          <w:i w:val="0"/>
          <w:iCs w:val="0"/>
          <w:sz w:val="22"/>
          <w:szCs w:val="22"/>
          <w:lang w:val="mi-NZ"/>
        </w:rPr>
        <w:t>Raise the minimum age of criminal responsibility to 14.</w:t>
      </w:r>
    </w:p>
    <w:p w14:paraId="35B98B13" w14:textId="77777777" w:rsidR="000409DC" w:rsidRPr="004D631E" w:rsidRDefault="000409DC" w:rsidP="00916EA3">
      <w:pPr>
        <w:pStyle w:val="IntenseQuote"/>
        <w:numPr>
          <w:ilvl w:val="0"/>
          <w:numId w:val="39"/>
        </w:numPr>
        <w:jc w:val="left"/>
        <w:rPr>
          <w:i w:val="0"/>
          <w:iCs w:val="0"/>
          <w:sz w:val="22"/>
          <w:szCs w:val="22"/>
          <w:lang w:val="mi-NZ"/>
        </w:rPr>
      </w:pPr>
      <w:r w:rsidRPr="004D631E">
        <w:rPr>
          <w:i w:val="0"/>
          <w:iCs w:val="0"/>
          <w:sz w:val="22"/>
          <w:szCs w:val="22"/>
          <w:lang w:val="mi-NZ"/>
        </w:rPr>
        <w:t>Include all 17-year-olds in the youth justice system.</w:t>
      </w:r>
    </w:p>
    <w:p w14:paraId="2A1921B5" w14:textId="77777777" w:rsidR="000409DC" w:rsidRPr="004D631E" w:rsidRDefault="000409DC" w:rsidP="00916EA3">
      <w:pPr>
        <w:pStyle w:val="IntenseQuote"/>
        <w:numPr>
          <w:ilvl w:val="0"/>
          <w:numId w:val="39"/>
        </w:numPr>
        <w:jc w:val="left"/>
        <w:rPr>
          <w:i w:val="0"/>
          <w:iCs w:val="0"/>
          <w:sz w:val="22"/>
          <w:szCs w:val="22"/>
          <w:lang w:val="mi-NZ"/>
        </w:rPr>
      </w:pPr>
      <w:r w:rsidRPr="004D631E">
        <w:rPr>
          <w:i w:val="0"/>
          <w:iCs w:val="0"/>
          <w:sz w:val="22"/>
          <w:szCs w:val="22"/>
          <w:lang w:val="mi-NZ"/>
        </w:rPr>
        <w:t>Prevent offending by providing supports to children with welfare concerns at the earliest opportunity.</w:t>
      </w:r>
    </w:p>
    <w:p w14:paraId="212EF360" w14:textId="647D36B3" w:rsidR="000409DC" w:rsidRPr="004D631E" w:rsidRDefault="000409DC" w:rsidP="00916EA3">
      <w:pPr>
        <w:pStyle w:val="IntenseQuote"/>
        <w:numPr>
          <w:ilvl w:val="0"/>
          <w:numId w:val="39"/>
        </w:numPr>
        <w:jc w:val="left"/>
        <w:rPr>
          <w:i w:val="0"/>
          <w:iCs w:val="0"/>
          <w:sz w:val="22"/>
          <w:szCs w:val="22"/>
          <w:lang w:val="mi-NZ"/>
        </w:rPr>
      </w:pPr>
      <w:r w:rsidRPr="004D631E">
        <w:rPr>
          <w:i w:val="0"/>
          <w:iCs w:val="0"/>
          <w:sz w:val="22"/>
          <w:szCs w:val="22"/>
          <w:lang w:val="mi-NZ"/>
        </w:rPr>
        <w:t>Meets the rights and needs of those aged 10-13 years who have engaged in serious offending</w:t>
      </w:r>
      <w:r w:rsidR="006200F4">
        <w:rPr>
          <w:i w:val="0"/>
          <w:iCs w:val="0"/>
          <w:sz w:val="22"/>
          <w:szCs w:val="22"/>
          <w:lang w:val="mi-NZ"/>
        </w:rPr>
        <w:t>.</w:t>
      </w:r>
    </w:p>
    <w:p w14:paraId="213B5C74" w14:textId="32A8550F" w:rsidR="000409DC" w:rsidRPr="004D631E" w:rsidRDefault="000409DC" w:rsidP="00916EA3">
      <w:pPr>
        <w:pStyle w:val="IntenseQuote"/>
        <w:numPr>
          <w:ilvl w:val="0"/>
          <w:numId w:val="39"/>
        </w:numPr>
        <w:jc w:val="left"/>
        <w:rPr>
          <w:i w:val="0"/>
          <w:iCs w:val="0"/>
          <w:sz w:val="22"/>
          <w:szCs w:val="22"/>
          <w:lang w:val="mi-NZ"/>
        </w:rPr>
      </w:pPr>
      <w:r w:rsidRPr="004D631E">
        <w:rPr>
          <w:i w:val="0"/>
          <w:iCs w:val="0"/>
          <w:sz w:val="22"/>
          <w:szCs w:val="22"/>
          <w:lang w:val="mi-NZ"/>
        </w:rPr>
        <w:t>Align with the CYWS and developments in care and protection, and address the sociocultural factors that contribute to offending</w:t>
      </w:r>
      <w:r w:rsidRPr="000409DC">
        <w:rPr>
          <w:sz w:val="22"/>
          <w:szCs w:val="22"/>
          <w:lang w:val="mi-NZ"/>
        </w:rPr>
        <w:t xml:space="preserve"> </w:t>
      </w:r>
      <w:r w:rsidRPr="004D631E">
        <w:rPr>
          <w:i w:val="0"/>
          <w:iCs w:val="0"/>
          <w:sz w:val="22"/>
          <w:szCs w:val="22"/>
          <w:lang w:val="mi-NZ"/>
        </w:rPr>
        <w:t>by children, including through implementing the recommendations of the Welfare Expert Advisory Group.</w:t>
      </w:r>
    </w:p>
    <w:p w14:paraId="7D5698EA" w14:textId="77777777" w:rsidR="000409DC" w:rsidRPr="004D631E" w:rsidRDefault="000409DC" w:rsidP="00916EA3">
      <w:pPr>
        <w:pStyle w:val="IntenseQuote"/>
        <w:numPr>
          <w:ilvl w:val="0"/>
          <w:numId w:val="39"/>
        </w:numPr>
        <w:jc w:val="left"/>
        <w:rPr>
          <w:i w:val="0"/>
          <w:iCs w:val="0"/>
          <w:sz w:val="22"/>
          <w:szCs w:val="22"/>
          <w:lang w:val="mi-NZ"/>
        </w:rPr>
      </w:pPr>
      <w:r w:rsidRPr="004D631E">
        <w:rPr>
          <w:i w:val="0"/>
          <w:iCs w:val="0"/>
          <w:sz w:val="22"/>
          <w:szCs w:val="22"/>
          <w:lang w:val="mi-NZ"/>
        </w:rPr>
        <w:t>Remove the reservation to Article 37 and stop age-mixing in places of detention.</w:t>
      </w:r>
    </w:p>
    <w:p w14:paraId="7E3553D9" w14:textId="77777777" w:rsidR="000409DC" w:rsidRPr="004D631E" w:rsidRDefault="000409DC" w:rsidP="00916EA3">
      <w:pPr>
        <w:pStyle w:val="IntenseQuote"/>
        <w:numPr>
          <w:ilvl w:val="0"/>
          <w:numId w:val="39"/>
        </w:numPr>
        <w:jc w:val="left"/>
        <w:rPr>
          <w:i w:val="0"/>
          <w:iCs w:val="0"/>
          <w:sz w:val="22"/>
          <w:szCs w:val="22"/>
          <w:lang w:val="mi-NZ"/>
        </w:rPr>
      </w:pPr>
      <w:r w:rsidRPr="004D631E">
        <w:rPr>
          <w:i w:val="0"/>
          <w:iCs w:val="0"/>
          <w:sz w:val="22"/>
          <w:szCs w:val="22"/>
          <w:lang w:val="mi-NZ"/>
        </w:rPr>
        <w:t>Ban the use of restraint chairs and spitting hoods.</w:t>
      </w:r>
    </w:p>
    <w:p w14:paraId="252A25A2" w14:textId="45E18E68" w:rsidR="00F14110" w:rsidRDefault="00F14110" w:rsidP="000409DC">
      <w:pPr>
        <w:rPr>
          <w:rFonts w:cstheme="minorHAnsi"/>
          <w:sz w:val="22"/>
          <w:szCs w:val="22"/>
          <w:lang w:val="mi-NZ"/>
        </w:rPr>
      </w:pPr>
    </w:p>
    <w:p w14:paraId="722D0820" w14:textId="77777777" w:rsidR="000409DC" w:rsidRDefault="000409DC">
      <w:pPr>
        <w:rPr>
          <w:rFonts w:asciiTheme="majorHAnsi" w:eastAsiaTheme="majorEastAsia" w:hAnsiTheme="majorHAnsi" w:cstheme="majorBidi"/>
          <w:b/>
          <w:bCs/>
          <w:color w:val="25409A" w:themeColor="text2"/>
          <w:sz w:val="28"/>
          <w:szCs w:val="28"/>
          <w:lang w:val="mi-NZ"/>
        </w:rPr>
      </w:pPr>
      <w:r>
        <w:rPr>
          <w:lang w:val="mi-NZ"/>
        </w:rPr>
        <w:br w:type="page"/>
      </w:r>
    </w:p>
    <w:p w14:paraId="03E70AAB" w14:textId="5542791C" w:rsidR="000409DC" w:rsidRPr="007366B8" w:rsidRDefault="000409DC" w:rsidP="007366B8">
      <w:pPr>
        <w:pStyle w:val="Heading1"/>
      </w:pPr>
      <w:bookmarkStart w:id="75" w:name="_Toc111485498"/>
      <w:r w:rsidRPr="007366B8">
        <w:lastRenderedPageBreak/>
        <w:t>Optional Protocol on Children in Armed Conflict (OP1)</w:t>
      </w:r>
      <w:bookmarkEnd w:id="75"/>
    </w:p>
    <w:p w14:paraId="79210C70" w14:textId="77777777" w:rsidR="000409DC" w:rsidRPr="000409DC" w:rsidRDefault="000409DC" w:rsidP="000409DC">
      <w:pPr>
        <w:rPr>
          <w:rFonts w:cstheme="minorHAnsi"/>
          <w:sz w:val="22"/>
          <w:szCs w:val="22"/>
          <w:lang w:val="mi-NZ"/>
        </w:rPr>
      </w:pPr>
    </w:p>
    <w:p w14:paraId="2F2E9AB1" w14:textId="548D009D" w:rsidR="009C6940" w:rsidRPr="009C6940" w:rsidRDefault="000409DC" w:rsidP="009C6940">
      <w:pPr>
        <w:pStyle w:val="ListParagraph"/>
        <w:numPr>
          <w:ilvl w:val="0"/>
          <w:numId w:val="9"/>
        </w:numPr>
        <w:ind w:hanging="720"/>
        <w:rPr>
          <w:rFonts w:cstheme="minorHAnsi"/>
          <w:sz w:val="22"/>
          <w:szCs w:val="22"/>
          <w:lang w:val="mi-NZ"/>
        </w:rPr>
      </w:pPr>
      <w:r w:rsidRPr="009C6940">
        <w:rPr>
          <w:rFonts w:cstheme="minorHAnsi"/>
          <w:sz w:val="22"/>
          <w:szCs w:val="22"/>
          <w:lang w:val="mi-NZ"/>
        </w:rPr>
        <w:t>We refer the Committee to th</w:t>
      </w:r>
      <w:r w:rsidR="009C6940" w:rsidRPr="009C6940">
        <w:rPr>
          <w:rFonts w:cstheme="minorHAnsi"/>
          <w:sz w:val="22"/>
          <w:szCs w:val="22"/>
          <w:lang w:val="mi-NZ"/>
        </w:rPr>
        <w:t xml:space="preserve">e </w:t>
      </w:r>
      <w:r w:rsidR="009C6940" w:rsidRPr="009C6940">
        <w:rPr>
          <w:rFonts w:cstheme="minorHAnsi"/>
          <w:sz w:val="22"/>
          <w:szCs w:val="22"/>
          <w:lang w:val="en-US"/>
        </w:rPr>
        <w:t>Optional Protocol on the Involvement of Children in Armed Conflict and the Convention on the Rights of the Child Thematic Report, submitted by Peace Movement Aotearoa.</w:t>
      </w:r>
    </w:p>
    <w:p w14:paraId="52A6C603" w14:textId="77777777" w:rsidR="000409DC" w:rsidRDefault="000409DC" w:rsidP="000409DC">
      <w:pPr>
        <w:rPr>
          <w:rFonts w:cstheme="minorHAnsi"/>
          <w:sz w:val="22"/>
          <w:szCs w:val="22"/>
          <w:lang w:val="mi-NZ"/>
        </w:rPr>
      </w:pPr>
    </w:p>
    <w:p w14:paraId="1429A5C6" w14:textId="56E60DA8" w:rsidR="000409DC" w:rsidRPr="000409DC" w:rsidRDefault="000409DC" w:rsidP="007366B8">
      <w:pPr>
        <w:pStyle w:val="Heading1"/>
        <w:rPr>
          <w:lang w:val="mi-NZ"/>
        </w:rPr>
      </w:pPr>
      <w:bookmarkStart w:id="76" w:name="_Toc111485499"/>
      <w:r w:rsidRPr="000409DC">
        <w:rPr>
          <w:lang w:val="mi-NZ"/>
        </w:rPr>
        <w:t>Optional Protocol on the Sale of Children (OP2)</w:t>
      </w:r>
      <w:bookmarkEnd w:id="76"/>
    </w:p>
    <w:p w14:paraId="1BA7C4F7" w14:textId="77777777" w:rsidR="000409DC" w:rsidRPr="000409DC" w:rsidRDefault="000409DC" w:rsidP="000409DC">
      <w:pPr>
        <w:rPr>
          <w:rFonts w:cstheme="minorHAnsi"/>
          <w:sz w:val="22"/>
          <w:szCs w:val="22"/>
          <w:lang w:val="mi-NZ"/>
        </w:rPr>
      </w:pPr>
    </w:p>
    <w:p w14:paraId="3E055F4E" w14:textId="1D5124A9" w:rsidR="000409DC" w:rsidRPr="000409DC" w:rsidRDefault="000409DC" w:rsidP="000409DC">
      <w:pPr>
        <w:pStyle w:val="ListParagraph"/>
        <w:numPr>
          <w:ilvl w:val="0"/>
          <w:numId w:val="9"/>
        </w:numPr>
        <w:ind w:hanging="720"/>
        <w:rPr>
          <w:rFonts w:cstheme="minorHAnsi"/>
          <w:sz w:val="22"/>
          <w:szCs w:val="22"/>
        </w:rPr>
      </w:pPr>
      <w:r w:rsidRPr="000409DC">
        <w:rPr>
          <w:rFonts w:cstheme="minorHAnsi"/>
          <w:sz w:val="22"/>
          <w:szCs w:val="22"/>
        </w:rPr>
        <w:t>While we acknowledge recent efforts made by teams and individuals across government agencies and departments to prevent the sale of children, child sex work and online exploitation, more work is needed to ensure Government meets its obligations under OP2.</w:t>
      </w:r>
    </w:p>
    <w:p w14:paraId="6F25FCC3" w14:textId="77777777" w:rsidR="000409DC" w:rsidRPr="000409DC" w:rsidRDefault="000409DC" w:rsidP="000409DC">
      <w:pPr>
        <w:pStyle w:val="ListParagraph"/>
        <w:rPr>
          <w:rFonts w:cstheme="minorHAnsi"/>
          <w:sz w:val="22"/>
          <w:szCs w:val="22"/>
        </w:rPr>
      </w:pPr>
    </w:p>
    <w:p w14:paraId="1F5EC558" w14:textId="77777777" w:rsidR="000409DC" w:rsidRPr="000409DC" w:rsidRDefault="000409DC" w:rsidP="000409DC">
      <w:pPr>
        <w:pStyle w:val="ListParagraph"/>
        <w:numPr>
          <w:ilvl w:val="0"/>
          <w:numId w:val="9"/>
        </w:numPr>
        <w:ind w:hanging="720"/>
        <w:rPr>
          <w:rFonts w:cstheme="minorHAnsi"/>
          <w:sz w:val="22"/>
          <w:szCs w:val="22"/>
        </w:rPr>
      </w:pPr>
      <w:r w:rsidRPr="000409DC">
        <w:rPr>
          <w:rFonts w:cstheme="minorHAnsi"/>
          <w:sz w:val="22"/>
          <w:szCs w:val="22"/>
        </w:rPr>
        <w:t>We refer the Committee to the ECPAT NZ Thematic Report.</w:t>
      </w:r>
    </w:p>
    <w:p w14:paraId="186B525F" w14:textId="524B09DC" w:rsidR="000409DC" w:rsidRDefault="000409DC" w:rsidP="000409DC">
      <w:pPr>
        <w:rPr>
          <w:rFonts w:cstheme="minorHAnsi"/>
          <w:sz w:val="22"/>
          <w:szCs w:val="22"/>
          <w:lang w:val="en-US"/>
        </w:rPr>
      </w:pPr>
    </w:p>
    <w:p w14:paraId="23C621ED" w14:textId="098DE3BE" w:rsidR="000409DC" w:rsidRDefault="000409DC" w:rsidP="000409DC">
      <w:pPr>
        <w:pStyle w:val="Heading2"/>
        <w:rPr>
          <w:rStyle w:val="normaltextrun"/>
          <w:rFonts w:asciiTheme="minorHAnsi" w:hAnsiTheme="minorHAnsi" w:cstheme="minorHAnsi"/>
          <w:color w:val="00AE6D" w:themeColor="accent1"/>
        </w:rPr>
      </w:pPr>
      <w:bookmarkStart w:id="77" w:name="_Toc111485500"/>
      <w:r w:rsidRPr="000409DC">
        <w:t>Scale and nature of OP2 related issues</w:t>
      </w:r>
      <w:bookmarkEnd w:id="77"/>
    </w:p>
    <w:p w14:paraId="2366AA78" w14:textId="77777777" w:rsidR="000409DC" w:rsidRPr="000409DC" w:rsidRDefault="000409DC" w:rsidP="000409DC"/>
    <w:p w14:paraId="7B60A142" w14:textId="1D6F7FF9" w:rsidR="000409DC" w:rsidRPr="000409DC" w:rsidRDefault="000409DC" w:rsidP="000409DC">
      <w:pPr>
        <w:pStyle w:val="ListParagraph"/>
        <w:numPr>
          <w:ilvl w:val="0"/>
          <w:numId w:val="9"/>
        </w:numPr>
        <w:ind w:hanging="720"/>
        <w:rPr>
          <w:rFonts w:cstheme="minorHAnsi"/>
          <w:sz w:val="22"/>
          <w:szCs w:val="22"/>
          <w:lang w:val="en-US"/>
        </w:rPr>
      </w:pPr>
      <w:r w:rsidRPr="000409DC">
        <w:rPr>
          <w:rFonts w:cstheme="minorHAnsi"/>
          <w:sz w:val="22"/>
          <w:szCs w:val="22"/>
        </w:rPr>
        <w:t xml:space="preserve">Definitions of child trafficking and exploitation are applied inconsistently across government agencies; they are at times ambiguous, outdated and not aligned to international definitions impacting on prohibition, </w:t>
      </w:r>
      <w:proofErr w:type="gramStart"/>
      <w:r w:rsidRPr="000409DC">
        <w:rPr>
          <w:rFonts w:cstheme="minorHAnsi"/>
          <w:sz w:val="22"/>
          <w:szCs w:val="22"/>
        </w:rPr>
        <w:t>prevention</w:t>
      </w:r>
      <w:proofErr w:type="gramEnd"/>
      <w:r w:rsidRPr="000409DC">
        <w:rPr>
          <w:rFonts w:cstheme="minorHAnsi"/>
          <w:sz w:val="22"/>
          <w:szCs w:val="22"/>
        </w:rPr>
        <w:t xml:space="preserve"> and protection. Inadequate policies for classifying and responding to </w:t>
      </w:r>
      <w:r w:rsidRPr="001543D4">
        <w:rPr>
          <w:rFonts w:cstheme="minorHAnsi"/>
          <w:sz w:val="22"/>
          <w:szCs w:val="22"/>
        </w:rPr>
        <w:t>SEC</w:t>
      </w:r>
      <w:r w:rsidRPr="001543D4">
        <w:rPr>
          <w:rFonts w:cstheme="minorHAnsi"/>
          <w:sz w:val="22"/>
          <w:szCs w:val="22"/>
          <w:vertAlign w:val="superscript"/>
        </w:rPr>
        <w:footnoteReference w:id="465"/>
      </w:r>
      <w:r w:rsidRPr="000409DC">
        <w:rPr>
          <w:rFonts w:cstheme="minorHAnsi"/>
          <w:sz w:val="22"/>
          <w:szCs w:val="22"/>
        </w:rPr>
        <w:t xml:space="preserve"> victims by Police and OT, mean it is unlikely victims coming to their attention would be offered appropriate support. This lack of specific, consistent coding also makes it impossible to gather accurate statistics on the scale of these issues in Aotearoa.</w:t>
      </w:r>
      <w:r w:rsidRPr="000409DC">
        <w:rPr>
          <w:rFonts w:cstheme="minorHAnsi"/>
          <w:sz w:val="22"/>
          <w:szCs w:val="22"/>
          <w:vertAlign w:val="superscript"/>
        </w:rPr>
        <w:footnoteReference w:id="466"/>
      </w:r>
      <w:r w:rsidRPr="000409DC">
        <w:rPr>
          <w:rFonts w:cstheme="minorHAnsi"/>
          <w:sz w:val="22"/>
          <w:szCs w:val="22"/>
        </w:rPr>
        <w:t xml:space="preserve"> </w:t>
      </w:r>
    </w:p>
    <w:p w14:paraId="45175185" w14:textId="77777777" w:rsidR="000409DC" w:rsidRPr="000409DC" w:rsidRDefault="000409DC" w:rsidP="000409DC">
      <w:pPr>
        <w:pStyle w:val="ListParagraph"/>
        <w:rPr>
          <w:rFonts w:cstheme="minorHAnsi"/>
          <w:sz w:val="22"/>
          <w:szCs w:val="22"/>
          <w:lang w:val="en-US"/>
        </w:rPr>
      </w:pPr>
    </w:p>
    <w:p w14:paraId="2A9F2E90" w14:textId="77777777" w:rsidR="000409DC" w:rsidRPr="000409DC" w:rsidRDefault="000409DC" w:rsidP="000409DC">
      <w:pPr>
        <w:pStyle w:val="ListParagraph"/>
        <w:numPr>
          <w:ilvl w:val="0"/>
          <w:numId w:val="9"/>
        </w:numPr>
        <w:ind w:hanging="720"/>
        <w:rPr>
          <w:rFonts w:cstheme="minorHAnsi"/>
          <w:sz w:val="22"/>
          <w:szCs w:val="22"/>
          <w:lang w:val="en-US"/>
        </w:rPr>
      </w:pPr>
      <w:r w:rsidRPr="000409DC">
        <w:rPr>
          <w:rFonts w:cstheme="minorHAnsi"/>
          <w:sz w:val="22"/>
          <w:szCs w:val="22"/>
        </w:rPr>
        <w:t>Current estimates on children exploited in sex work are difficult to establish as there are no official national statistics on this topic</w:t>
      </w:r>
      <w:r w:rsidRPr="000409DC">
        <w:rPr>
          <w:rFonts w:cstheme="minorHAnsi"/>
          <w:b/>
          <w:bCs/>
          <w:sz w:val="22"/>
          <w:szCs w:val="22"/>
        </w:rPr>
        <w:t xml:space="preserve"> </w:t>
      </w:r>
      <w:r w:rsidRPr="000409DC">
        <w:rPr>
          <w:rFonts w:cstheme="minorHAnsi"/>
          <w:sz w:val="22"/>
          <w:szCs w:val="22"/>
        </w:rPr>
        <w:t>or current statistics from other sources. According to the 2021 US Department of State’s Trafficking in Persons’ (TIP) report, which downgraded Aotearoa to Tier Two, young children and teenagers are recruited into prostitution by gang members, boyfriends, family members, or others.</w:t>
      </w:r>
      <w:r w:rsidRPr="000409DC">
        <w:rPr>
          <w:rFonts w:cstheme="minorHAnsi"/>
          <w:sz w:val="22"/>
          <w:szCs w:val="22"/>
          <w:vertAlign w:val="superscript"/>
        </w:rPr>
        <w:footnoteReference w:id="467"/>
      </w:r>
      <w:r w:rsidRPr="000409DC">
        <w:rPr>
          <w:rFonts w:cstheme="minorHAnsi"/>
          <w:sz w:val="22"/>
          <w:szCs w:val="22"/>
        </w:rPr>
        <w:t xml:space="preserve"> Some victims are coerced into prostitution through drug dependencies or threats by family members.</w:t>
      </w:r>
      <w:r w:rsidRPr="000409DC">
        <w:rPr>
          <w:rFonts w:cstheme="minorHAnsi"/>
          <w:sz w:val="22"/>
          <w:szCs w:val="22"/>
          <w:vertAlign w:val="superscript"/>
        </w:rPr>
        <w:footnoteReference w:id="468"/>
      </w:r>
      <w:r w:rsidRPr="000409DC">
        <w:rPr>
          <w:rFonts w:cstheme="minorHAnsi"/>
          <w:sz w:val="22"/>
          <w:szCs w:val="22"/>
        </w:rPr>
        <w:t xml:space="preserve"> Law enforcement officials also speak of girls and women being brought into </w:t>
      </w:r>
      <w:r w:rsidRPr="000409DC">
        <w:rPr>
          <w:rFonts w:cstheme="minorHAnsi"/>
          <w:sz w:val="22"/>
          <w:szCs w:val="22"/>
        </w:rPr>
        <w:lastRenderedPageBreak/>
        <w:t>Aotearoa from overseas countries and forced into massage parlours and brothels.</w:t>
      </w:r>
      <w:r w:rsidRPr="000409DC">
        <w:rPr>
          <w:rFonts w:cstheme="minorHAnsi"/>
          <w:sz w:val="22"/>
          <w:szCs w:val="22"/>
          <w:vertAlign w:val="superscript"/>
        </w:rPr>
        <w:footnoteReference w:id="469"/>
      </w:r>
    </w:p>
    <w:p w14:paraId="37CA1C96" w14:textId="77777777" w:rsidR="000409DC" w:rsidRPr="000409DC" w:rsidRDefault="000409DC" w:rsidP="000409DC">
      <w:pPr>
        <w:pStyle w:val="ListParagraph"/>
        <w:rPr>
          <w:rFonts w:cstheme="minorHAnsi"/>
          <w:sz w:val="22"/>
          <w:szCs w:val="22"/>
          <w:lang w:val="en-US"/>
        </w:rPr>
      </w:pPr>
    </w:p>
    <w:p w14:paraId="5FB76AE6" w14:textId="77777777" w:rsidR="000409DC" w:rsidRPr="000409DC" w:rsidRDefault="000409DC" w:rsidP="000409DC">
      <w:pPr>
        <w:pStyle w:val="ListParagraph"/>
        <w:numPr>
          <w:ilvl w:val="0"/>
          <w:numId w:val="9"/>
        </w:numPr>
        <w:ind w:hanging="720"/>
        <w:rPr>
          <w:rFonts w:cstheme="minorHAnsi"/>
          <w:sz w:val="22"/>
          <w:szCs w:val="22"/>
          <w:lang w:val="en-US"/>
        </w:rPr>
      </w:pPr>
      <w:r w:rsidRPr="000409DC">
        <w:rPr>
          <w:rFonts w:cstheme="minorHAnsi"/>
          <w:sz w:val="22"/>
          <w:szCs w:val="22"/>
        </w:rPr>
        <w:t>Children engaging in ‘survival sex’ or trading sex for food, shelter, alcohol, drugs, phone credit or cash has become increasingly more common.</w:t>
      </w:r>
      <w:r w:rsidRPr="000409DC">
        <w:rPr>
          <w:rFonts w:cstheme="minorHAnsi"/>
          <w:sz w:val="22"/>
          <w:szCs w:val="22"/>
          <w:vertAlign w:val="superscript"/>
        </w:rPr>
        <w:footnoteReference w:id="470"/>
      </w:r>
      <w:r w:rsidRPr="000409DC">
        <w:rPr>
          <w:rFonts w:cstheme="minorHAnsi"/>
          <w:sz w:val="22"/>
          <w:szCs w:val="22"/>
        </w:rPr>
        <w:t xml:space="preserve"> It is inextricably linked to some type of social deprivation, such as a lack of family support, or a nurturing and safe environment.</w:t>
      </w:r>
      <w:r w:rsidRPr="000409DC">
        <w:rPr>
          <w:rFonts w:cstheme="minorHAnsi"/>
          <w:sz w:val="22"/>
          <w:szCs w:val="22"/>
          <w:vertAlign w:val="superscript"/>
        </w:rPr>
        <w:footnoteReference w:id="471"/>
      </w:r>
      <w:r w:rsidRPr="000409DC">
        <w:rPr>
          <w:rFonts w:cstheme="minorHAnsi"/>
          <w:sz w:val="22"/>
          <w:szCs w:val="22"/>
        </w:rPr>
        <w:t xml:space="preserve"> Sex for survival is considered very common in Aotearoa by some frontline workers and is prevalent among young people who are homeless, living on the streets, and vulnerable, and further exacerbated by substance use and poor mental health.</w:t>
      </w:r>
      <w:r w:rsidRPr="000409DC">
        <w:rPr>
          <w:rFonts w:cstheme="minorHAnsi"/>
          <w:sz w:val="22"/>
          <w:szCs w:val="22"/>
          <w:vertAlign w:val="superscript"/>
        </w:rPr>
        <w:footnoteReference w:id="472"/>
      </w:r>
    </w:p>
    <w:p w14:paraId="1A8CF38A" w14:textId="77777777" w:rsidR="000409DC" w:rsidRPr="000409DC" w:rsidRDefault="000409DC" w:rsidP="000409DC">
      <w:pPr>
        <w:pStyle w:val="ListParagraph"/>
        <w:rPr>
          <w:rFonts w:cstheme="minorHAnsi"/>
          <w:sz w:val="22"/>
          <w:szCs w:val="22"/>
        </w:rPr>
      </w:pPr>
    </w:p>
    <w:p w14:paraId="2C67C3E2" w14:textId="77777777" w:rsidR="000409DC" w:rsidRPr="000409DC" w:rsidRDefault="000409DC" w:rsidP="000409DC">
      <w:pPr>
        <w:pStyle w:val="ListParagraph"/>
        <w:numPr>
          <w:ilvl w:val="0"/>
          <w:numId w:val="9"/>
        </w:numPr>
        <w:ind w:hanging="720"/>
        <w:rPr>
          <w:rFonts w:cstheme="minorHAnsi"/>
          <w:sz w:val="22"/>
          <w:szCs w:val="22"/>
        </w:rPr>
      </w:pPr>
      <w:r w:rsidRPr="000409DC">
        <w:rPr>
          <w:rFonts w:cstheme="minorHAnsi"/>
          <w:sz w:val="22"/>
          <w:szCs w:val="22"/>
        </w:rPr>
        <w:t xml:space="preserve">While there are links between organised crime and the sale of children, often the sexual exploitation of children appears to be less organised and more opportunistic, such as transactions occurring within the context of a gang, where: </w:t>
      </w:r>
    </w:p>
    <w:p w14:paraId="23D28B45" w14:textId="77777777" w:rsidR="000409DC" w:rsidRPr="000409DC" w:rsidRDefault="000409DC" w:rsidP="000409DC">
      <w:pPr>
        <w:pStyle w:val="ListParagraph"/>
        <w:rPr>
          <w:rFonts w:cstheme="minorHAnsi"/>
          <w:sz w:val="22"/>
          <w:szCs w:val="22"/>
        </w:rPr>
      </w:pPr>
    </w:p>
    <w:p w14:paraId="5F35AB8F" w14:textId="77777777" w:rsidR="000409DC" w:rsidRPr="000409DC" w:rsidRDefault="000409DC" w:rsidP="000409DC">
      <w:pPr>
        <w:pStyle w:val="ListParagraph"/>
        <w:rPr>
          <w:rFonts w:cstheme="minorHAnsi"/>
          <w:sz w:val="22"/>
          <w:szCs w:val="22"/>
        </w:rPr>
      </w:pPr>
      <w:r w:rsidRPr="000409DC">
        <w:rPr>
          <w:rFonts w:cstheme="minorHAnsi"/>
          <w:sz w:val="22"/>
          <w:szCs w:val="22"/>
        </w:rPr>
        <w:t xml:space="preserve">… </w:t>
      </w:r>
      <w:r w:rsidRPr="000409DC">
        <w:rPr>
          <w:rFonts w:cstheme="minorHAnsi"/>
          <w:i/>
          <w:iCs/>
          <w:sz w:val="22"/>
          <w:szCs w:val="22"/>
        </w:rPr>
        <w:t>girls who are affiliated with the gang are involved in the sex industry or are being used for sex as dictated by the gang, as opposed to targeted recruitment by a gang for the purpose of exploitation</w:t>
      </w:r>
      <w:r w:rsidRPr="000409DC">
        <w:rPr>
          <w:rFonts w:cstheme="minorHAnsi"/>
          <w:sz w:val="22"/>
          <w:szCs w:val="22"/>
        </w:rPr>
        <w:t>.</w:t>
      </w:r>
      <w:r w:rsidRPr="000409DC">
        <w:rPr>
          <w:rFonts w:cstheme="minorHAnsi"/>
          <w:sz w:val="22"/>
          <w:szCs w:val="22"/>
          <w:vertAlign w:val="superscript"/>
        </w:rPr>
        <w:footnoteReference w:id="473"/>
      </w:r>
      <w:r w:rsidRPr="000409DC">
        <w:rPr>
          <w:rFonts w:cstheme="minorHAnsi"/>
          <w:sz w:val="22"/>
          <w:szCs w:val="22"/>
        </w:rPr>
        <w:t xml:space="preserve"> </w:t>
      </w:r>
    </w:p>
    <w:p w14:paraId="29037075" w14:textId="77777777" w:rsidR="000409DC" w:rsidRPr="000409DC" w:rsidRDefault="000409DC" w:rsidP="000409DC">
      <w:pPr>
        <w:pStyle w:val="ListParagraph"/>
        <w:rPr>
          <w:rFonts w:cstheme="minorHAnsi"/>
          <w:sz w:val="22"/>
          <w:szCs w:val="22"/>
        </w:rPr>
      </w:pPr>
    </w:p>
    <w:p w14:paraId="03FDF460" w14:textId="77777777" w:rsidR="000409DC" w:rsidRPr="000409DC" w:rsidRDefault="000409DC" w:rsidP="000409DC">
      <w:pPr>
        <w:pStyle w:val="ListParagraph"/>
        <w:numPr>
          <w:ilvl w:val="0"/>
          <w:numId w:val="9"/>
        </w:numPr>
        <w:ind w:hanging="720"/>
        <w:rPr>
          <w:rFonts w:cstheme="minorHAnsi"/>
          <w:sz w:val="22"/>
          <w:szCs w:val="22"/>
          <w:lang w:val="en-US"/>
        </w:rPr>
      </w:pPr>
      <w:r w:rsidRPr="000409DC">
        <w:rPr>
          <w:rFonts w:cstheme="minorHAnsi"/>
          <w:sz w:val="22"/>
          <w:szCs w:val="22"/>
        </w:rPr>
        <w:t>This is not to suggest that it is a lesser issue and Police have spoken of gangs running “stables” of girls and women working in the sex industry.</w:t>
      </w:r>
      <w:r w:rsidRPr="000409DC">
        <w:rPr>
          <w:rFonts w:cstheme="minorHAnsi"/>
          <w:sz w:val="22"/>
          <w:szCs w:val="22"/>
          <w:vertAlign w:val="superscript"/>
        </w:rPr>
        <w:footnoteReference w:id="474"/>
      </w:r>
      <w:r w:rsidRPr="000409DC">
        <w:rPr>
          <w:rFonts w:cstheme="minorHAnsi"/>
          <w:sz w:val="22"/>
          <w:szCs w:val="22"/>
        </w:rPr>
        <w:t xml:space="preserve"> A similar opportunistic sale, or lending, of children for sexual purposes has been seen in the context of family and intimate relationships, but the scale of this is unknown.</w:t>
      </w:r>
      <w:r w:rsidRPr="000409DC">
        <w:rPr>
          <w:rFonts w:cstheme="minorHAnsi"/>
          <w:sz w:val="22"/>
          <w:szCs w:val="22"/>
          <w:lang w:val="en-US"/>
        </w:rPr>
        <w:t> </w:t>
      </w:r>
    </w:p>
    <w:p w14:paraId="4094BF5F" w14:textId="77777777" w:rsidR="000409DC" w:rsidRPr="000409DC" w:rsidRDefault="000409DC" w:rsidP="000409DC">
      <w:pPr>
        <w:pStyle w:val="ListParagraph"/>
        <w:rPr>
          <w:rFonts w:cstheme="minorHAnsi"/>
          <w:sz w:val="22"/>
          <w:szCs w:val="22"/>
        </w:rPr>
      </w:pPr>
    </w:p>
    <w:p w14:paraId="257E77B4" w14:textId="77777777" w:rsidR="000409DC" w:rsidRPr="000409DC" w:rsidRDefault="000409DC" w:rsidP="000409DC">
      <w:pPr>
        <w:pStyle w:val="ListParagraph"/>
        <w:numPr>
          <w:ilvl w:val="0"/>
          <w:numId w:val="9"/>
        </w:numPr>
        <w:ind w:hanging="720"/>
        <w:rPr>
          <w:rFonts w:cstheme="minorHAnsi"/>
          <w:sz w:val="22"/>
          <w:szCs w:val="22"/>
          <w:lang w:val="en-US"/>
        </w:rPr>
      </w:pPr>
      <w:r w:rsidRPr="000409DC">
        <w:rPr>
          <w:rFonts w:cstheme="minorHAnsi"/>
          <w:sz w:val="22"/>
          <w:szCs w:val="22"/>
        </w:rPr>
        <w:t>Child sexual abuse material (CSAM) is an increasing problem, with a recent operation identifying tens of thousands of New Zealanders using the platform to share what the DIA said was “some of the most horrific and devastating content online”.</w:t>
      </w:r>
      <w:r w:rsidRPr="000409DC">
        <w:rPr>
          <w:rFonts w:cstheme="minorHAnsi"/>
          <w:sz w:val="22"/>
          <w:szCs w:val="22"/>
          <w:vertAlign w:val="superscript"/>
        </w:rPr>
        <w:footnoteReference w:id="475"/>
      </w:r>
      <w:r w:rsidRPr="000409DC">
        <w:rPr>
          <w:rFonts w:cstheme="minorHAnsi"/>
          <w:sz w:val="22"/>
          <w:szCs w:val="22"/>
        </w:rPr>
        <w:t xml:space="preserve">  </w:t>
      </w:r>
    </w:p>
    <w:p w14:paraId="719A4366" w14:textId="4618A521" w:rsidR="000409DC" w:rsidRDefault="000409DC" w:rsidP="000409DC">
      <w:pPr>
        <w:pStyle w:val="Heading3"/>
        <w:rPr>
          <w:lang w:val="mi-NZ"/>
        </w:rPr>
      </w:pPr>
      <w:r>
        <w:rPr>
          <w:lang w:val="mi-NZ"/>
        </w:rPr>
        <w:t>Government Response</w:t>
      </w:r>
    </w:p>
    <w:p w14:paraId="5C70377D" w14:textId="77777777" w:rsidR="00F14110" w:rsidRPr="000409DC" w:rsidRDefault="00F14110" w:rsidP="000409DC">
      <w:pPr>
        <w:rPr>
          <w:rFonts w:cstheme="minorHAnsi"/>
          <w:sz w:val="22"/>
          <w:szCs w:val="22"/>
          <w:lang w:val="mi-NZ"/>
        </w:rPr>
      </w:pPr>
    </w:p>
    <w:p w14:paraId="54B2C89B" w14:textId="10313E13" w:rsidR="000409DC" w:rsidRPr="000409DC" w:rsidRDefault="000409DC" w:rsidP="000409DC">
      <w:pPr>
        <w:pStyle w:val="ListParagraph"/>
        <w:numPr>
          <w:ilvl w:val="0"/>
          <w:numId w:val="9"/>
        </w:numPr>
        <w:ind w:hanging="720"/>
        <w:rPr>
          <w:rFonts w:cstheme="minorHAnsi"/>
          <w:sz w:val="22"/>
          <w:szCs w:val="22"/>
          <w:lang w:val="en-US"/>
        </w:rPr>
      </w:pPr>
      <w:r w:rsidRPr="000409DC">
        <w:rPr>
          <w:rFonts w:cstheme="minorHAnsi"/>
          <w:sz w:val="22"/>
          <w:szCs w:val="22"/>
          <w:lang w:val="en-US"/>
        </w:rPr>
        <w:t xml:space="preserve">Government considers Aotearoa to be a country where the sale of children is </w:t>
      </w:r>
      <w:proofErr w:type="spellStart"/>
      <w:r w:rsidRPr="000409DC">
        <w:rPr>
          <w:rFonts w:cstheme="minorHAnsi"/>
          <w:sz w:val="22"/>
          <w:szCs w:val="22"/>
          <w:lang w:val="en-US"/>
        </w:rPr>
        <w:t>criminalised</w:t>
      </w:r>
      <w:proofErr w:type="spellEnd"/>
      <w:r w:rsidRPr="000409DC">
        <w:rPr>
          <w:rFonts w:cstheme="minorHAnsi"/>
          <w:sz w:val="22"/>
          <w:szCs w:val="22"/>
          <w:lang w:val="en-US"/>
        </w:rPr>
        <w:t xml:space="preserve">, including child trafficking. However, the Crimes Act 1961, as </w:t>
      </w:r>
      <w:r w:rsidRPr="000409DC">
        <w:rPr>
          <w:rFonts w:cstheme="minorHAnsi"/>
          <w:sz w:val="22"/>
          <w:szCs w:val="22"/>
          <w:lang w:val="en-US"/>
        </w:rPr>
        <w:lastRenderedPageBreak/>
        <w:t xml:space="preserve">amended in 2015, does not </w:t>
      </w:r>
      <w:proofErr w:type="spellStart"/>
      <w:r w:rsidRPr="000409DC">
        <w:rPr>
          <w:rFonts w:cstheme="minorHAnsi"/>
          <w:sz w:val="22"/>
          <w:szCs w:val="22"/>
          <w:lang w:val="en-US"/>
        </w:rPr>
        <w:t>criminalise</w:t>
      </w:r>
      <w:proofErr w:type="spellEnd"/>
      <w:r w:rsidRPr="000409DC">
        <w:rPr>
          <w:rFonts w:cstheme="minorHAnsi"/>
          <w:sz w:val="22"/>
          <w:szCs w:val="22"/>
          <w:lang w:val="en-US"/>
        </w:rPr>
        <w:t xml:space="preserve"> all forms of child sex trafficking. It still requires a demonstration of deception or coercion to constitute a child sex trafficking offence.</w:t>
      </w:r>
      <w:r w:rsidRPr="000409DC">
        <w:rPr>
          <w:rFonts w:cstheme="minorHAnsi"/>
          <w:sz w:val="22"/>
          <w:szCs w:val="22"/>
          <w:vertAlign w:val="superscript"/>
          <w:lang w:val="en-US"/>
        </w:rPr>
        <w:footnoteReference w:id="476"/>
      </w:r>
    </w:p>
    <w:p w14:paraId="69C6D1E0" w14:textId="77777777" w:rsidR="000409DC" w:rsidRPr="000409DC" w:rsidRDefault="000409DC" w:rsidP="000409DC">
      <w:pPr>
        <w:pStyle w:val="ListParagraph"/>
        <w:rPr>
          <w:rFonts w:cstheme="minorHAnsi"/>
          <w:sz w:val="22"/>
          <w:szCs w:val="22"/>
        </w:rPr>
      </w:pPr>
    </w:p>
    <w:p w14:paraId="0B6E69FA" w14:textId="77777777" w:rsidR="000409DC" w:rsidRPr="000409DC" w:rsidRDefault="000409DC" w:rsidP="000409DC">
      <w:pPr>
        <w:pStyle w:val="ListParagraph"/>
        <w:numPr>
          <w:ilvl w:val="0"/>
          <w:numId w:val="9"/>
        </w:numPr>
        <w:ind w:hanging="720"/>
        <w:rPr>
          <w:rFonts w:cstheme="minorHAnsi"/>
          <w:sz w:val="22"/>
          <w:szCs w:val="22"/>
          <w:lang w:val="en-US"/>
        </w:rPr>
      </w:pPr>
      <w:r w:rsidRPr="000409DC">
        <w:rPr>
          <w:rFonts w:cstheme="minorHAnsi"/>
          <w:sz w:val="22"/>
          <w:szCs w:val="22"/>
        </w:rPr>
        <w:t>Government has focused on supply chain and labour trafficking, with insufficient efforts around prevention and awareness raising of sex trafficking. While there has been an increase in prosecutions for trafficking-type offences in Aotearoa,</w:t>
      </w:r>
      <w:r w:rsidRPr="000409DC">
        <w:rPr>
          <w:rFonts w:cstheme="minorHAnsi"/>
          <w:sz w:val="22"/>
          <w:szCs w:val="22"/>
          <w:lang w:val="en-US"/>
        </w:rPr>
        <w:t xml:space="preserve"> Government has exclusively used s 98D to prosecute </w:t>
      </w:r>
      <w:proofErr w:type="spellStart"/>
      <w:r w:rsidRPr="000409DC">
        <w:rPr>
          <w:rFonts w:cstheme="minorHAnsi"/>
          <w:sz w:val="22"/>
          <w:szCs w:val="22"/>
          <w:lang w:val="en-US"/>
        </w:rPr>
        <w:t>labour</w:t>
      </w:r>
      <w:proofErr w:type="spellEnd"/>
      <w:r w:rsidRPr="000409DC">
        <w:rPr>
          <w:rFonts w:cstheme="minorHAnsi"/>
          <w:sz w:val="22"/>
          <w:szCs w:val="22"/>
          <w:lang w:val="en-US"/>
        </w:rPr>
        <w:t xml:space="preserve"> trafficking crimes. It has never prosecuted a sex trafficking crime or a case of internal trafficking under s 98D.</w:t>
      </w:r>
      <w:r w:rsidRPr="000409DC">
        <w:rPr>
          <w:rFonts w:cstheme="minorHAnsi"/>
          <w:sz w:val="22"/>
          <w:szCs w:val="22"/>
          <w:vertAlign w:val="superscript"/>
          <w:lang w:val="en-US"/>
        </w:rPr>
        <w:footnoteReference w:id="477"/>
      </w:r>
      <w:r w:rsidRPr="000409DC">
        <w:rPr>
          <w:rFonts w:cstheme="minorHAnsi"/>
          <w:sz w:val="22"/>
          <w:szCs w:val="22"/>
          <w:lang w:val="en-US"/>
        </w:rPr>
        <w:t xml:space="preserve"> There have been several convictions of what would be considered sex trafficking by the UN definition, including child sex trafficking, but these are usually prosecuted under lesser offenses, usually under the Prostitution Reform Act 2003, which does not do justice to the extent of harm caused and carries a maximum sentence of seven years prison.</w:t>
      </w:r>
      <w:r w:rsidRPr="000409DC">
        <w:rPr>
          <w:rFonts w:cstheme="minorHAnsi"/>
          <w:sz w:val="22"/>
          <w:szCs w:val="22"/>
          <w:vertAlign w:val="superscript"/>
          <w:lang w:val="en-US"/>
        </w:rPr>
        <w:footnoteReference w:id="478"/>
      </w:r>
    </w:p>
    <w:p w14:paraId="25E44901" w14:textId="1354B544" w:rsidR="000409DC" w:rsidRPr="000409DC" w:rsidRDefault="000409DC" w:rsidP="000409DC">
      <w:pPr>
        <w:pStyle w:val="ListParagraph"/>
        <w:rPr>
          <w:rFonts w:cstheme="minorHAnsi"/>
          <w:sz w:val="22"/>
          <w:szCs w:val="22"/>
          <w:lang w:val="en-US"/>
        </w:rPr>
      </w:pPr>
    </w:p>
    <w:p w14:paraId="1B3B2CBC" w14:textId="5E9161B6" w:rsidR="000409DC" w:rsidRPr="000409DC" w:rsidRDefault="000409DC" w:rsidP="000409DC">
      <w:pPr>
        <w:pStyle w:val="ListParagraph"/>
        <w:numPr>
          <w:ilvl w:val="0"/>
          <w:numId w:val="9"/>
        </w:numPr>
        <w:ind w:hanging="720"/>
        <w:rPr>
          <w:rFonts w:cstheme="minorHAnsi"/>
          <w:sz w:val="22"/>
          <w:szCs w:val="22"/>
          <w:lang w:val="en-US"/>
        </w:rPr>
      </w:pPr>
      <w:r w:rsidRPr="000409DC">
        <w:rPr>
          <w:rFonts w:cstheme="minorHAnsi"/>
          <w:sz w:val="22"/>
          <w:szCs w:val="22"/>
          <w:lang w:val="en-US"/>
        </w:rPr>
        <w:t xml:space="preserve">The Prostitution Reform Act 2003, which </w:t>
      </w:r>
      <w:proofErr w:type="spellStart"/>
      <w:r w:rsidRPr="000409DC">
        <w:rPr>
          <w:rFonts w:cstheme="minorHAnsi"/>
          <w:sz w:val="22"/>
          <w:szCs w:val="22"/>
          <w:lang w:val="en-US"/>
        </w:rPr>
        <w:t>decriminalised</w:t>
      </w:r>
      <w:proofErr w:type="spellEnd"/>
      <w:r w:rsidRPr="000409DC">
        <w:rPr>
          <w:rFonts w:cstheme="minorHAnsi"/>
          <w:sz w:val="22"/>
          <w:szCs w:val="22"/>
          <w:lang w:val="en-US"/>
        </w:rPr>
        <w:t xml:space="preserve"> commercial sex, increased protections for those who willingly engaged in commercial sex. It does not, however, adequately protect vulnerable populations, such as children and migrants. </w:t>
      </w:r>
    </w:p>
    <w:p w14:paraId="64EF68D5" w14:textId="77777777" w:rsidR="000409DC" w:rsidRPr="000409DC" w:rsidRDefault="000409DC" w:rsidP="000409DC">
      <w:pPr>
        <w:pStyle w:val="ListParagraph"/>
        <w:rPr>
          <w:rFonts w:cstheme="minorHAnsi"/>
          <w:sz w:val="22"/>
          <w:szCs w:val="22"/>
          <w:lang w:val="en-US"/>
        </w:rPr>
      </w:pPr>
    </w:p>
    <w:p w14:paraId="482FD70D" w14:textId="0A5E765C" w:rsidR="000409DC" w:rsidRPr="000409DC" w:rsidRDefault="000409DC" w:rsidP="000409DC">
      <w:pPr>
        <w:pStyle w:val="ListParagraph"/>
        <w:numPr>
          <w:ilvl w:val="0"/>
          <w:numId w:val="9"/>
        </w:numPr>
        <w:ind w:hanging="720"/>
        <w:rPr>
          <w:rFonts w:cstheme="minorHAnsi"/>
          <w:sz w:val="22"/>
          <w:szCs w:val="22"/>
          <w:lang w:val="en-US"/>
        </w:rPr>
      </w:pPr>
      <w:r w:rsidRPr="000409DC">
        <w:rPr>
          <w:rFonts w:cstheme="minorHAnsi"/>
          <w:sz w:val="22"/>
          <w:szCs w:val="22"/>
        </w:rPr>
        <w:t>The DIA, Customs and Police work collaboratively and effectively to address CSAM and have been increasingly engaging with civil society to combat the issue at all levels. However, given the scale of the issue, the severity of the content, and the fact that victim identification has become increasingly difficult, these agencies are considered by ECPAT NZ to still be drastically under-resourced. Sugar dating is becoming a trend amongst young people, making them more vulnerable to exploitation, especially as they generally do not engage with Government services or NGOs, such as the Sex Workers Collective, as they do not identify as sex workers.</w:t>
      </w:r>
      <w:r w:rsidRPr="000409DC">
        <w:rPr>
          <w:rFonts w:cstheme="minorHAnsi"/>
          <w:sz w:val="22"/>
          <w:szCs w:val="22"/>
          <w:vertAlign w:val="superscript"/>
        </w:rPr>
        <w:footnoteReference w:id="479"/>
      </w:r>
      <w:r w:rsidRPr="000409DC">
        <w:rPr>
          <w:rFonts w:cstheme="minorHAnsi"/>
          <w:sz w:val="22"/>
          <w:szCs w:val="22"/>
        </w:rPr>
        <w:t xml:space="preserve"> </w:t>
      </w:r>
    </w:p>
    <w:p w14:paraId="6E59F4BF" w14:textId="77777777" w:rsidR="000409DC" w:rsidRPr="000409DC" w:rsidRDefault="000409DC" w:rsidP="000409DC">
      <w:pPr>
        <w:pStyle w:val="ListParagraph"/>
        <w:rPr>
          <w:rFonts w:cstheme="minorHAnsi"/>
          <w:sz w:val="22"/>
          <w:szCs w:val="22"/>
        </w:rPr>
      </w:pPr>
    </w:p>
    <w:p w14:paraId="634781E9" w14:textId="0302A66D" w:rsidR="00F14110" w:rsidRPr="005232C5" w:rsidRDefault="000409DC" w:rsidP="00684B78">
      <w:pPr>
        <w:pStyle w:val="ListParagraph"/>
        <w:numPr>
          <w:ilvl w:val="0"/>
          <w:numId w:val="9"/>
        </w:numPr>
        <w:ind w:hanging="720"/>
        <w:rPr>
          <w:rFonts w:cstheme="minorHAnsi"/>
          <w:sz w:val="22"/>
          <w:szCs w:val="22"/>
          <w:lang w:val="mi-NZ"/>
        </w:rPr>
      </w:pPr>
      <w:r w:rsidRPr="000409DC">
        <w:rPr>
          <w:rFonts w:cstheme="minorHAnsi"/>
          <w:sz w:val="22"/>
          <w:szCs w:val="22"/>
        </w:rPr>
        <w:t>In 2020, Government launched the Plan of Action Against Forced Labour, People Trafficking and Slavery.</w:t>
      </w:r>
      <w:r w:rsidRPr="000409DC">
        <w:rPr>
          <w:rFonts w:cstheme="minorHAnsi"/>
          <w:sz w:val="22"/>
          <w:szCs w:val="22"/>
          <w:vertAlign w:val="superscript"/>
        </w:rPr>
        <w:footnoteReference w:id="480"/>
      </w:r>
      <w:r w:rsidRPr="000409DC">
        <w:rPr>
          <w:rFonts w:cstheme="minorHAnsi"/>
          <w:sz w:val="22"/>
          <w:szCs w:val="22"/>
        </w:rPr>
        <w:t xml:space="preserve"> Intended as an all-of-government plan to combat trafficking, it sets out a high-level framework for the actions that government agencies will take until 2025 and was the result of a consultation process with key stakeholders.</w:t>
      </w:r>
      <w:r w:rsidRPr="000409DC">
        <w:rPr>
          <w:rFonts w:cstheme="minorHAnsi"/>
          <w:sz w:val="22"/>
          <w:szCs w:val="22"/>
          <w:vertAlign w:val="superscript"/>
        </w:rPr>
        <w:footnoteReference w:id="481"/>
      </w:r>
      <w:r w:rsidRPr="000409DC">
        <w:rPr>
          <w:rFonts w:cstheme="minorHAnsi"/>
          <w:sz w:val="22"/>
          <w:szCs w:val="22"/>
        </w:rPr>
        <w:t xml:space="preserve"> This initiative has led to some positive steps </w:t>
      </w:r>
      <w:r w:rsidRPr="000409DC">
        <w:rPr>
          <w:rFonts w:cstheme="minorHAnsi"/>
          <w:sz w:val="22"/>
          <w:szCs w:val="22"/>
        </w:rPr>
        <w:lastRenderedPageBreak/>
        <w:t xml:space="preserve">being taken, including the investigation of trafficking cases, the development of anti-trafficking training modules for government agencies, and increasing collaboration with civil society. Despite this, some government agencies have not yet delivered on the activities they have committed to within the Plan of Action due to COVID delays or conflicting priorities for resources. </w:t>
      </w:r>
    </w:p>
    <w:p w14:paraId="6DC85A44" w14:textId="77777777" w:rsidR="005232C5" w:rsidRPr="005232C5" w:rsidRDefault="005232C5" w:rsidP="005232C5">
      <w:pPr>
        <w:pStyle w:val="ListParagraph"/>
        <w:rPr>
          <w:rFonts w:cstheme="minorHAnsi"/>
          <w:sz w:val="22"/>
          <w:szCs w:val="22"/>
          <w:lang w:val="mi-NZ"/>
        </w:rPr>
      </w:pPr>
    </w:p>
    <w:p w14:paraId="3C1624E2" w14:textId="662CA72D" w:rsidR="005232C5" w:rsidRPr="005232C5" w:rsidRDefault="005232C5" w:rsidP="005232C5">
      <w:pPr>
        <w:pStyle w:val="IntenseQuote"/>
        <w:ind w:left="720"/>
        <w:jc w:val="left"/>
        <w:rPr>
          <w:b/>
          <w:bCs/>
          <w:i w:val="0"/>
          <w:iCs w:val="0"/>
          <w:sz w:val="24"/>
          <w:szCs w:val="24"/>
          <w:lang w:val="mi-NZ"/>
        </w:rPr>
      </w:pPr>
      <w:r w:rsidRPr="005232C5">
        <w:rPr>
          <w:b/>
          <w:bCs/>
          <w:i w:val="0"/>
          <w:iCs w:val="0"/>
          <w:sz w:val="24"/>
          <w:szCs w:val="24"/>
          <w:lang w:val="mi-NZ"/>
        </w:rPr>
        <w:t>Recommendation</w:t>
      </w:r>
      <w:r w:rsidRPr="005232C5">
        <w:rPr>
          <w:i w:val="0"/>
          <w:iCs w:val="0"/>
          <w:sz w:val="24"/>
          <w:szCs w:val="24"/>
          <w:lang w:val="mi-NZ"/>
        </w:rPr>
        <w:t> </w:t>
      </w:r>
    </w:p>
    <w:p w14:paraId="3891B4CA" w14:textId="77777777" w:rsidR="005232C5" w:rsidRPr="005232C5" w:rsidRDefault="005232C5" w:rsidP="00916EA3">
      <w:pPr>
        <w:pStyle w:val="IntenseQuote"/>
        <w:numPr>
          <w:ilvl w:val="0"/>
          <w:numId w:val="23"/>
        </w:numPr>
        <w:jc w:val="left"/>
        <w:rPr>
          <w:i w:val="0"/>
          <w:iCs w:val="0"/>
          <w:sz w:val="22"/>
          <w:szCs w:val="22"/>
          <w:lang w:val="mi-NZ"/>
        </w:rPr>
      </w:pPr>
      <w:r w:rsidRPr="005232C5">
        <w:rPr>
          <w:i w:val="0"/>
          <w:iCs w:val="0"/>
          <w:sz w:val="22"/>
          <w:szCs w:val="22"/>
          <w:lang w:val="mi-NZ"/>
        </w:rPr>
        <w:t>Government agencies commit to considering children in all activities being implemented under the MBIE-led Plan of Action against forced labour, people trafficking and slavery.</w:t>
      </w:r>
    </w:p>
    <w:p w14:paraId="129EFD35" w14:textId="77777777" w:rsidR="00F14110" w:rsidRDefault="00F14110" w:rsidP="00F14110">
      <w:pPr>
        <w:pStyle w:val="Heading2"/>
        <w:spacing w:before="0"/>
        <w:rPr>
          <w:rFonts w:asciiTheme="minorHAnsi" w:hAnsiTheme="minorHAnsi" w:cstheme="minorHAnsi"/>
          <w:color w:val="00AE6D" w:themeColor="accent1"/>
          <w:sz w:val="28"/>
          <w:szCs w:val="28"/>
        </w:rPr>
      </w:pPr>
    </w:p>
    <w:p w14:paraId="1E027BD1" w14:textId="77777777" w:rsidR="00B74340" w:rsidRDefault="00B74340">
      <w:pPr>
        <w:rPr>
          <w:sz w:val="22"/>
          <w:szCs w:val="22"/>
        </w:rPr>
      </w:pPr>
      <w:r>
        <w:rPr>
          <w:sz w:val="22"/>
          <w:szCs w:val="22"/>
        </w:rPr>
        <w:br w:type="page"/>
      </w:r>
    </w:p>
    <w:p w14:paraId="754CAE11" w14:textId="63DD3368" w:rsidR="003B6211" w:rsidRDefault="00B74340" w:rsidP="00A74FBE">
      <w:pPr>
        <w:pStyle w:val="Heading1"/>
      </w:pPr>
      <w:bookmarkStart w:id="79" w:name="_Toc111485501"/>
      <w:r w:rsidRPr="003B6211">
        <w:lastRenderedPageBreak/>
        <w:t>Appendix 1</w:t>
      </w:r>
      <w:r w:rsidR="003B6211" w:rsidRPr="003B6211">
        <w:t>: The process used to develop the Children’s Rights Alliance Aotearoa New Zealand’s 2022 Alternative Report to the United Nations Committee on the Rights of the Child</w:t>
      </w:r>
      <w:bookmarkEnd w:id="79"/>
    </w:p>
    <w:p w14:paraId="380A162A" w14:textId="76012CFC" w:rsidR="003B6211" w:rsidRDefault="003B6211" w:rsidP="003B6211">
      <w:pPr>
        <w:rPr>
          <w:rFonts w:asciiTheme="majorHAnsi" w:eastAsiaTheme="majorEastAsia" w:hAnsiTheme="majorHAnsi" w:cstheme="majorBidi"/>
          <w:b/>
          <w:bCs/>
          <w:color w:val="25409A" w:themeColor="text2"/>
          <w:sz w:val="28"/>
          <w:szCs w:val="28"/>
        </w:rPr>
      </w:pPr>
    </w:p>
    <w:p w14:paraId="5AF17980" w14:textId="7A305B73" w:rsidR="003B6211" w:rsidRPr="003B6211" w:rsidRDefault="003B6211" w:rsidP="003B6211">
      <w:pPr>
        <w:rPr>
          <w:sz w:val="22"/>
          <w:szCs w:val="22"/>
          <w:lang w:val="mi-NZ"/>
        </w:rPr>
      </w:pPr>
      <w:r w:rsidRPr="003B6211">
        <w:rPr>
          <w:sz w:val="22"/>
          <w:szCs w:val="22"/>
          <w:lang w:val="mi-NZ"/>
        </w:rPr>
        <w:t xml:space="preserve">The Children’s Rights Alliance began developing this alternative report on the children’s rights situation in Aotearoa in 2020, building our </w:t>
      </w:r>
      <w:r w:rsidRPr="003B6211">
        <w:rPr>
          <w:i/>
          <w:iCs/>
          <w:sz w:val="22"/>
          <w:szCs w:val="22"/>
          <w:lang w:val="mi-NZ"/>
        </w:rPr>
        <w:t xml:space="preserve">Written Input to the List of Issues Prior to Reporting </w:t>
      </w:r>
      <w:r w:rsidRPr="004D631E">
        <w:rPr>
          <w:sz w:val="22"/>
          <w:szCs w:val="22"/>
          <w:lang w:val="mi-NZ"/>
        </w:rPr>
        <w:t>(2020).</w:t>
      </w:r>
      <w:r w:rsidRPr="003B6211">
        <w:rPr>
          <w:sz w:val="22"/>
          <w:szCs w:val="22"/>
          <w:lang w:val="mi-NZ"/>
        </w:rPr>
        <w:t xml:space="preserve"> This report has been compiled </w:t>
      </w:r>
      <w:r w:rsidR="001A4945">
        <w:rPr>
          <w:sz w:val="22"/>
          <w:szCs w:val="22"/>
          <w:lang w:val="mi-NZ"/>
        </w:rPr>
        <w:t>drawing on</w:t>
      </w:r>
      <w:r w:rsidRPr="003B6211">
        <w:rPr>
          <w:sz w:val="22"/>
          <w:szCs w:val="22"/>
          <w:lang w:val="mi-NZ"/>
        </w:rPr>
        <w:t xml:space="preserve"> the knowledge and insights of many people, who have taken the time to provide information, share their views and ideas, comment on drafts and suggest recommendations. We are very grateful to everyone who has contributed.</w:t>
      </w:r>
    </w:p>
    <w:p w14:paraId="2D525356" w14:textId="18719A93" w:rsidR="003B6211" w:rsidRPr="003B6211" w:rsidRDefault="003B6211" w:rsidP="003B6211">
      <w:pPr>
        <w:rPr>
          <w:sz w:val="22"/>
          <w:szCs w:val="22"/>
          <w:lang w:val="mi-NZ"/>
        </w:rPr>
      </w:pPr>
      <w:r w:rsidRPr="003B6211">
        <w:rPr>
          <w:sz w:val="22"/>
          <w:szCs w:val="22"/>
          <w:lang w:val="mi-NZ"/>
        </w:rPr>
        <w:t xml:space="preserve">Over the last two years the Alliance has held a number of meetings, both on-line and in person  (when COVID-19 restrictions permitted) with </w:t>
      </w:r>
      <w:r w:rsidRPr="003B6211">
        <w:rPr>
          <w:rFonts w:cstheme="minorHAnsi"/>
          <w:sz w:val="22"/>
          <w:szCs w:val="22"/>
        </w:rPr>
        <w:t>a wide range of individuals, academics, groups and agencies</w:t>
      </w:r>
      <w:r w:rsidR="001A4945">
        <w:rPr>
          <w:rFonts w:cstheme="minorHAnsi"/>
          <w:sz w:val="22"/>
          <w:szCs w:val="22"/>
        </w:rPr>
        <w:t xml:space="preserve"> – all of which have a focus on or knowledge about the situation for children and their rights in Aotearoa</w:t>
      </w:r>
      <w:r w:rsidRPr="003B6211">
        <w:rPr>
          <w:rFonts w:cstheme="minorHAnsi"/>
          <w:sz w:val="22"/>
          <w:szCs w:val="22"/>
        </w:rPr>
        <w:t xml:space="preserve">. These meetings have included regular Zoom </w:t>
      </w:r>
      <w:r w:rsidR="004D631E">
        <w:rPr>
          <w:rFonts w:cstheme="minorHAnsi"/>
          <w:sz w:val="22"/>
          <w:szCs w:val="22"/>
        </w:rPr>
        <w:t>‘</w:t>
      </w:r>
      <w:r w:rsidRPr="003B6211">
        <w:rPr>
          <w:rFonts w:cstheme="minorHAnsi"/>
          <w:sz w:val="22"/>
          <w:szCs w:val="22"/>
        </w:rPr>
        <w:t>drop-ins</w:t>
      </w:r>
      <w:r w:rsidR="004D631E">
        <w:rPr>
          <w:rFonts w:cstheme="minorHAnsi"/>
          <w:sz w:val="22"/>
          <w:szCs w:val="22"/>
        </w:rPr>
        <w:t>’</w:t>
      </w:r>
      <w:r w:rsidRPr="003B6211">
        <w:rPr>
          <w:rFonts w:cstheme="minorHAnsi"/>
          <w:sz w:val="22"/>
          <w:szCs w:val="22"/>
        </w:rPr>
        <w:t xml:space="preserve">, on the last Wednesday of the month during 2022, for those </w:t>
      </w:r>
      <w:r w:rsidR="001A4945">
        <w:rPr>
          <w:rFonts w:cstheme="minorHAnsi"/>
          <w:sz w:val="22"/>
          <w:szCs w:val="22"/>
        </w:rPr>
        <w:t>who</w:t>
      </w:r>
      <w:r w:rsidRPr="003B6211">
        <w:rPr>
          <w:rFonts w:cstheme="minorHAnsi"/>
          <w:sz w:val="22"/>
          <w:szCs w:val="22"/>
        </w:rPr>
        <w:t xml:space="preserve"> wanted to stay in touch about our children’s rights reporting</w:t>
      </w:r>
      <w:r w:rsidR="001A4945">
        <w:rPr>
          <w:rFonts w:cstheme="minorHAnsi"/>
          <w:sz w:val="22"/>
          <w:szCs w:val="22"/>
        </w:rPr>
        <w:t>, share their knowledge and contribute</w:t>
      </w:r>
      <w:r w:rsidRPr="003B6211">
        <w:rPr>
          <w:rFonts w:cstheme="minorHAnsi"/>
          <w:sz w:val="22"/>
          <w:szCs w:val="22"/>
        </w:rPr>
        <w:t xml:space="preserve">. At these meetings we </w:t>
      </w:r>
      <w:r w:rsidRPr="003B6211">
        <w:rPr>
          <w:sz w:val="22"/>
          <w:szCs w:val="22"/>
          <w:lang w:val="mi-NZ"/>
        </w:rPr>
        <w:t>provided information on the reporting process and discussed with our</w:t>
      </w:r>
      <w:r w:rsidR="001A4945">
        <w:rPr>
          <w:sz w:val="22"/>
          <w:szCs w:val="22"/>
          <w:lang w:val="mi-NZ"/>
        </w:rPr>
        <w:t xml:space="preserve"> Alliance</w:t>
      </w:r>
      <w:r w:rsidRPr="003B6211">
        <w:rPr>
          <w:sz w:val="22"/>
          <w:szCs w:val="22"/>
          <w:lang w:val="mi-NZ"/>
        </w:rPr>
        <w:t xml:space="preserve"> members and friends what the key children’s rights issues are in Aotearoa, to help ensure this report, our first under the Simplified Reporting Process, focussed on the children’s rights issues of greatest concern. </w:t>
      </w:r>
    </w:p>
    <w:p w14:paraId="0EE910BC" w14:textId="134F10CB" w:rsidR="003B6211" w:rsidRPr="003B6211" w:rsidRDefault="003B6211" w:rsidP="003B6211">
      <w:pPr>
        <w:rPr>
          <w:sz w:val="22"/>
          <w:szCs w:val="22"/>
          <w:lang w:val="mi-NZ"/>
        </w:rPr>
      </w:pPr>
      <w:r w:rsidRPr="003B6211">
        <w:rPr>
          <w:sz w:val="22"/>
          <w:szCs w:val="22"/>
          <w:lang w:val="mi-NZ"/>
        </w:rPr>
        <w:t>Participants in these meetings included representatives from Amnesty International Aotearoa New Zealand, Ara Taiohi, Barnardos, Child Poverty Action Group, Cure Kids, IHC, International Play Association Aotearoa New Zealand, New Zealand Council of Christian Social Services, OMEP Aotearoa, OraTaiao:</w:t>
      </w:r>
      <w:r w:rsidR="004D631E">
        <w:rPr>
          <w:sz w:val="22"/>
          <w:szCs w:val="22"/>
          <w:lang w:val="mi-NZ"/>
        </w:rPr>
        <w:t xml:space="preserve"> </w:t>
      </w:r>
      <w:r w:rsidRPr="003B6211">
        <w:rPr>
          <w:sz w:val="22"/>
          <w:szCs w:val="22"/>
          <w:lang w:val="mi-NZ"/>
        </w:rPr>
        <w:t xml:space="preserve">NZ Climate and Health Council, KidsOnScreen:The New Zealand Children’s Screen Trust, Save the Children New Zealand, Social Service Providers Aotearoa, Te Ngākau Kaukura, </w:t>
      </w:r>
      <w:proofErr w:type="spellStart"/>
      <w:r w:rsidRPr="003B6211">
        <w:rPr>
          <w:rFonts w:cstheme="minorHAnsi"/>
          <w:sz w:val="22"/>
          <w:szCs w:val="22"/>
        </w:rPr>
        <w:t>Te</w:t>
      </w:r>
      <w:proofErr w:type="spellEnd"/>
      <w:r w:rsidRPr="003B6211">
        <w:rPr>
          <w:rFonts w:cstheme="minorHAnsi"/>
          <w:sz w:val="22"/>
          <w:szCs w:val="22"/>
        </w:rPr>
        <w:t xml:space="preserve"> Puna </w:t>
      </w:r>
      <w:proofErr w:type="spellStart"/>
      <w:r w:rsidRPr="003B6211">
        <w:rPr>
          <w:rFonts w:cstheme="minorHAnsi"/>
          <w:sz w:val="22"/>
          <w:szCs w:val="22"/>
        </w:rPr>
        <w:t>Rangahau</w:t>
      </w:r>
      <w:proofErr w:type="spellEnd"/>
      <w:r w:rsidRPr="003B6211">
        <w:rPr>
          <w:rFonts w:cstheme="minorHAnsi"/>
          <w:sz w:val="22"/>
          <w:szCs w:val="22"/>
        </w:rPr>
        <w:t xml:space="preserve"> o </w:t>
      </w:r>
      <w:proofErr w:type="spellStart"/>
      <w:r w:rsidRPr="003B6211">
        <w:rPr>
          <w:rFonts w:cstheme="minorHAnsi"/>
          <w:sz w:val="22"/>
          <w:szCs w:val="22"/>
        </w:rPr>
        <w:t>Te</w:t>
      </w:r>
      <w:proofErr w:type="spellEnd"/>
      <w:r w:rsidRPr="003B6211">
        <w:rPr>
          <w:rFonts w:cstheme="minorHAnsi"/>
          <w:sz w:val="22"/>
          <w:szCs w:val="22"/>
        </w:rPr>
        <w:t xml:space="preserve"> Wai Ariki:</w:t>
      </w:r>
      <w:r w:rsidR="004D631E">
        <w:rPr>
          <w:rFonts w:cstheme="minorHAnsi"/>
          <w:sz w:val="22"/>
          <w:szCs w:val="22"/>
        </w:rPr>
        <w:t xml:space="preserve"> </w:t>
      </w:r>
      <w:r w:rsidRPr="003B6211">
        <w:rPr>
          <w:rFonts w:cstheme="minorHAnsi"/>
          <w:sz w:val="22"/>
          <w:szCs w:val="22"/>
        </w:rPr>
        <w:t>Aotearoa New Zealand Centre for Indigenous Peoples and the Law</w:t>
      </w:r>
      <w:r w:rsidRPr="003B6211">
        <w:rPr>
          <w:sz w:val="22"/>
          <w:szCs w:val="22"/>
          <w:lang w:val="mi-NZ"/>
        </w:rPr>
        <w:t>, UNICEF Aotearoa, VOYCE-Whakarongo Mai, Whānau Āwhina Plunket, YouthLaw, Youthline and others, as well as individuals committed to advancing children’s rights in Aotearoa.</w:t>
      </w:r>
    </w:p>
    <w:p w14:paraId="42CAEF7F" w14:textId="4B68A9A5" w:rsidR="003B6211" w:rsidRPr="003B6211" w:rsidRDefault="003B6211" w:rsidP="003B6211">
      <w:pPr>
        <w:rPr>
          <w:sz w:val="22"/>
          <w:szCs w:val="22"/>
          <w:lang w:val="mi-NZ"/>
        </w:rPr>
      </w:pPr>
      <w:r w:rsidRPr="003B6211">
        <w:rPr>
          <w:sz w:val="22"/>
          <w:szCs w:val="22"/>
          <w:lang w:val="mi-NZ"/>
        </w:rPr>
        <w:t>We also shared drafts of the report through our networks and via our website, to give as many people as possible the opportunity to input.</w:t>
      </w:r>
    </w:p>
    <w:p w14:paraId="7E52A157" w14:textId="47171E92" w:rsidR="003B6211" w:rsidRPr="003B6211" w:rsidRDefault="003B6211" w:rsidP="003B6211">
      <w:pPr>
        <w:rPr>
          <w:sz w:val="22"/>
          <w:szCs w:val="22"/>
          <w:lang w:val="mi-NZ"/>
        </w:rPr>
      </w:pPr>
      <w:r w:rsidRPr="003B6211">
        <w:rPr>
          <w:sz w:val="22"/>
          <w:szCs w:val="22"/>
          <w:lang w:val="mi-NZ"/>
        </w:rPr>
        <w:t xml:space="preserve">During 2022 we have worked collaboratively with others in the children’s sector to advocate for on the Oversight of Oranga Tamariki System and Children and Young People’s Commission Bill (2021), which raises significant children’s rights issues. This has included co-ordinating a joint </w:t>
      </w:r>
      <w:r w:rsidR="001A4945">
        <w:rPr>
          <w:sz w:val="22"/>
          <w:szCs w:val="22"/>
          <w:lang w:val="mi-NZ"/>
        </w:rPr>
        <w:t xml:space="preserve">children’s sector </w:t>
      </w:r>
      <w:r w:rsidRPr="003B6211">
        <w:rPr>
          <w:sz w:val="22"/>
          <w:szCs w:val="22"/>
          <w:lang w:val="mi-NZ"/>
        </w:rPr>
        <w:t>submission on the Bill. This collaborative advocacy enabled us to raise awareness of the CRC reporting process more widely, and also forms the basis of Appendix Two to this report.</w:t>
      </w:r>
    </w:p>
    <w:p w14:paraId="43048E60" w14:textId="77777777" w:rsidR="003B6211" w:rsidRPr="003B6211" w:rsidRDefault="003B6211" w:rsidP="003B6211">
      <w:pPr>
        <w:rPr>
          <w:sz w:val="22"/>
          <w:szCs w:val="22"/>
          <w:lang w:val="mi-NZ"/>
        </w:rPr>
      </w:pPr>
    </w:p>
    <w:p w14:paraId="6D21FF5B" w14:textId="60E18CBE" w:rsidR="003B6211" w:rsidRPr="003B6211" w:rsidRDefault="003B6211" w:rsidP="003B6211">
      <w:pPr>
        <w:rPr>
          <w:sz w:val="22"/>
          <w:szCs w:val="22"/>
          <w:lang w:val="mi-NZ"/>
        </w:rPr>
      </w:pPr>
      <w:r w:rsidRPr="003B6211">
        <w:rPr>
          <w:sz w:val="22"/>
          <w:szCs w:val="22"/>
          <w:lang w:val="mi-NZ"/>
        </w:rPr>
        <w:t>We developed guidelines on thematic reports to encourage and support people to submit thematic reports on their areas of expertise and interest. The wide range of thematic reports submitted is testament to the level of civil society commitment to children’s rights in Aotearoa. These reports have been invaluable in</w:t>
      </w:r>
      <w:r w:rsidR="001A4945">
        <w:rPr>
          <w:sz w:val="22"/>
          <w:szCs w:val="22"/>
          <w:lang w:val="mi-NZ"/>
        </w:rPr>
        <w:t xml:space="preserve"> helping to inform</w:t>
      </w:r>
      <w:r w:rsidRPr="003B6211">
        <w:rPr>
          <w:sz w:val="22"/>
          <w:szCs w:val="22"/>
          <w:lang w:val="mi-NZ"/>
        </w:rPr>
        <w:t xml:space="preserve"> the development of the Alliance’s consolidated report.</w:t>
      </w:r>
    </w:p>
    <w:p w14:paraId="7938817F" w14:textId="4392F6E1" w:rsidR="003B6211" w:rsidRDefault="003B6211" w:rsidP="003B6211">
      <w:pPr>
        <w:rPr>
          <w:sz w:val="22"/>
          <w:szCs w:val="22"/>
          <w:lang w:val="mi-NZ"/>
        </w:rPr>
      </w:pPr>
      <w:r w:rsidRPr="003B6211">
        <w:rPr>
          <w:sz w:val="22"/>
          <w:szCs w:val="22"/>
          <w:lang w:val="mi-NZ"/>
        </w:rPr>
        <w:t>In developing this report we have also worked closely with the Children’s Commissioner’s Office and the Human Rights Commission</w:t>
      </w:r>
      <w:r w:rsidR="001A4945">
        <w:rPr>
          <w:sz w:val="22"/>
          <w:szCs w:val="22"/>
          <w:lang w:val="mi-NZ"/>
        </w:rPr>
        <w:t xml:space="preserve"> Te Kāhui Tika Tangata</w:t>
      </w:r>
      <w:r w:rsidRPr="003B6211">
        <w:rPr>
          <w:sz w:val="22"/>
          <w:szCs w:val="22"/>
          <w:lang w:val="mi-NZ"/>
        </w:rPr>
        <w:t>.</w:t>
      </w:r>
    </w:p>
    <w:p w14:paraId="7815EA2E" w14:textId="77777777" w:rsidR="009C5C19" w:rsidRPr="003B6211" w:rsidRDefault="009C5C19" w:rsidP="003B6211">
      <w:pPr>
        <w:rPr>
          <w:sz w:val="22"/>
          <w:szCs w:val="22"/>
          <w:lang w:val="mi-NZ"/>
        </w:rPr>
      </w:pPr>
    </w:p>
    <w:p w14:paraId="5FCD9BF3" w14:textId="07CCEE2F" w:rsidR="003B6211" w:rsidRPr="003B6211" w:rsidRDefault="003B6211" w:rsidP="003B6211">
      <w:pPr>
        <w:rPr>
          <w:i/>
          <w:iCs/>
          <w:sz w:val="22"/>
          <w:szCs w:val="22"/>
          <w:lang w:val="mi-NZ"/>
        </w:rPr>
      </w:pPr>
      <w:r w:rsidRPr="003B6211">
        <w:rPr>
          <w:i/>
          <w:iCs/>
          <w:sz w:val="22"/>
          <w:szCs w:val="22"/>
          <w:lang w:val="mi-NZ"/>
        </w:rPr>
        <w:t>The views of children in this report</w:t>
      </w:r>
    </w:p>
    <w:p w14:paraId="7C87115C" w14:textId="4666ACFC" w:rsidR="00154BF7" w:rsidRDefault="003B6211" w:rsidP="003B6211">
      <w:pPr>
        <w:rPr>
          <w:sz w:val="22"/>
          <w:szCs w:val="22"/>
          <w:lang w:val="mi-NZ"/>
        </w:rPr>
      </w:pPr>
      <w:r w:rsidRPr="003B6211">
        <w:rPr>
          <w:sz w:val="22"/>
          <w:szCs w:val="22"/>
          <w:lang w:val="mi-NZ"/>
        </w:rPr>
        <w:t xml:space="preserve">Unfortunately, due to our limited resources, we were unable to support children’s direct involvement in the development of this report. </w:t>
      </w:r>
      <w:r w:rsidR="00154BF7">
        <w:rPr>
          <w:sz w:val="22"/>
          <w:szCs w:val="22"/>
          <w:lang w:val="mi-NZ"/>
        </w:rPr>
        <w:t xml:space="preserve">However, </w:t>
      </w:r>
      <w:r w:rsidR="0053771F">
        <w:rPr>
          <w:sz w:val="22"/>
          <w:szCs w:val="22"/>
          <w:lang w:val="mi-NZ"/>
        </w:rPr>
        <w:t xml:space="preserve">we </w:t>
      </w:r>
      <w:r w:rsidR="00154BF7">
        <w:rPr>
          <w:sz w:val="22"/>
          <w:szCs w:val="22"/>
          <w:lang w:val="mi-NZ"/>
        </w:rPr>
        <w:t>developed</w:t>
      </w:r>
      <w:r w:rsidR="00F40A6D">
        <w:rPr>
          <w:sz w:val="22"/>
          <w:szCs w:val="22"/>
          <w:lang w:val="mi-NZ"/>
        </w:rPr>
        <w:t xml:space="preserve"> and distributed</w:t>
      </w:r>
      <w:r w:rsidR="00154BF7">
        <w:rPr>
          <w:sz w:val="22"/>
          <w:szCs w:val="22"/>
          <w:lang w:val="mi-NZ"/>
        </w:rPr>
        <w:t xml:space="preserve"> </w:t>
      </w:r>
      <w:r w:rsidR="0053771F">
        <w:rPr>
          <w:sz w:val="22"/>
          <w:szCs w:val="22"/>
          <w:lang w:val="mi-NZ"/>
        </w:rPr>
        <w:t xml:space="preserve">information </w:t>
      </w:r>
      <w:r w:rsidR="00154BF7">
        <w:rPr>
          <w:sz w:val="22"/>
          <w:szCs w:val="22"/>
          <w:lang w:val="mi-NZ"/>
        </w:rPr>
        <w:t xml:space="preserve">resources </w:t>
      </w:r>
      <w:r w:rsidR="0053771F">
        <w:rPr>
          <w:sz w:val="22"/>
          <w:szCs w:val="22"/>
          <w:lang w:val="mi-NZ"/>
        </w:rPr>
        <w:t xml:space="preserve">about reporting </w:t>
      </w:r>
      <w:r w:rsidR="00F40A6D">
        <w:rPr>
          <w:sz w:val="22"/>
          <w:szCs w:val="22"/>
          <w:lang w:val="mi-NZ"/>
        </w:rPr>
        <w:t>by children</w:t>
      </w:r>
      <w:r w:rsidR="0020588B">
        <w:rPr>
          <w:sz w:val="22"/>
          <w:szCs w:val="22"/>
          <w:lang w:val="mi-NZ"/>
        </w:rPr>
        <w:t xml:space="preserve">, </w:t>
      </w:r>
      <w:r w:rsidR="0053771F">
        <w:rPr>
          <w:sz w:val="22"/>
          <w:szCs w:val="22"/>
          <w:lang w:val="mi-NZ"/>
        </w:rPr>
        <w:t>through our networks</w:t>
      </w:r>
      <w:r w:rsidR="0020588B">
        <w:rPr>
          <w:sz w:val="22"/>
          <w:szCs w:val="22"/>
          <w:lang w:val="mi-NZ"/>
        </w:rPr>
        <w:t>,</w:t>
      </w:r>
      <w:r w:rsidR="0053771F">
        <w:rPr>
          <w:sz w:val="22"/>
          <w:szCs w:val="22"/>
          <w:lang w:val="mi-NZ"/>
        </w:rPr>
        <w:t xml:space="preserve"> </w:t>
      </w:r>
      <w:r w:rsidR="0020588B">
        <w:rPr>
          <w:sz w:val="22"/>
          <w:szCs w:val="22"/>
          <w:lang w:val="mi-NZ"/>
        </w:rPr>
        <w:t>raised</w:t>
      </w:r>
      <w:r w:rsidR="0053771F">
        <w:rPr>
          <w:sz w:val="22"/>
          <w:szCs w:val="22"/>
          <w:lang w:val="mi-NZ"/>
        </w:rPr>
        <w:t xml:space="preserve"> awareness about the opportunity for children to partic</w:t>
      </w:r>
      <w:r w:rsidR="00F40A6D">
        <w:rPr>
          <w:sz w:val="22"/>
          <w:szCs w:val="22"/>
          <w:lang w:val="mi-NZ"/>
        </w:rPr>
        <w:t>i</w:t>
      </w:r>
      <w:r w:rsidR="0053771F">
        <w:rPr>
          <w:sz w:val="22"/>
          <w:szCs w:val="22"/>
          <w:lang w:val="mi-NZ"/>
        </w:rPr>
        <w:t>pate</w:t>
      </w:r>
      <w:r w:rsidR="0020588B">
        <w:rPr>
          <w:sz w:val="22"/>
          <w:szCs w:val="22"/>
          <w:lang w:val="mi-NZ"/>
        </w:rPr>
        <w:t xml:space="preserve"> and</w:t>
      </w:r>
      <w:r w:rsidR="0053771F">
        <w:rPr>
          <w:sz w:val="22"/>
          <w:szCs w:val="22"/>
          <w:lang w:val="mi-NZ"/>
        </w:rPr>
        <w:t xml:space="preserve"> encourag</w:t>
      </w:r>
      <w:r w:rsidR="00F40A6D">
        <w:rPr>
          <w:sz w:val="22"/>
          <w:szCs w:val="22"/>
          <w:lang w:val="mi-NZ"/>
        </w:rPr>
        <w:t>ed</w:t>
      </w:r>
      <w:r w:rsidR="0053771F">
        <w:rPr>
          <w:sz w:val="22"/>
          <w:szCs w:val="22"/>
          <w:lang w:val="mi-NZ"/>
        </w:rPr>
        <w:t xml:space="preserve"> organisations working directly with children to support children’s reporting.</w:t>
      </w:r>
    </w:p>
    <w:p w14:paraId="25A4E4F6" w14:textId="7B14FAA4" w:rsidR="0053771F" w:rsidRDefault="0053771F" w:rsidP="003B6211">
      <w:pPr>
        <w:rPr>
          <w:sz w:val="22"/>
          <w:szCs w:val="22"/>
          <w:lang w:val="mi-NZ"/>
        </w:rPr>
      </w:pPr>
      <w:r>
        <w:rPr>
          <w:sz w:val="22"/>
          <w:szCs w:val="22"/>
          <w:lang w:val="mi-NZ"/>
        </w:rPr>
        <w:t>We are considering how we might</w:t>
      </w:r>
      <w:r w:rsidR="003B6211" w:rsidRPr="003B6211">
        <w:rPr>
          <w:sz w:val="22"/>
          <w:szCs w:val="22"/>
          <w:lang w:val="mi-NZ"/>
        </w:rPr>
        <w:t xml:space="preserve"> provide more opportunities for children to participate in </w:t>
      </w:r>
      <w:r>
        <w:rPr>
          <w:sz w:val="22"/>
          <w:szCs w:val="22"/>
          <w:lang w:val="mi-NZ"/>
        </w:rPr>
        <w:t xml:space="preserve">the Alliance, and in </w:t>
      </w:r>
      <w:r w:rsidR="003B6211" w:rsidRPr="003B6211">
        <w:rPr>
          <w:sz w:val="22"/>
          <w:szCs w:val="22"/>
          <w:lang w:val="mi-NZ"/>
        </w:rPr>
        <w:t>the reporting process</w:t>
      </w:r>
      <w:r>
        <w:rPr>
          <w:sz w:val="22"/>
          <w:szCs w:val="22"/>
          <w:lang w:val="mi-NZ"/>
        </w:rPr>
        <w:t>,</w:t>
      </w:r>
      <w:r w:rsidR="003B6211" w:rsidRPr="003B6211">
        <w:rPr>
          <w:sz w:val="22"/>
          <w:szCs w:val="22"/>
          <w:lang w:val="mi-NZ"/>
        </w:rPr>
        <w:t xml:space="preserve"> in the future. </w:t>
      </w:r>
    </w:p>
    <w:p w14:paraId="40986A47" w14:textId="3C110574" w:rsidR="0053771F" w:rsidRDefault="00A46725" w:rsidP="003B6211">
      <w:pPr>
        <w:rPr>
          <w:sz w:val="22"/>
          <w:szCs w:val="22"/>
          <w:lang w:val="mi-NZ"/>
        </w:rPr>
      </w:pPr>
      <w:r>
        <w:rPr>
          <w:sz w:val="22"/>
          <w:szCs w:val="22"/>
          <w:lang w:val="mi-NZ"/>
        </w:rPr>
        <w:t>To help inform our reporting and monitoring</w:t>
      </w:r>
      <w:r w:rsidR="0020588B">
        <w:rPr>
          <w:sz w:val="22"/>
          <w:szCs w:val="22"/>
          <w:lang w:val="mi-NZ"/>
        </w:rPr>
        <w:t>,</w:t>
      </w:r>
      <w:r>
        <w:rPr>
          <w:sz w:val="22"/>
          <w:szCs w:val="22"/>
          <w:lang w:val="mi-NZ"/>
        </w:rPr>
        <w:t xml:space="preserve"> we have begun to develop a database of reports and other publications sharing children’s views on issues, whic</w:t>
      </w:r>
      <w:r w:rsidR="0020588B">
        <w:rPr>
          <w:sz w:val="22"/>
          <w:szCs w:val="22"/>
          <w:lang w:val="mi-NZ"/>
        </w:rPr>
        <w:t>h</w:t>
      </w:r>
      <w:r>
        <w:rPr>
          <w:sz w:val="22"/>
          <w:szCs w:val="22"/>
          <w:lang w:val="mi-NZ"/>
        </w:rPr>
        <w:t xml:space="preserve"> is available on our website </w:t>
      </w:r>
      <w:hyperlink r:id="rId13" w:history="1">
        <w:r w:rsidRPr="0020588B">
          <w:rPr>
            <w:rStyle w:val="Hyperlink"/>
            <w:sz w:val="22"/>
            <w:szCs w:val="22"/>
            <w:lang w:val="mi-NZ"/>
          </w:rPr>
          <w:t>here</w:t>
        </w:r>
      </w:hyperlink>
      <w:r>
        <w:rPr>
          <w:sz w:val="22"/>
          <w:szCs w:val="22"/>
          <w:lang w:val="mi-NZ"/>
        </w:rPr>
        <w:t xml:space="preserve">. </w:t>
      </w:r>
    </w:p>
    <w:p w14:paraId="70E868B6" w14:textId="41F073D4" w:rsidR="003B6211" w:rsidRPr="003B6211" w:rsidRDefault="003B6211" w:rsidP="003B6211">
      <w:pPr>
        <w:rPr>
          <w:sz w:val="22"/>
          <w:szCs w:val="22"/>
          <w:lang w:val="mi-NZ"/>
        </w:rPr>
      </w:pPr>
      <w:r w:rsidRPr="003B6211">
        <w:rPr>
          <w:sz w:val="22"/>
          <w:szCs w:val="22"/>
          <w:lang w:val="mi-NZ"/>
        </w:rPr>
        <w:t xml:space="preserve">Where we have been able to, we have endeavoured to report children’s views on issues covered in this report. </w:t>
      </w:r>
    </w:p>
    <w:p w14:paraId="2627B6AF" w14:textId="77777777" w:rsidR="003B6211" w:rsidRPr="003B6211" w:rsidRDefault="003B6211" w:rsidP="003B6211">
      <w:pPr>
        <w:rPr>
          <w:rFonts w:asciiTheme="majorHAnsi" w:eastAsiaTheme="majorEastAsia" w:hAnsiTheme="majorHAnsi" w:cstheme="majorBidi"/>
          <w:b/>
          <w:bCs/>
          <w:color w:val="25409A" w:themeColor="text2"/>
          <w:sz w:val="28"/>
          <w:szCs w:val="28"/>
        </w:rPr>
      </w:pPr>
    </w:p>
    <w:p w14:paraId="0639C942" w14:textId="19BEC501" w:rsidR="00B74340" w:rsidRDefault="00B74340" w:rsidP="00B74340">
      <w:pPr>
        <w:pStyle w:val="Heading1"/>
      </w:pPr>
      <w:r>
        <w:t xml:space="preserve"> </w:t>
      </w:r>
    </w:p>
    <w:p w14:paraId="510DB97A" w14:textId="77777777" w:rsidR="00B74340" w:rsidRDefault="00B74340">
      <w:pPr>
        <w:rPr>
          <w:rFonts w:asciiTheme="majorHAnsi" w:eastAsiaTheme="majorEastAsia" w:hAnsiTheme="majorHAnsi" w:cstheme="majorBidi"/>
          <w:b/>
          <w:bCs/>
          <w:color w:val="25409A" w:themeColor="text2"/>
          <w:sz w:val="28"/>
          <w:szCs w:val="28"/>
        </w:rPr>
      </w:pPr>
      <w:r>
        <w:br w:type="page"/>
      </w:r>
    </w:p>
    <w:p w14:paraId="1521A370" w14:textId="77777777" w:rsidR="003B6211" w:rsidRPr="003B6211" w:rsidRDefault="00B74340" w:rsidP="00A74FBE">
      <w:pPr>
        <w:pStyle w:val="Heading1"/>
      </w:pPr>
      <w:bookmarkStart w:id="80" w:name="_Toc111485502"/>
      <w:r w:rsidRPr="003B6211">
        <w:lastRenderedPageBreak/>
        <w:t>Appendix 2</w:t>
      </w:r>
      <w:r w:rsidR="003B6211" w:rsidRPr="003B6211">
        <w:t xml:space="preserve">: Oversight of </w:t>
      </w:r>
      <w:proofErr w:type="spellStart"/>
      <w:r w:rsidR="003B6211" w:rsidRPr="003B6211">
        <w:t>Oranga</w:t>
      </w:r>
      <w:proofErr w:type="spellEnd"/>
      <w:r w:rsidR="003B6211" w:rsidRPr="003B6211">
        <w:t xml:space="preserve"> Tamariki System</w:t>
      </w:r>
      <w:bookmarkEnd w:id="80"/>
      <w:r w:rsidR="003B6211" w:rsidRPr="003B6211">
        <w:t xml:space="preserve"> </w:t>
      </w:r>
    </w:p>
    <w:p w14:paraId="4687B077" w14:textId="77777777" w:rsidR="003B6211" w:rsidRPr="003B6211" w:rsidRDefault="003B6211" w:rsidP="00A74FBE">
      <w:pPr>
        <w:pStyle w:val="Heading1"/>
      </w:pPr>
      <w:bookmarkStart w:id="81" w:name="_Toc111485503"/>
      <w:r w:rsidRPr="003B6211">
        <w:t>and Children and Young People’s Commission Bill 2021</w:t>
      </w:r>
      <w:bookmarkEnd w:id="81"/>
    </w:p>
    <w:p w14:paraId="34C4CD4B" w14:textId="77777777" w:rsidR="00A74FBE" w:rsidRDefault="00A74FBE" w:rsidP="00090036">
      <w:pPr>
        <w:pStyle w:val="Heading2"/>
      </w:pPr>
    </w:p>
    <w:p w14:paraId="7AADA77A" w14:textId="3A60F5DC" w:rsidR="00286439" w:rsidRPr="00090036" w:rsidRDefault="00286439" w:rsidP="00090036">
      <w:pPr>
        <w:pStyle w:val="Heading2"/>
      </w:pPr>
      <w:bookmarkStart w:id="82" w:name="_Toc111407696"/>
      <w:bookmarkStart w:id="83" w:name="_Toc111485504"/>
      <w:r w:rsidRPr="00090036">
        <w:t>Introduction</w:t>
      </w:r>
      <w:bookmarkEnd w:id="82"/>
      <w:bookmarkEnd w:id="83"/>
      <w:r w:rsidRPr="00090036">
        <w:t xml:space="preserve"> </w:t>
      </w:r>
    </w:p>
    <w:p w14:paraId="72FEF338" w14:textId="77777777" w:rsidR="00286439" w:rsidRDefault="00286439" w:rsidP="00286439">
      <w:pPr>
        <w:rPr>
          <w:rFonts w:cstheme="minorHAnsi"/>
          <w:sz w:val="24"/>
          <w:szCs w:val="24"/>
          <w:lang w:val="mi-NZ"/>
        </w:rPr>
      </w:pPr>
    </w:p>
    <w:p w14:paraId="012270B8" w14:textId="77777777" w:rsidR="00066A06" w:rsidRDefault="00066A06" w:rsidP="00286439">
      <w:pPr>
        <w:pStyle w:val="NoSpacing"/>
        <w:rPr>
          <w:rFonts w:cstheme="minorHAnsi"/>
          <w:sz w:val="24"/>
          <w:szCs w:val="24"/>
        </w:rPr>
        <w:sectPr w:rsidR="00066A06" w:rsidSect="0045779C">
          <w:headerReference w:type="default" r:id="rId14"/>
          <w:footerReference w:type="even" r:id="rId15"/>
          <w:footerReference w:type="default" r:id="rId16"/>
          <w:headerReference w:type="first" r:id="rId17"/>
          <w:pgSz w:w="11906" w:h="16838"/>
          <w:pgMar w:top="1650" w:right="1021" w:bottom="2126" w:left="1440" w:header="709" w:footer="11" w:gutter="0"/>
          <w:cols w:space="708"/>
          <w:titlePg/>
          <w:docGrid w:linePitch="360"/>
        </w:sectPr>
      </w:pPr>
    </w:p>
    <w:p w14:paraId="39C5ADF2" w14:textId="77777777" w:rsidR="00286439" w:rsidRPr="00090036" w:rsidRDefault="00286439" w:rsidP="00286439">
      <w:pPr>
        <w:pStyle w:val="NoSpacing"/>
        <w:rPr>
          <w:rFonts w:cstheme="minorHAnsi"/>
          <w:sz w:val="22"/>
          <w:szCs w:val="22"/>
          <w:lang w:val="mi-NZ"/>
        </w:rPr>
      </w:pPr>
      <w:r w:rsidRPr="00090036">
        <w:rPr>
          <w:rFonts w:cstheme="minorHAnsi"/>
          <w:sz w:val="22"/>
          <w:szCs w:val="22"/>
        </w:rPr>
        <w:t xml:space="preserve">As advised in our LOIPR report, Government has reviewed the independent oversight of children’s issues and the </w:t>
      </w:r>
      <w:proofErr w:type="spellStart"/>
      <w:r w:rsidRPr="00090036">
        <w:rPr>
          <w:rFonts w:cstheme="minorHAnsi"/>
          <w:sz w:val="22"/>
          <w:szCs w:val="22"/>
        </w:rPr>
        <w:t>Oranga</w:t>
      </w:r>
      <w:proofErr w:type="spellEnd"/>
      <w:r w:rsidRPr="00090036">
        <w:rPr>
          <w:rFonts w:cstheme="minorHAnsi"/>
          <w:sz w:val="22"/>
          <w:szCs w:val="22"/>
        </w:rPr>
        <w:t xml:space="preserve"> Tamariki system.</w:t>
      </w:r>
      <w:r w:rsidRPr="00090036">
        <w:rPr>
          <w:rStyle w:val="FootnoteReference"/>
          <w:rFonts w:cstheme="minorHAnsi"/>
          <w:sz w:val="22"/>
          <w:szCs w:val="22"/>
        </w:rPr>
        <w:footnoteReference w:id="482"/>
      </w:r>
      <w:r w:rsidRPr="00090036">
        <w:rPr>
          <w:rFonts w:cstheme="minorHAnsi"/>
          <w:sz w:val="22"/>
          <w:szCs w:val="22"/>
        </w:rPr>
        <w:t xml:space="preserve"> </w:t>
      </w:r>
      <w:r w:rsidRPr="00090036">
        <w:rPr>
          <w:rStyle w:val="FootnoteReference"/>
          <w:rFonts w:cstheme="minorHAnsi"/>
          <w:sz w:val="22"/>
          <w:szCs w:val="22"/>
        </w:rPr>
        <w:footnoteReference w:id="483"/>
      </w:r>
      <w:r w:rsidRPr="00090036">
        <w:rPr>
          <w:rFonts w:cstheme="minorHAnsi"/>
          <w:sz w:val="22"/>
          <w:szCs w:val="22"/>
        </w:rPr>
        <w:t xml:space="preserve"> The resulting </w:t>
      </w:r>
      <w:r w:rsidRPr="00090036">
        <w:rPr>
          <w:rFonts w:cstheme="minorHAnsi"/>
          <w:sz w:val="22"/>
          <w:szCs w:val="22"/>
          <w:lang w:val="mi-NZ"/>
        </w:rPr>
        <w:t>Oversight of Oranga Tamariki System and Children and Young People’s Commission Bill (the Oversight Bill), introduced in Parliament in November 2021, is currently under consideration and likely to become law during August/September 2022.</w:t>
      </w:r>
      <w:r w:rsidRPr="00090036">
        <w:rPr>
          <w:rStyle w:val="FootnoteReference"/>
          <w:rFonts w:cstheme="minorHAnsi"/>
          <w:sz w:val="22"/>
          <w:szCs w:val="22"/>
          <w:lang w:val="mi-NZ"/>
        </w:rPr>
        <w:footnoteReference w:id="484"/>
      </w:r>
      <w:r w:rsidRPr="00090036">
        <w:rPr>
          <w:rFonts w:cstheme="minorHAnsi"/>
          <w:sz w:val="22"/>
          <w:szCs w:val="22"/>
          <w:lang w:val="mi-NZ"/>
        </w:rPr>
        <w:t xml:space="preserve"> </w:t>
      </w:r>
    </w:p>
    <w:p w14:paraId="6FAEE777" w14:textId="77777777" w:rsidR="00286439" w:rsidRPr="00090036" w:rsidRDefault="00286439" w:rsidP="00286439">
      <w:pPr>
        <w:pStyle w:val="NoSpacing"/>
        <w:rPr>
          <w:rFonts w:cstheme="minorHAnsi"/>
          <w:sz w:val="22"/>
          <w:szCs w:val="22"/>
          <w:lang w:val="mi-NZ"/>
        </w:rPr>
      </w:pPr>
    </w:p>
    <w:p w14:paraId="23F2B62B" w14:textId="2B78BD97" w:rsidR="00286439" w:rsidRPr="00090036" w:rsidRDefault="00286439" w:rsidP="00286439">
      <w:pPr>
        <w:pStyle w:val="NoSpacing"/>
        <w:rPr>
          <w:rFonts w:cstheme="minorHAnsi"/>
          <w:sz w:val="22"/>
          <w:szCs w:val="22"/>
        </w:rPr>
      </w:pPr>
      <w:r w:rsidRPr="00090036">
        <w:rPr>
          <w:rFonts w:cstheme="minorHAnsi"/>
          <w:sz w:val="22"/>
          <w:szCs w:val="22"/>
          <w:lang w:val="mi-NZ"/>
        </w:rPr>
        <w:t>This Appendix provides information about the proposed changes and their implications for the Children’s Commissioner, as well as the background to and context for the changes</w:t>
      </w:r>
      <w:r w:rsidR="006200F4">
        <w:rPr>
          <w:rFonts w:cstheme="minorHAnsi"/>
          <w:sz w:val="22"/>
          <w:szCs w:val="22"/>
          <w:lang w:val="mi-NZ"/>
        </w:rPr>
        <w:t>,</w:t>
      </w:r>
      <w:r w:rsidRPr="00090036">
        <w:rPr>
          <w:rFonts w:cstheme="minorHAnsi"/>
          <w:sz w:val="22"/>
          <w:szCs w:val="22"/>
          <w:lang w:val="mi-NZ"/>
        </w:rPr>
        <w:t xml:space="preserve"> including ongoing issues related to Aotearoa’s care and protection system. </w:t>
      </w:r>
    </w:p>
    <w:p w14:paraId="314365DD" w14:textId="77777777" w:rsidR="00286439" w:rsidRDefault="00286439" w:rsidP="00286439">
      <w:pPr>
        <w:rPr>
          <w:rFonts w:cstheme="minorHAnsi"/>
          <w:sz w:val="24"/>
          <w:szCs w:val="24"/>
          <w:lang w:val="mi-NZ"/>
        </w:rPr>
      </w:pPr>
    </w:p>
    <w:p w14:paraId="01A7ABC0" w14:textId="77777777" w:rsidR="00286439" w:rsidRPr="00090036" w:rsidRDefault="00286439" w:rsidP="00090036">
      <w:pPr>
        <w:pStyle w:val="Heading2"/>
      </w:pPr>
      <w:bookmarkStart w:id="84" w:name="_Toc111407697"/>
      <w:bookmarkStart w:id="85" w:name="_Toc111485505"/>
      <w:r w:rsidRPr="00090036">
        <w:t>The Oversight Bill 2021</w:t>
      </w:r>
      <w:bookmarkEnd w:id="84"/>
      <w:bookmarkEnd w:id="85"/>
    </w:p>
    <w:p w14:paraId="18749DC6" w14:textId="77777777" w:rsidR="00286439" w:rsidRPr="00090036" w:rsidRDefault="00286439" w:rsidP="00286439">
      <w:pPr>
        <w:rPr>
          <w:rFonts w:cstheme="minorHAnsi"/>
          <w:b/>
          <w:bCs/>
          <w:color w:val="00AE6D" w:themeColor="accent1"/>
          <w:sz w:val="22"/>
          <w:szCs w:val="22"/>
          <w:lang w:val="mi-NZ"/>
        </w:rPr>
      </w:pPr>
    </w:p>
    <w:p w14:paraId="33638BD3" w14:textId="11298CCD" w:rsidR="00286439" w:rsidRPr="00772A1E" w:rsidRDefault="00286439" w:rsidP="00772A1E">
      <w:pPr>
        <w:rPr>
          <w:rFonts w:cstheme="minorHAnsi"/>
          <w:sz w:val="22"/>
          <w:szCs w:val="22"/>
          <w:lang w:val="en-US"/>
        </w:rPr>
      </w:pPr>
      <w:r w:rsidRPr="00090036">
        <w:rPr>
          <w:rFonts w:cstheme="minorHAnsi"/>
          <w:sz w:val="22"/>
          <w:szCs w:val="22"/>
          <w:lang w:val="en-US"/>
        </w:rPr>
        <w:t xml:space="preserve">The Bill proposes significant changes to the structure and functions of the Children’s Commissioner and therefore has implications for all </w:t>
      </w:r>
      <w:r w:rsidRPr="00090036">
        <w:rPr>
          <w:rFonts w:cstheme="minorHAnsi"/>
          <w:color w:val="000000"/>
          <w:sz w:val="22"/>
          <w:szCs w:val="22"/>
        </w:rPr>
        <w:t>children</w:t>
      </w:r>
      <w:r w:rsidRPr="00090036">
        <w:rPr>
          <w:rFonts w:cstheme="minorHAnsi"/>
          <w:sz w:val="22"/>
          <w:szCs w:val="22"/>
          <w:lang w:val="en-US"/>
        </w:rPr>
        <w:t xml:space="preserve"> in Aotearoa, particularly, but not only, those in the </w:t>
      </w:r>
      <w:proofErr w:type="spellStart"/>
      <w:r w:rsidRPr="00090036">
        <w:rPr>
          <w:rFonts w:cstheme="minorHAnsi"/>
          <w:sz w:val="22"/>
          <w:szCs w:val="22"/>
          <w:lang w:val="en-US"/>
        </w:rPr>
        <w:t>Oranga</w:t>
      </w:r>
      <w:proofErr w:type="spellEnd"/>
      <w:r w:rsidRPr="00090036">
        <w:rPr>
          <w:rFonts w:cstheme="minorHAnsi"/>
          <w:sz w:val="22"/>
          <w:szCs w:val="22"/>
          <w:lang w:val="en-US"/>
        </w:rPr>
        <w:t xml:space="preserve"> Tamariki system. The Bill:</w:t>
      </w:r>
    </w:p>
    <w:p w14:paraId="1EBC1B82" w14:textId="276EA8D6" w:rsidR="00286439" w:rsidRPr="00772A1E" w:rsidRDefault="00286439" w:rsidP="00916EA3">
      <w:pPr>
        <w:numPr>
          <w:ilvl w:val="0"/>
          <w:numId w:val="40"/>
        </w:numPr>
        <w:spacing w:after="0" w:line="240" w:lineRule="auto"/>
        <w:ind w:left="567" w:hanging="567"/>
        <w:rPr>
          <w:rFonts w:cstheme="minorHAnsi"/>
          <w:sz w:val="22"/>
          <w:szCs w:val="22"/>
          <w:lang w:val="en-US"/>
        </w:rPr>
      </w:pPr>
      <w:r w:rsidRPr="00772A1E">
        <w:rPr>
          <w:rFonts w:cstheme="minorHAnsi"/>
          <w:sz w:val="22"/>
          <w:szCs w:val="22"/>
          <w:lang w:val="en-US"/>
        </w:rPr>
        <w:t>Establishes a Children and Young People’s Commission, replacing the Children’s Commissioner sole model with a board of between 3 and 6 members. The chair of the board will be the Chief Children’s Commissioner. The Commission’s mandate under the Bill is systemic advocacy for all children aged under 18, and young people aged between 18 and 25 who have been in care or custody.</w:t>
      </w:r>
    </w:p>
    <w:p w14:paraId="31781DD9" w14:textId="77777777" w:rsidR="00286439" w:rsidRPr="00772A1E" w:rsidRDefault="00286439" w:rsidP="00916EA3">
      <w:pPr>
        <w:numPr>
          <w:ilvl w:val="0"/>
          <w:numId w:val="40"/>
        </w:numPr>
        <w:spacing w:after="0" w:line="240" w:lineRule="auto"/>
        <w:ind w:left="567" w:hanging="567"/>
        <w:rPr>
          <w:rFonts w:cstheme="minorHAnsi"/>
          <w:sz w:val="22"/>
          <w:szCs w:val="22"/>
          <w:lang w:val="en-US"/>
        </w:rPr>
      </w:pPr>
      <w:r w:rsidRPr="00772A1E">
        <w:rPr>
          <w:rFonts w:cstheme="minorHAnsi"/>
          <w:sz w:val="22"/>
          <w:szCs w:val="22"/>
          <w:lang w:val="en-US"/>
        </w:rPr>
        <w:t xml:space="preserve">Establishes and defines the functions, duties and powers of a new body called the Independent Monitor of the </w:t>
      </w:r>
      <w:proofErr w:type="spellStart"/>
      <w:r w:rsidRPr="00772A1E">
        <w:rPr>
          <w:rFonts w:cstheme="minorHAnsi"/>
          <w:sz w:val="22"/>
          <w:szCs w:val="22"/>
          <w:lang w:val="en-US"/>
        </w:rPr>
        <w:t>Oranga</w:t>
      </w:r>
      <w:proofErr w:type="spellEnd"/>
      <w:r w:rsidRPr="00772A1E">
        <w:rPr>
          <w:rFonts w:cstheme="minorHAnsi"/>
          <w:sz w:val="22"/>
          <w:szCs w:val="22"/>
          <w:lang w:val="en-US"/>
        </w:rPr>
        <w:t xml:space="preserve"> Tamariki System. Currently, these functions, duties and powers are primarily vested in the Children’s Commissioner. The decision has already been taken by Government to house the Monitor with the Education Review Office (ERO), not the Children’s Commissioner’s Office as originally planned and where it would be more appropriately situated.</w:t>
      </w:r>
    </w:p>
    <w:p w14:paraId="681DDC94" w14:textId="77777777" w:rsidR="00286439" w:rsidRPr="00772A1E" w:rsidRDefault="00286439" w:rsidP="00286439">
      <w:pPr>
        <w:ind w:left="567" w:hanging="567"/>
        <w:rPr>
          <w:rFonts w:cstheme="minorHAnsi"/>
          <w:sz w:val="22"/>
          <w:szCs w:val="22"/>
          <w:lang w:val="en-US"/>
        </w:rPr>
      </w:pPr>
    </w:p>
    <w:p w14:paraId="1DF8371B" w14:textId="682385DF" w:rsidR="00286439" w:rsidRPr="00772A1E" w:rsidRDefault="00286439" w:rsidP="00916EA3">
      <w:pPr>
        <w:numPr>
          <w:ilvl w:val="0"/>
          <w:numId w:val="40"/>
        </w:numPr>
        <w:spacing w:after="0" w:line="240" w:lineRule="auto"/>
        <w:ind w:left="567" w:hanging="567"/>
        <w:rPr>
          <w:rFonts w:cstheme="minorHAnsi"/>
          <w:sz w:val="22"/>
          <w:szCs w:val="22"/>
          <w:lang w:val="en-US"/>
        </w:rPr>
      </w:pPr>
      <w:r w:rsidRPr="00772A1E">
        <w:rPr>
          <w:rFonts w:cstheme="minorHAnsi"/>
          <w:sz w:val="22"/>
          <w:szCs w:val="22"/>
          <w:lang w:val="en-US"/>
        </w:rPr>
        <w:t xml:space="preserve">Sets out the Ombudsman’s complaints function in relation to </w:t>
      </w:r>
      <w:proofErr w:type="spellStart"/>
      <w:r w:rsidRPr="00772A1E">
        <w:rPr>
          <w:rFonts w:cstheme="minorHAnsi"/>
          <w:sz w:val="22"/>
          <w:szCs w:val="22"/>
          <w:lang w:val="en-US"/>
        </w:rPr>
        <w:t>Oranga</w:t>
      </w:r>
      <w:proofErr w:type="spellEnd"/>
      <w:r w:rsidRPr="00772A1E">
        <w:rPr>
          <w:rFonts w:cstheme="minorHAnsi"/>
          <w:sz w:val="22"/>
          <w:szCs w:val="22"/>
          <w:lang w:val="en-US"/>
        </w:rPr>
        <w:t xml:space="preserve"> Tamariki, </w:t>
      </w:r>
      <w:r w:rsidRPr="00772A1E">
        <w:rPr>
          <w:rFonts w:cstheme="minorHAnsi"/>
          <w:sz w:val="22"/>
          <w:szCs w:val="22"/>
        </w:rPr>
        <w:t>Ministry for Children</w:t>
      </w:r>
      <w:r w:rsidRPr="00772A1E">
        <w:rPr>
          <w:rFonts w:cstheme="minorHAnsi"/>
          <w:sz w:val="22"/>
          <w:szCs w:val="22"/>
          <w:lang w:val="en-US"/>
        </w:rPr>
        <w:t xml:space="preserve"> (OT). The Ombudsman already has an oversight function in relation to OT, so the changes proposed in the Bill raise issues about the extent of the Ombudsman’s powers to investigate non-government </w:t>
      </w:r>
      <w:proofErr w:type="spellStart"/>
      <w:r w:rsidRPr="00772A1E">
        <w:rPr>
          <w:rFonts w:cstheme="minorHAnsi"/>
          <w:sz w:val="22"/>
          <w:szCs w:val="22"/>
          <w:lang w:val="en-US"/>
        </w:rPr>
        <w:t>organisations</w:t>
      </w:r>
      <w:proofErr w:type="spellEnd"/>
      <w:r w:rsidRPr="00772A1E">
        <w:rPr>
          <w:rFonts w:cstheme="minorHAnsi"/>
          <w:sz w:val="22"/>
          <w:szCs w:val="22"/>
          <w:lang w:val="en-US"/>
        </w:rPr>
        <w:t xml:space="preserve"> considered to be within the “</w:t>
      </w:r>
      <w:proofErr w:type="spellStart"/>
      <w:r w:rsidRPr="00772A1E">
        <w:rPr>
          <w:rFonts w:cstheme="minorHAnsi"/>
          <w:sz w:val="22"/>
          <w:szCs w:val="22"/>
          <w:lang w:val="en-US"/>
        </w:rPr>
        <w:t>Oranga</w:t>
      </w:r>
      <w:proofErr w:type="spellEnd"/>
      <w:r w:rsidRPr="00772A1E">
        <w:rPr>
          <w:rFonts w:cstheme="minorHAnsi"/>
          <w:sz w:val="22"/>
          <w:szCs w:val="22"/>
          <w:lang w:val="en-US"/>
        </w:rPr>
        <w:t xml:space="preserve"> Tamariki system.”</w:t>
      </w:r>
      <w:r w:rsidRPr="00772A1E">
        <w:rPr>
          <w:rStyle w:val="FootnoteReference"/>
          <w:rFonts w:cstheme="minorHAnsi"/>
          <w:sz w:val="22"/>
          <w:szCs w:val="22"/>
          <w:lang w:val="en-US"/>
        </w:rPr>
        <w:footnoteReference w:id="485"/>
      </w:r>
    </w:p>
    <w:p w14:paraId="5666C3F3" w14:textId="77777777" w:rsidR="00286439" w:rsidRPr="00772A1E" w:rsidRDefault="00286439" w:rsidP="00916EA3">
      <w:pPr>
        <w:numPr>
          <w:ilvl w:val="0"/>
          <w:numId w:val="40"/>
        </w:numPr>
        <w:spacing w:after="0" w:line="240" w:lineRule="auto"/>
        <w:ind w:left="567" w:hanging="567"/>
        <w:rPr>
          <w:rFonts w:cstheme="minorHAnsi"/>
          <w:sz w:val="22"/>
          <w:szCs w:val="22"/>
          <w:lang w:val="en-US"/>
        </w:rPr>
      </w:pPr>
      <w:r w:rsidRPr="00772A1E">
        <w:rPr>
          <w:rFonts w:cstheme="minorHAnsi"/>
          <w:sz w:val="22"/>
          <w:szCs w:val="22"/>
          <w:lang w:val="en-US"/>
        </w:rPr>
        <w:t>Constructs a framework for the Monitor, Ombudsman and Commission to work together.</w:t>
      </w:r>
    </w:p>
    <w:p w14:paraId="3F782382" w14:textId="77777777" w:rsidR="00286439" w:rsidRDefault="00286439" w:rsidP="00286439">
      <w:pPr>
        <w:rPr>
          <w:rFonts w:cstheme="minorHAnsi"/>
          <w:lang w:val="en-US"/>
        </w:rPr>
      </w:pPr>
    </w:p>
    <w:p w14:paraId="7EF71115" w14:textId="77777777" w:rsidR="00286439" w:rsidRPr="00090036" w:rsidRDefault="00286439" w:rsidP="00286439">
      <w:pPr>
        <w:rPr>
          <w:rFonts w:cstheme="minorHAnsi"/>
          <w:sz w:val="22"/>
          <w:szCs w:val="22"/>
          <w:lang w:val="en-US"/>
        </w:rPr>
      </w:pPr>
      <w:r w:rsidRPr="00090036">
        <w:rPr>
          <w:rFonts w:cstheme="minorHAnsi"/>
          <w:sz w:val="22"/>
          <w:szCs w:val="22"/>
          <w:lang w:val="en-US"/>
        </w:rPr>
        <w:t xml:space="preserve">The Bill, and the process leading to, and since, its development, has highlighted significant shortcomings in the way children, and the issues that affect them, have been considered by successive governments, giving rise to questions about how children’s rights might be better considered in the future. </w:t>
      </w:r>
    </w:p>
    <w:p w14:paraId="6757512E" w14:textId="77777777" w:rsidR="00286439" w:rsidRDefault="00286439" w:rsidP="00286439">
      <w:pPr>
        <w:rPr>
          <w:rFonts w:cstheme="minorHAnsi"/>
          <w:lang w:val="en-US"/>
        </w:rPr>
      </w:pPr>
    </w:p>
    <w:p w14:paraId="1BD249F9" w14:textId="77777777" w:rsidR="00286439" w:rsidRPr="00090036" w:rsidRDefault="00286439" w:rsidP="00090036">
      <w:pPr>
        <w:pStyle w:val="Heading2"/>
      </w:pPr>
      <w:bookmarkStart w:id="86" w:name="_Toc111407698"/>
      <w:bookmarkStart w:id="87" w:name="_Toc111485506"/>
      <w:r w:rsidRPr="00090036">
        <w:t>Background to the Bill</w:t>
      </w:r>
      <w:bookmarkEnd w:id="86"/>
      <w:bookmarkEnd w:id="87"/>
      <w:r w:rsidRPr="00090036">
        <w:t xml:space="preserve"> </w:t>
      </w:r>
    </w:p>
    <w:p w14:paraId="6D6C9D63" w14:textId="77777777" w:rsidR="00286439" w:rsidRDefault="00286439" w:rsidP="00286439">
      <w:pPr>
        <w:pStyle w:val="NoSpacing"/>
        <w:rPr>
          <w:rFonts w:cstheme="minorHAnsi"/>
          <w:sz w:val="24"/>
          <w:szCs w:val="24"/>
        </w:rPr>
      </w:pPr>
    </w:p>
    <w:p w14:paraId="7ADEC730" w14:textId="77777777" w:rsidR="00286439" w:rsidRPr="00090036" w:rsidRDefault="00286439" w:rsidP="00286439">
      <w:pPr>
        <w:pStyle w:val="NoSpacing"/>
        <w:rPr>
          <w:rFonts w:cstheme="minorHAnsi"/>
          <w:sz w:val="22"/>
          <w:szCs w:val="22"/>
        </w:rPr>
      </w:pPr>
      <w:r w:rsidRPr="00090036">
        <w:rPr>
          <w:rFonts w:cstheme="minorHAnsi"/>
          <w:sz w:val="22"/>
          <w:szCs w:val="22"/>
        </w:rPr>
        <w:t>Earlier changes to the OT system included the establishment of National Care Standards which involved a legislative imperative to establish a body to monitor these standards by 1 July 2019, prompting the review.</w:t>
      </w:r>
      <w:r w:rsidRPr="00090036">
        <w:rPr>
          <w:rStyle w:val="FootnoteReference"/>
          <w:rFonts w:cstheme="minorHAnsi"/>
          <w:sz w:val="22"/>
          <w:szCs w:val="22"/>
        </w:rPr>
        <w:footnoteReference w:id="486"/>
      </w:r>
      <w:r w:rsidRPr="00090036">
        <w:rPr>
          <w:rFonts w:cstheme="minorHAnsi"/>
          <w:sz w:val="22"/>
          <w:szCs w:val="22"/>
        </w:rPr>
        <w:t xml:space="preserve"> The impetus for the review was not to strengthen the Children’s Commissioner, but rather the need for Government to meet accountability requirements in relation to the safety and quality of the State care system. </w:t>
      </w:r>
    </w:p>
    <w:p w14:paraId="4F8C6FC0" w14:textId="77777777" w:rsidR="00286439" w:rsidRPr="00090036" w:rsidRDefault="00286439" w:rsidP="00286439">
      <w:pPr>
        <w:pStyle w:val="NoSpacing"/>
        <w:rPr>
          <w:rFonts w:cstheme="minorHAnsi"/>
          <w:sz w:val="22"/>
          <w:szCs w:val="22"/>
        </w:rPr>
      </w:pPr>
    </w:p>
    <w:p w14:paraId="59A80791" w14:textId="77777777" w:rsidR="00286439" w:rsidRPr="00090036" w:rsidRDefault="00286439" w:rsidP="00286439">
      <w:pPr>
        <w:pStyle w:val="NoSpacing"/>
        <w:rPr>
          <w:rFonts w:cstheme="minorHAnsi"/>
          <w:sz w:val="22"/>
          <w:szCs w:val="22"/>
        </w:rPr>
      </w:pPr>
      <w:r w:rsidRPr="00090036">
        <w:rPr>
          <w:rFonts w:cstheme="minorHAnsi"/>
          <w:sz w:val="22"/>
          <w:szCs w:val="22"/>
        </w:rPr>
        <w:t xml:space="preserve">As a result of the review into the ‘Oversight of the </w:t>
      </w:r>
      <w:proofErr w:type="spellStart"/>
      <w:r w:rsidRPr="00090036">
        <w:rPr>
          <w:rFonts w:cstheme="minorHAnsi"/>
          <w:sz w:val="22"/>
          <w:szCs w:val="22"/>
        </w:rPr>
        <w:t>Oranga</w:t>
      </w:r>
      <w:proofErr w:type="spellEnd"/>
      <w:r w:rsidRPr="00090036">
        <w:rPr>
          <w:rFonts w:cstheme="minorHAnsi"/>
          <w:sz w:val="22"/>
          <w:szCs w:val="22"/>
        </w:rPr>
        <w:t xml:space="preserve"> Tamariki System’, Government initially announced that: </w:t>
      </w:r>
    </w:p>
    <w:p w14:paraId="1E373852" w14:textId="77777777" w:rsidR="00286439" w:rsidRPr="00090036" w:rsidRDefault="00286439" w:rsidP="00286439">
      <w:pPr>
        <w:pStyle w:val="NoSpacing"/>
        <w:rPr>
          <w:rFonts w:cstheme="minorHAnsi"/>
          <w:sz w:val="22"/>
          <w:szCs w:val="22"/>
        </w:rPr>
      </w:pPr>
    </w:p>
    <w:p w14:paraId="477851D1" w14:textId="77777777" w:rsidR="00286439" w:rsidRPr="00090036" w:rsidRDefault="00286439" w:rsidP="00916EA3">
      <w:pPr>
        <w:pStyle w:val="NoSpacing"/>
        <w:numPr>
          <w:ilvl w:val="0"/>
          <w:numId w:val="41"/>
        </w:numPr>
        <w:rPr>
          <w:rFonts w:cstheme="minorHAnsi"/>
          <w:sz w:val="22"/>
          <w:szCs w:val="22"/>
        </w:rPr>
      </w:pPr>
      <w:r w:rsidRPr="00090036">
        <w:rPr>
          <w:rFonts w:cstheme="minorHAnsi"/>
          <w:sz w:val="22"/>
          <w:szCs w:val="22"/>
        </w:rPr>
        <w:t>Resourcing of the Office of the Children’s Commissioner (OCC) will be strengthened to carry out advocacy for New Zealand children and young people.</w:t>
      </w:r>
    </w:p>
    <w:p w14:paraId="6DE7A952" w14:textId="77777777" w:rsidR="00286439" w:rsidRPr="00090036" w:rsidRDefault="00286439" w:rsidP="00916EA3">
      <w:pPr>
        <w:pStyle w:val="NoSpacing"/>
        <w:numPr>
          <w:ilvl w:val="0"/>
          <w:numId w:val="41"/>
        </w:numPr>
        <w:rPr>
          <w:rFonts w:cstheme="minorHAnsi"/>
          <w:sz w:val="22"/>
          <w:szCs w:val="22"/>
        </w:rPr>
      </w:pPr>
      <w:r w:rsidRPr="00090036">
        <w:rPr>
          <w:rFonts w:cstheme="minorHAnsi"/>
          <w:sz w:val="22"/>
          <w:szCs w:val="22"/>
        </w:rPr>
        <w:t>The Ministry of Social Development (MSD) is establishing a stronger independent monitoring function for the OT system, to be transferred to OCC once established.</w:t>
      </w:r>
    </w:p>
    <w:p w14:paraId="6B57AC4B" w14:textId="77777777" w:rsidR="00286439" w:rsidRPr="00090036" w:rsidRDefault="00286439" w:rsidP="00286439">
      <w:pPr>
        <w:pStyle w:val="NormalWeb"/>
        <w:rPr>
          <w:rFonts w:asciiTheme="minorHAnsi" w:hAnsiTheme="minorHAnsi" w:cstheme="minorHAnsi"/>
          <w:sz w:val="22"/>
          <w:szCs w:val="22"/>
        </w:rPr>
      </w:pPr>
      <w:r w:rsidRPr="00090036">
        <w:rPr>
          <w:rFonts w:asciiTheme="minorHAnsi" w:hAnsiTheme="minorHAnsi" w:cstheme="minorHAnsi"/>
          <w:sz w:val="22"/>
          <w:szCs w:val="22"/>
        </w:rPr>
        <w:t xml:space="preserve">Government has now established an Independent Children’s Monitor (ICM) to oversee the OT system and enhanced the oversight and investigation of the OT system by the Ombudsman. The ICM has a budget of approximately $40 million over its first four years, compared to the current budget of approximately $12 million for OCC over four years. </w:t>
      </w:r>
    </w:p>
    <w:p w14:paraId="1D799CAE" w14:textId="77777777" w:rsidR="00286439" w:rsidRPr="00090036" w:rsidRDefault="00286439" w:rsidP="00286439">
      <w:pPr>
        <w:pStyle w:val="NormalWeb"/>
        <w:rPr>
          <w:rFonts w:asciiTheme="minorHAnsi" w:hAnsiTheme="minorHAnsi" w:cstheme="minorHAnsi"/>
          <w:sz w:val="22"/>
          <w:szCs w:val="22"/>
        </w:rPr>
      </w:pPr>
      <w:r w:rsidRPr="00090036">
        <w:rPr>
          <w:rFonts w:asciiTheme="minorHAnsi" w:hAnsiTheme="minorHAnsi" w:cstheme="minorHAnsi"/>
          <w:sz w:val="22"/>
          <w:szCs w:val="22"/>
        </w:rPr>
        <w:lastRenderedPageBreak/>
        <w:t>Since our LOIPR report, Government decided:</w:t>
      </w:r>
    </w:p>
    <w:p w14:paraId="5D7C742F" w14:textId="77777777" w:rsidR="00286439" w:rsidRPr="00090036" w:rsidRDefault="00286439" w:rsidP="00916EA3">
      <w:pPr>
        <w:pStyle w:val="NormalWeb"/>
        <w:numPr>
          <w:ilvl w:val="0"/>
          <w:numId w:val="42"/>
        </w:numPr>
        <w:rPr>
          <w:rFonts w:asciiTheme="minorHAnsi" w:hAnsiTheme="minorHAnsi" w:cstheme="minorHAnsi"/>
          <w:sz w:val="22"/>
          <w:szCs w:val="22"/>
        </w:rPr>
      </w:pPr>
      <w:r w:rsidRPr="00090036">
        <w:rPr>
          <w:rFonts w:asciiTheme="minorHAnsi" w:hAnsiTheme="minorHAnsi" w:cstheme="minorHAnsi"/>
          <w:sz w:val="22"/>
          <w:szCs w:val="22"/>
        </w:rPr>
        <w:t xml:space="preserve">To shift from having a Children’s Commissioner sole to a 3-6 person Children and Young People’s Commission, covering all those aged under 18 and care experienced young people up to the age of 25. </w:t>
      </w:r>
    </w:p>
    <w:p w14:paraId="0A821907" w14:textId="77777777" w:rsidR="00286439" w:rsidRPr="00090036" w:rsidRDefault="00286439" w:rsidP="00916EA3">
      <w:pPr>
        <w:pStyle w:val="NormalWeb"/>
        <w:numPr>
          <w:ilvl w:val="0"/>
          <w:numId w:val="42"/>
        </w:numPr>
        <w:rPr>
          <w:rFonts w:asciiTheme="minorHAnsi" w:hAnsiTheme="minorHAnsi" w:cstheme="minorHAnsi"/>
          <w:sz w:val="22"/>
          <w:szCs w:val="22"/>
        </w:rPr>
      </w:pPr>
      <w:r w:rsidRPr="00090036">
        <w:rPr>
          <w:rFonts w:asciiTheme="minorHAnsi" w:hAnsiTheme="minorHAnsi" w:cstheme="minorHAnsi"/>
          <w:sz w:val="22"/>
          <w:szCs w:val="22"/>
        </w:rPr>
        <w:t xml:space="preserve">The Commission’s functions will relate to system advocacy, monitoring the progressive implementation of the CRC, and gathering and sharing the voices of children and young people. </w:t>
      </w:r>
    </w:p>
    <w:p w14:paraId="3C06CEE0" w14:textId="77777777" w:rsidR="00286439" w:rsidRPr="00090036" w:rsidRDefault="00286439" w:rsidP="00916EA3">
      <w:pPr>
        <w:pStyle w:val="NormalWeb"/>
        <w:numPr>
          <w:ilvl w:val="0"/>
          <w:numId w:val="42"/>
        </w:numPr>
        <w:rPr>
          <w:rFonts w:asciiTheme="minorHAnsi" w:hAnsiTheme="minorHAnsi" w:cstheme="minorHAnsi"/>
          <w:sz w:val="22"/>
          <w:szCs w:val="22"/>
        </w:rPr>
      </w:pPr>
      <w:r w:rsidRPr="00090036">
        <w:rPr>
          <w:rFonts w:asciiTheme="minorHAnsi" w:hAnsiTheme="minorHAnsi" w:cstheme="minorHAnsi"/>
          <w:sz w:val="22"/>
          <w:szCs w:val="22"/>
        </w:rPr>
        <w:t xml:space="preserve">The Commission will retain a function around the facilitation of resolution of individual children’s </w:t>
      </w:r>
      <w:proofErr w:type="gramStart"/>
      <w:r w:rsidRPr="00090036">
        <w:rPr>
          <w:rFonts w:asciiTheme="minorHAnsi" w:hAnsiTheme="minorHAnsi" w:cstheme="minorHAnsi"/>
          <w:sz w:val="22"/>
          <w:szCs w:val="22"/>
        </w:rPr>
        <w:t>issues, but</w:t>
      </w:r>
      <w:proofErr w:type="gramEnd"/>
      <w:r w:rsidRPr="00090036">
        <w:rPr>
          <w:rFonts w:asciiTheme="minorHAnsi" w:hAnsiTheme="minorHAnsi" w:cstheme="minorHAnsi"/>
          <w:sz w:val="22"/>
          <w:szCs w:val="22"/>
        </w:rPr>
        <w:t xml:space="preserve"> will no longer have powers to receive or investigate complaints.</w:t>
      </w:r>
    </w:p>
    <w:p w14:paraId="6C3B3D17" w14:textId="77777777" w:rsidR="00286439" w:rsidRPr="00090036" w:rsidRDefault="00286439" w:rsidP="00916EA3">
      <w:pPr>
        <w:pStyle w:val="NormalWeb"/>
        <w:numPr>
          <w:ilvl w:val="0"/>
          <w:numId w:val="42"/>
        </w:numPr>
        <w:rPr>
          <w:rFonts w:asciiTheme="minorHAnsi" w:hAnsiTheme="minorHAnsi" w:cstheme="minorHAnsi"/>
          <w:sz w:val="22"/>
          <w:szCs w:val="22"/>
        </w:rPr>
      </w:pPr>
      <w:r w:rsidRPr="00090036">
        <w:rPr>
          <w:rFonts w:asciiTheme="minorHAnsi" w:hAnsiTheme="minorHAnsi" w:cstheme="minorHAnsi"/>
          <w:sz w:val="22"/>
          <w:szCs w:val="22"/>
        </w:rPr>
        <w:t>The ICM is a departmental agency and has been placed in the ERO,</w:t>
      </w:r>
      <w:r w:rsidRPr="00090036">
        <w:rPr>
          <w:rStyle w:val="FootnoteReference"/>
          <w:rFonts w:asciiTheme="minorHAnsi" w:eastAsiaTheme="majorEastAsia" w:hAnsiTheme="minorHAnsi" w:cstheme="minorHAnsi"/>
          <w:sz w:val="22"/>
          <w:szCs w:val="22"/>
        </w:rPr>
        <w:footnoteReference w:id="487"/>
      </w:r>
      <w:r w:rsidRPr="00090036">
        <w:rPr>
          <w:rFonts w:asciiTheme="minorHAnsi" w:hAnsiTheme="minorHAnsi" w:cstheme="minorHAnsi"/>
          <w:sz w:val="22"/>
          <w:szCs w:val="22"/>
        </w:rPr>
        <w:t xml:space="preserve"> rather than the OCC (an Independent Crown Entity) as originally intended.</w:t>
      </w:r>
      <w:r w:rsidRPr="00090036">
        <w:rPr>
          <w:rStyle w:val="FootnoteReference"/>
          <w:rFonts w:asciiTheme="minorHAnsi" w:eastAsiaTheme="majorEastAsia" w:hAnsiTheme="minorHAnsi" w:cstheme="minorHAnsi"/>
          <w:sz w:val="22"/>
          <w:szCs w:val="22"/>
        </w:rPr>
        <w:footnoteReference w:id="488"/>
      </w:r>
    </w:p>
    <w:p w14:paraId="37A393C4" w14:textId="77777777" w:rsidR="00286439" w:rsidRPr="00090036" w:rsidRDefault="00286439" w:rsidP="00286439">
      <w:pPr>
        <w:pStyle w:val="NormalWeb"/>
        <w:rPr>
          <w:rFonts w:asciiTheme="minorHAnsi" w:hAnsiTheme="minorHAnsi" w:cstheme="minorHAnsi"/>
          <w:sz w:val="22"/>
          <w:szCs w:val="22"/>
        </w:rPr>
      </w:pPr>
      <w:r w:rsidRPr="00090036">
        <w:rPr>
          <w:rFonts w:asciiTheme="minorHAnsi" w:hAnsiTheme="minorHAnsi" w:cstheme="minorHAnsi"/>
          <w:sz w:val="22"/>
          <w:szCs w:val="22"/>
        </w:rPr>
        <w:t xml:space="preserve">The design and drafting of the Bill </w:t>
      </w:r>
      <w:proofErr w:type="gramStart"/>
      <w:r w:rsidRPr="00090036">
        <w:rPr>
          <w:rFonts w:asciiTheme="minorHAnsi" w:hAnsiTheme="minorHAnsi" w:cstheme="minorHAnsi"/>
          <w:sz w:val="22"/>
          <w:szCs w:val="22"/>
        </w:rPr>
        <w:t>has</w:t>
      </w:r>
      <w:proofErr w:type="gramEnd"/>
      <w:r w:rsidRPr="00090036">
        <w:rPr>
          <w:rFonts w:asciiTheme="minorHAnsi" w:hAnsiTheme="minorHAnsi" w:cstheme="minorHAnsi"/>
          <w:sz w:val="22"/>
          <w:szCs w:val="22"/>
        </w:rPr>
        <w:t xml:space="preserve"> not been informed by any comprehensive consultation with children, despite the Bill affecting all children due to the changes proposed to the Children’s Commissioner. Children have not had opportunities to influence the structure and functions of their Commission, what they want to see from their </w:t>
      </w:r>
      <w:proofErr w:type="gramStart"/>
      <w:r w:rsidRPr="00090036">
        <w:rPr>
          <w:rFonts w:asciiTheme="minorHAnsi" w:hAnsiTheme="minorHAnsi" w:cstheme="minorHAnsi"/>
          <w:sz w:val="22"/>
          <w:szCs w:val="22"/>
        </w:rPr>
        <w:t>Commissioner</w:t>
      </w:r>
      <w:proofErr w:type="gramEnd"/>
      <w:r w:rsidRPr="00090036">
        <w:rPr>
          <w:rFonts w:asciiTheme="minorHAnsi" w:hAnsiTheme="minorHAnsi" w:cstheme="minorHAnsi"/>
          <w:sz w:val="22"/>
          <w:szCs w:val="22"/>
        </w:rPr>
        <w:t xml:space="preserve">(s), or for care experienced children and young people to inform the changes to care system oversight outlined in the Bill. Overall, there have been extremely limited opportunities for children to have a say on the Bill. Where children and young people have shared their views, it appears that these have not been reflected in the Bill as it has progressed through the legislative </w:t>
      </w:r>
      <w:proofErr w:type="gramStart"/>
      <w:r w:rsidRPr="00090036">
        <w:rPr>
          <w:rFonts w:asciiTheme="minorHAnsi" w:hAnsiTheme="minorHAnsi" w:cstheme="minorHAnsi"/>
          <w:sz w:val="22"/>
          <w:szCs w:val="22"/>
        </w:rPr>
        <w:t>process</w:t>
      </w:r>
      <w:proofErr w:type="gramEnd"/>
      <w:r w:rsidRPr="00090036">
        <w:rPr>
          <w:rFonts w:asciiTheme="minorHAnsi" w:hAnsiTheme="minorHAnsi" w:cstheme="minorHAnsi"/>
          <w:sz w:val="22"/>
          <w:szCs w:val="22"/>
        </w:rPr>
        <w:t xml:space="preserve"> and they have reported a feeling of not being heard and having their views acted on by Government. </w:t>
      </w:r>
    </w:p>
    <w:p w14:paraId="19689C26" w14:textId="77777777" w:rsidR="00286439" w:rsidRPr="00090036" w:rsidRDefault="00286439" w:rsidP="00286439">
      <w:pPr>
        <w:pStyle w:val="NormalWeb"/>
        <w:rPr>
          <w:rFonts w:asciiTheme="minorHAnsi" w:hAnsiTheme="minorHAnsi" w:cstheme="minorHAnsi"/>
          <w:sz w:val="22"/>
          <w:szCs w:val="22"/>
        </w:rPr>
      </w:pPr>
      <w:r w:rsidRPr="00090036">
        <w:rPr>
          <w:rFonts w:asciiTheme="minorHAnsi" w:hAnsiTheme="minorHAnsi" w:cstheme="minorHAnsi"/>
          <w:sz w:val="22"/>
          <w:szCs w:val="22"/>
        </w:rPr>
        <w:t xml:space="preserve">There is also a lack of alignment in the consistency, coordination and timing of the Bill and other relevant system-level developments relating to children’s rights, the </w:t>
      </w:r>
      <w:proofErr w:type="gramStart"/>
      <w:r w:rsidRPr="00090036">
        <w:rPr>
          <w:rFonts w:asciiTheme="minorHAnsi" w:hAnsiTheme="minorHAnsi" w:cstheme="minorHAnsi"/>
          <w:sz w:val="22"/>
          <w:szCs w:val="22"/>
        </w:rPr>
        <w:t>child care</w:t>
      </w:r>
      <w:proofErr w:type="gramEnd"/>
      <w:r w:rsidRPr="00090036">
        <w:rPr>
          <w:rFonts w:asciiTheme="minorHAnsi" w:hAnsiTheme="minorHAnsi" w:cstheme="minorHAnsi"/>
          <w:sz w:val="22"/>
          <w:szCs w:val="22"/>
        </w:rPr>
        <w:t xml:space="preserve"> and protection system, and the protection of children within that system. This includes the lack of alignment with the timing of the final recommendations of the Royal Commission of Inquiry into Historical Abuse in State Care and in the Care of Faith-based Institutions (due in June 2023), a failure to reflect the Royal Commission’s interim report findings (as set out in the Redress Report, 2021), and the reforms of OT as the State’s </w:t>
      </w:r>
      <w:proofErr w:type="gramStart"/>
      <w:r w:rsidRPr="00090036">
        <w:rPr>
          <w:rFonts w:asciiTheme="minorHAnsi" w:hAnsiTheme="minorHAnsi" w:cstheme="minorHAnsi"/>
          <w:sz w:val="22"/>
          <w:szCs w:val="22"/>
        </w:rPr>
        <w:t>child care</w:t>
      </w:r>
      <w:proofErr w:type="gramEnd"/>
      <w:r w:rsidRPr="00090036">
        <w:rPr>
          <w:rFonts w:asciiTheme="minorHAnsi" w:hAnsiTheme="minorHAnsi" w:cstheme="minorHAnsi"/>
          <w:sz w:val="22"/>
          <w:szCs w:val="22"/>
        </w:rPr>
        <w:t xml:space="preserve"> and protection agency.</w:t>
      </w:r>
      <w:r w:rsidRPr="00090036">
        <w:rPr>
          <w:rStyle w:val="FootnoteReference"/>
          <w:rFonts w:asciiTheme="minorHAnsi" w:eastAsiaTheme="majorEastAsia" w:hAnsiTheme="minorHAnsi" w:cstheme="minorHAnsi"/>
          <w:sz w:val="22"/>
          <w:szCs w:val="22"/>
        </w:rPr>
        <w:footnoteReference w:id="489"/>
      </w:r>
      <w:r w:rsidRPr="00090036">
        <w:rPr>
          <w:rFonts w:asciiTheme="minorHAnsi" w:hAnsiTheme="minorHAnsi" w:cstheme="minorHAnsi"/>
          <w:sz w:val="22"/>
          <w:szCs w:val="22"/>
        </w:rPr>
        <w:t xml:space="preserve"> </w:t>
      </w:r>
    </w:p>
    <w:p w14:paraId="5D3B1E64" w14:textId="77777777" w:rsidR="00286439" w:rsidRDefault="00286439" w:rsidP="00090036">
      <w:pPr>
        <w:pStyle w:val="Heading2"/>
      </w:pPr>
      <w:bookmarkStart w:id="88" w:name="_Toc111407699"/>
      <w:bookmarkStart w:id="89" w:name="_Toc111485507"/>
      <w:r>
        <w:t>Timing of the Bill and submissions</w:t>
      </w:r>
      <w:bookmarkEnd w:id="88"/>
      <w:bookmarkEnd w:id="89"/>
    </w:p>
    <w:p w14:paraId="4009D232" w14:textId="77777777" w:rsidR="00286439" w:rsidRPr="00772A1E" w:rsidRDefault="00286439" w:rsidP="00286439">
      <w:pPr>
        <w:pStyle w:val="NormalWeb"/>
        <w:rPr>
          <w:rFonts w:asciiTheme="minorHAnsi" w:hAnsiTheme="minorHAnsi" w:cstheme="minorHAnsi"/>
          <w:sz w:val="22"/>
          <w:szCs w:val="22"/>
        </w:rPr>
      </w:pPr>
      <w:r w:rsidRPr="00772A1E">
        <w:rPr>
          <w:rFonts w:asciiTheme="minorHAnsi" w:hAnsiTheme="minorHAnsi" w:cstheme="minorHAnsi"/>
          <w:sz w:val="22"/>
          <w:szCs w:val="22"/>
        </w:rPr>
        <w:t xml:space="preserve">The Bill was introduced to Parliament in November 2021, with submissions due late January 2022. This timing (over the summer holidays) meant there was little time for community organisations to consult and develop their submissions. It was also </w:t>
      </w:r>
      <w:r w:rsidRPr="00772A1E">
        <w:rPr>
          <w:rFonts w:asciiTheme="minorHAnsi" w:hAnsiTheme="minorHAnsi" w:cstheme="minorHAnsi"/>
          <w:sz w:val="22"/>
          <w:szCs w:val="22"/>
        </w:rPr>
        <w:lastRenderedPageBreak/>
        <w:t>difficult for children and young people to submit on the Bill because they were all on school holidays.</w:t>
      </w:r>
    </w:p>
    <w:p w14:paraId="53D1A945" w14:textId="77777777" w:rsidR="00286439" w:rsidRPr="00772A1E" w:rsidRDefault="00286439" w:rsidP="00286439">
      <w:pPr>
        <w:pStyle w:val="NormalWeb"/>
        <w:rPr>
          <w:rFonts w:asciiTheme="minorHAnsi" w:hAnsiTheme="minorHAnsi" w:cstheme="minorHAnsi"/>
          <w:sz w:val="22"/>
          <w:szCs w:val="22"/>
        </w:rPr>
      </w:pPr>
      <w:r w:rsidRPr="00772A1E">
        <w:rPr>
          <w:rFonts w:asciiTheme="minorHAnsi" w:hAnsiTheme="minorHAnsi" w:cstheme="minorHAnsi"/>
          <w:sz w:val="22"/>
          <w:szCs w:val="22"/>
        </w:rPr>
        <w:t xml:space="preserve">In total, 403 submissions were made on the Bill, of which only eight were in support. The Select Committee recommended the reinstatement of a named Children’s Commissioner and retention of the power of this Commissioner to report to the Prime Minister, both of which had been absent from the Bill. </w:t>
      </w:r>
    </w:p>
    <w:p w14:paraId="16749C0E" w14:textId="708C2419" w:rsidR="00286439" w:rsidRPr="00772A1E" w:rsidRDefault="00286439" w:rsidP="00286439">
      <w:pPr>
        <w:rPr>
          <w:rFonts w:cstheme="minorHAnsi"/>
          <w:sz w:val="22"/>
          <w:szCs w:val="22"/>
          <w:lang w:val="en-US"/>
        </w:rPr>
      </w:pPr>
      <w:r w:rsidRPr="00772A1E">
        <w:rPr>
          <w:rFonts w:cstheme="minorHAnsi"/>
          <w:sz w:val="22"/>
          <w:szCs w:val="22"/>
          <w:lang w:val="en-US"/>
        </w:rPr>
        <w:t>The children’s sector submitted that the Bill was an opportunity to strengthen the way Government fulfills its responsibilities to children to create the conditions in which all children in Aotearoa can grow and thrive. Specifically, the sector submitted that the Bill should:</w:t>
      </w:r>
    </w:p>
    <w:p w14:paraId="1293914B" w14:textId="77777777" w:rsidR="00286439" w:rsidRPr="00772A1E" w:rsidRDefault="00286439" w:rsidP="00916EA3">
      <w:pPr>
        <w:pStyle w:val="ListParagraph"/>
        <w:numPr>
          <w:ilvl w:val="0"/>
          <w:numId w:val="43"/>
        </w:numPr>
        <w:spacing w:after="0" w:line="240" w:lineRule="auto"/>
        <w:rPr>
          <w:rFonts w:cstheme="minorHAnsi"/>
          <w:sz w:val="22"/>
          <w:szCs w:val="22"/>
          <w:lang w:val="en-US"/>
        </w:rPr>
      </w:pPr>
      <w:r w:rsidRPr="00772A1E">
        <w:rPr>
          <w:rFonts w:cstheme="minorHAnsi"/>
          <w:sz w:val="22"/>
          <w:szCs w:val="22"/>
          <w:lang w:val="en-US"/>
        </w:rPr>
        <w:t xml:space="preserve">Strengthen the Children’s Commissioner’s Office so that it continues to be an effective, </w:t>
      </w:r>
      <w:proofErr w:type="gramStart"/>
      <w:r w:rsidRPr="00772A1E">
        <w:rPr>
          <w:rFonts w:cstheme="minorHAnsi"/>
          <w:sz w:val="22"/>
          <w:szCs w:val="22"/>
          <w:lang w:val="en-US"/>
        </w:rPr>
        <w:t>authoritative</w:t>
      </w:r>
      <w:proofErr w:type="gramEnd"/>
      <w:r w:rsidRPr="00772A1E">
        <w:rPr>
          <w:rFonts w:cstheme="minorHAnsi"/>
          <w:sz w:val="22"/>
          <w:szCs w:val="22"/>
          <w:lang w:val="en-US"/>
        </w:rPr>
        <w:t xml:space="preserve"> and independent voice for all children in Aotearoa, grounded in evidence, research and </w:t>
      </w:r>
      <w:proofErr w:type="spellStart"/>
      <w:r w:rsidRPr="00772A1E">
        <w:rPr>
          <w:rFonts w:cstheme="minorHAnsi"/>
          <w:sz w:val="22"/>
          <w:szCs w:val="22"/>
          <w:lang w:val="en-US"/>
        </w:rPr>
        <w:t>maatauranga</w:t>
      </w:r>
      <w:proofErr w:type="spellEnd"/>
      <w:r w:rsidRPr="00772A1E">
        <w:rPr>
          <w:rFonts w:cstheme="minorHAnsi"/>
          <w:sz w:val="22"/>
          <w:szCs w:val="22"/>
          <w:lang w:val="en-US"/>
        </w:rPr>
        <w:t xml:space="preserve"> about children and their lives.</w:t>
      </w:r>
    </w:p>
    <w:p w14:paraId="4239934F" w14:textId="77777777" w:rsidR="00286439" w:rsidRPr="00772A1E" w:rsidRDefault="00286439" w:rsidP="00916EA3">
      <w:pPr>
        <w:pStyle w:val="ListParagraph"/>
        <w:numPr>
          <w:ilvl w:val="0"/>
          <w:numId w:val="43"/>
        </w:numPr>
        <w:spacing w:after="0" w:line="240" w:lineRule="auto"/>
        <w:rPr>
          <w:rFonts w:cstheme="minorHAnsi"/>
          <w:sz w:val="22"/>
          <w:szCs w:val="22"/>
          <w:lang w:val="en-US"/>
        </w:rPr>
      </w:pPr>
      <w:r w:rsidRPr="00772A1E">
        <w:rPr>
          <w:rFonts w:cstheme="minorHAnsi"/>
          <w:sz w:val="22"/>
          <w:szCs w:val="22"/>
          <w:lang w:val="en-US"/>
        </w:rPr>
        <w:t xml:space="preserve">Improve oversight of OT, so that problems or areas for improvement are identified and responded to quickly, </w:t>
      </w:r>
      <w:proofErr w:type="spellStart"/>
      <w:r w:rsidRPr="00772A1E">
        <w:rPr>
          <w:rFonts w:cstheme="minorHAnsi"/>
          <w:sz w:val="22"/>
          <w:szCs w:val="22"/>
          <w:lang w:val="en-US"/>
        </w:rPr>
        <w:t>minimising</w:t>
      </w:r>
      <w:proofErr w:type="spellEnd"/>
      <w:r w:rsidRPr="00772A1E">
        <w:rPr>
          <w:rFonts w:cstheme="minorHAnsi"/>
          <w:sz w:val="22"/>
          <w:szCs w:val="22"/>
          <w:lang w:val="en-US"/>
        </w:rPr>
        <w:t xml:space="preserve"> any harm to children and creating a continuously improving care and protection system. </w:t>
      </w:r>
    </w:p>
    <w:p w14:paraId="35D505DB" w14:textId="77777777" w:rsidR="00286439" w:rsidRPr="00772A1E" w:rsidRDefault="00286439" w:rsidP="00286439">
      <w:pPr>
        <w:pStyle w:val="NormalWeb"/>
        <w:rPr>
          <w:rFonts w:asciiTheme="minorHAnsi" w:hAnsiTheme="minorHAnsi" w:cstheme="minorHAnsi"/>
          <w:sz w:val="22"/>
          <w:szCs w:val="22"/>
          <w:lang w:val="en-NZ"/>
        </w:rPr>
      </w:pPr>
      <w:r w:rsidRPr="00772A1E">
        <w:rPr>
          <w:rFonts w:asciiTheme="minorHAnsi" w:hAnsiTheme="minorHAnsi" w:cstheme="minorHAnsi"/>
          <w:sz w:val="22"/>
          <w:szCs w:val="22"/>
        </w:rPr>
        <w:t xml:space="preserve">There was a strong call through submissions for Government to pause the Bill so that the fundamental flaws within it could be addressed and the opportunity taken to get the Bill right for children, their families and </w:t>
      </w:r>
      <w:proofErr w:type="spellStart"/>
      <w:r w:rsidRPr="00772A1E">
        <w:rPr>
          <w:rFonts w:asciiTheme="minorHAnsi" w:hAnsiTheme="minorHAnsi" w:cstheme="minorHAnsi"/>
          <w:sz w:val="22"/>
          <w:szCs w:val="22"/>
        </w:rPr>
        <w:t>whānau</w:t>
      </w:r>
      <w:proofErr w:type="spellEnd"/>
      <w:r w:rsidRPr="00772A1E">
        <w:rPr>
          <w:rFonts w:asciiTheme="minorHAnsi" w:hAnsiTheme="minorHAnsi" w:cstheme="minorHAnsi"/>
          <w:sz w:val="22"/>
          <w:szCs w:val="22"/>
        </w:rPr>
        <w:t xml:space="preserve">, taking into account the recommendations of the Royal Commission and paying respect to those who have shared their concerning experiences of being in State care so as to prevent further harm to children now and in the future. This call for Government to pause the Bill has gone unheeded. </w:t>
      </w:r>
    </w:p>
    <w:p w14:paraId="484E7953" w14:textId="58B60A9F" w:rsidR="00286439" w:rsidRDefault="00286439" w:rsidP="009C5C19">
      <w:pPr>
        <w:pStyle w:val="NormalWeb"/>
        <w:spacing w:before="0" w:beforeAutospacing="0" w:after="0" w:afterAutospacing="0"/>
        <w:rPr>
          <w:rFonts w:asciiTheme="minorHAnsi" w:hAnsiTheme="minorHAnsi" w:cstheme="minorHAnsi"/>
          <w:sz w:val="22"/>
          <w:szCs w:val="22"/>
        </w:rPr>
      </w:pPr>
      <w:r w:rsidRPr="00772A1E">
        <w:rPr>
          <w:rFonts w:asciiTheme="minorHAnsi" w:hAnsiTheme="minorHAnsi" w:cstheme="minorHAnsi"/>
          <w:sz w:val="22"/>
          <w:szCs w:val="22"/>
        </w:rPr>
        <w:t>Concerns about the Bill include:</w:t>
      </w:r>
    </w:p>
    <w:p w14:paraId="5AC24D47" w14:textId="77777777" w:rsidR="009C5C19" w:rsidRPr="00772A1E" w:rsidRDefault="009C5C19" w:rsidP="009C5C19">
      <w:pPr>
        <w:pStyle w:val="NormalWeb"/>
        <w:spacing w:before="0" w:beforeAutospacing="0" w:after="0" w:afterAutospacing="0"/>
        <w:rPr>
          <w:rFonts w:asciiTheme="minorHAnsi" w:hAnsiTheme="minorHAnsi" w:cstheme="minorHAnsi"/>
          <w:sz w:val="22"/>
          <w:szCs w:val="22"/>
        </w:rPr>
      </w:pPr>
    </w:p>
    <w:p w14:paraId="05914C08" w14:textId="77777777" w:rsidR="00286439" w:rsidRPr="00772A1E" w:rsidRDefault="00286439" w:rsidP="009C5C19">
      <w:pPr>
        <w:pStyle w:val="NormalWeb"/>
        <w:numPr>
          <w:ilvl w:val="0"/>
          <w:numId w:val="44"/>
        </w:numPr>
        <w:spacing w:before="0" w:beforeAutospacing="0" w:after="0" w:afterAutospacing="0"/>
        <w:rPr>
          <w:rFonts w:asciiTheme="minorHAnsi" w:hAnsiTheme="minorHAnsi" w:cstheme="minorHAnsi"/>
          <w:sz w:val="22"/>
          <w:szCs w:val="22"/>
        </w:rPr>
      </w:pPr>
      <w:r w:rsidRPr="00772A1E">
        <w:rPr>
          <w:rFonts w:asciiTheme="minorHAnsi" w:hAnsiTheme="minorHAnsi" w:cstheme="minorHAnsi"/>
          <w:sz w:val="22"/>
          <w:szCs w:val="22"/>
        </w:rPr>
        <w:t>Removal of the Children’s Commissioner’s complaints and investigations functions, leaving children, including those in the care and protection system, without a statutory body with the powers to receive and investigate complaints about children’s issues. Under the Bill, the Commission’s functions and powers are limited to systemic advocacy, as children with complaints about OT will have to go to the Ombudsman. Concern has been voiced by civil society that the Ombudsman is not equipped with the capability to work in ways that focus first and foremost on children.</w:t>
      </w:r>
    </w:p>
    <w:p w14:paraId="321E9172" w14:textId="77777777" w:rsidR="00286439" w:rsidRPr="00772A1E" w:rsidRDefault="00286439" w:rsidP="00916EA3">
      <w:pPr>
        <w:pStyle w:val="NormalWeb"/>
        <w:numPr>
          <w:ilvl w:val="0"/>
          <w:numId w:val="44"/>
        </w:numPr>
        <w:rPr>
          <w:rFonts w:asciiTheme="minorHAnsi" w:hAnsiTheme="minorHAnsi" w:cstheme="minorHAnsi"/>
          <w:sz w:val="22"/>
          <w:szCs w:val="22"/>
        </w:rPr>
      </w:pPr>
      <w:r w:rsidRPr="00772A1E">
        <w:rPr>
          <w:rFonts w:asciiTheme="minorHAnsi" w:hAnsiTheme="minorHAnsi" w:cstheme="minorHAnsi"/>
          <w:sz w:val="22"/>
          <w:szCs w:val="22"/>
        </w:rPr>
        <w:t>The new ICM is a departmental agency, not an Independent Crown Entity. This means it is not independent from Government. Its functions relate to monitoring the system, not monitoring for children, and its purposes include building public trust in the OT system.</w:t>
      </w:r>
    </w:p>
    <w:p w14:paraId="59BE8147" w14:textId="77777777" w:rsidR="00286439" w:rsidRPr="00772A1E" w:rsidRDefault="00286439" w:rsidP="00916EA3">
      <w:pPr>
        <w:pStyle w:val="NormalWeb"/>
        <w:numPr>
          <w:ilvl w:val="0"/>
          <w:numId w:val="44"/>
        </w:numPr>
        <w:rPr>
          <w:rFonts w:asciiTheme="minorHAnsi" w:hAnsiTheme="minorHAnsi" w:cstheme="minorHAnsi"/>
          <w:sz w:val="22"/>
          <w:szCs w:val="22"/>
        </w:rPr>
      </w:pPr>
      <w:r w:rsidRPr="00772A1E">
        <w:rPr>
          <w:rFonts w:asciiTheme="minorHAnsi" w:hAnsiTheme="minorHAnsi" w:cstheme="minorHAnsi"/>
          <w:sz w:val="22"/>
          <w:szCs w:val="22"/>
        </w:rPr>
        <w:lastRenderedPageBreak/>
        <w:t>The Children’s Commissioner is an Independent Crown Entity, but no longer has any statutory complaints or monitoring functions in relation to the care and protection system.</w:t>
      </w:r>
      <w:r w:rsidRPr="00772A1E">
        <w:rPr>
          <w:rStyle w:val="FootnoteReference"/>
          <w:rFonts w:asciiTheme="minorHAnsi" w:eastAsiaTheme="majorEastAsia" w:hAnsiTheme="minorHAnsi" w:cstheme="minorHAnsi"/>
          <w:sz w:val="22"/>
          <w:szCs w:val="22"/>
        </w:rPr>
        <w:footnoteReference w:id="490"/>
      </w:r>
    </w:p>
    <w:p w14:paraId="7C7269D7" w14:textId="77777777" w:rsidR="00286439" w:rsidRPr="00772A1E" w:rsidRDefault="00286439" w:rsidP="00916EA3">
      <w:pPr>
        <w:pStyle w:val="NormalWeb"/>
        <w:numPr>
          <w:ilvl w:val="0"/>
          <w:numId w:val="44"/>
        </w:numPr>
        <w:rPr>
          <w:rFonts w:asciiTheme="minorHAnsi" w:hAnsiTheme="minorHAnsi" w:cstheme="minorHAnsi"/>
          <w:sz w:val="22"/>
          <w:szCs w:val="22"/>
        </w:rPr>
      </w:pPr>
      <w:r w:rsidRPr="00772A1E">
        <w:rPr>
          <w:rFonts w:asciiTheme="minorHAnsi" w:hAnsiTheme="minorHAnsi" w:cstheme="minorHAnsi"/>
          <w:sz w:val="22"/>
          <w:szCs w:val="22"/>
        </w:rPr>
        <w:t>The ICM’s powers to enter care facilities are limited and it cannot enter without notice.</w:t>
      </w:r>
    </w:p>
    <w:p w14:paraId="4C535045" w14:textId="77777777" w:rsidR="00286439" w:rsidRPr="00772A1E" w:rsidRDefault="00286439" w:rsidP="00916EA3">
      <w:pPr>
        <w:pStyle w:val="NormalWeb"/>
        <w:numPr>
          <w:ilvl w:val="0"/>
          <w:numId w:val="44"/>
        </w:numPr>
        <w:rPr>
          <w:rFonts w:asciiTheme="minorHAnsi" w:hAnsiTheme="minorHAnsi" w:cstheme="minorHAnsi"/>
          <w:sz w:val="22"/>
          <w:szCs w:val="22"/>
        </w:rPr>
      </w:pPr>
      <w:r w:rsidRPr="00772A1E">
        <w:rPr>
          <w:rFonts w:asciiTheme="minorHAnsi" w:hAnsiTheme="minorHAnsi" w:cstheme="minorHAnsi"/>
          <w:sz w:val="22"/>
          <w:szCs w:val="22"/>
        </w:rPr>
        <w:t xml:space="preserve">Inconsistency with Government’s obligations and plans to give effect to </w:t>
      </w:r>
      <w:proofErr w:type="spellStart"/>
      <w:r w:rsidRPr="00772A1E">
        <w:rPr>
          <w:rFonts w:asciiTheme="minorHAnsi" w:hAnsiTheme="minorHAnsi" w:cstheme="minorHAnsi"/>
          <w:sz w:val="22"/>
          <w:szCs w:val="22"/>
        </w:rPr>
        <w:t>Te</w:t>
      </w:r>
      <w:proofErr w:type="spellEnd"/>
      <w:r w:rsidRPr="00772A1E">
        <w:rPr>
          <w:rFonts w:asciiTheme="minorHAnsi" w:hAnsiTheme="minorHAnsi" w:cstheme="minorHAnsi"/>
          <w:sz w:val="22"/>
          <w:szCs w:val="22"/>
        </w:rPr>
        <w:t xml:space="preserve"> </w:t>
      </w:r>
      <w:proofErr w:type="spellStart"/>
      <w:r w:rsidRPr="00772A1E">
        <w:rPr>
          <w:rFonts w:asciiTheme="minorHAnsi" w:hAnsiTheme="minorHAnsi" w:cstheme="minorHAnsi"/>
          <w:sz w:val="22"/>
          <w:szCs w:val="22"/>
        </w:rPr>
        <w:t>Tiriti</w:t>
      </w:r>
      <w:proofErr w:type="spellEnd"/>
      <w:r w:rsidRPr="00772A1E">
        <w:rPr>
          <w:rFonts w:asciiTheme="minorHAnsi" w:hAnsiTheme="minorHAnsi" w:cstheme="minorHAnsi"/>
          <w:sz w:val="22"/>
          <w:szCs w:val="22"/>
        </w:rPr>
        <w:t xml:space="preserve"> o Waitangi in the care and protection system, undermining the rights of </w:t>
      </w:r>
      <w:proofErr w:type="spellStart"/>
      <w:r w:rsidRPr="00772A1E">
        <w:rPr>
          <w:rFonts w:asciiTheme="minorHAnsi" w:hAnsiTheme="minorHAnsi" w:cstheme="minorHAnsi"/>
          <w:sz w:val="22"/>
          <w:szCs w:val="22"/>
        </w:rPr>
        <w:t>tamariki</w:t>
      </w:r>
      <w:proofErr w:type="spellEnd"/>
      <w:r w:rsidRPr="00772A1E">
        <w:rPr>
          <w:rFonts w:asciiTheme="minorHAnsi" w:hAnsiTheme="minorHAnsi" w:cstheme="minorHAnsi"/>
          <w:sz w:val="22"/>
          <w:szCs w:val="22"/>
        </w:rPr>
        <w:t xml:space="preserve"> Māori.</w:t>
      </w:r>
    </w:p>
    <w:p w14:paraId="333B47F3" w14:textId="6F5F8145" w:rsidR="00286439" w:rsidRPr="00772A1E" w:rsidRDefault="00286439" w:rsidP="00916EA3">
      <w:pPr>
        <w:pStyle w:val="NormalWeb"/>
        <w:numPr>
          <w:ilvl w:val="0"/>
          <w:numId w:val="44"/>
        </w:numPr>
        <w:rPr>
          <w:rFonts w:asciiTheme="minorHAnsi" w:hAnsiTheme="minorHAnsi" w:cstheme="minorHAnsi"/>
          <w:sz w:val="22"/>
          <w:szCs w:val="22"/>
        </w:rPr>
      </w:pPr>
      <w:r w:rsidRPr="00772A1E">
        <w:rPr>
          <w:rFonts w:asciiTheme="minorHAnsi" w:hAnsiTheme="minorHAnsi" w:cstheme="minorHAnsi"/>
          <w:sz w:val="22"/>
          <w:szCs w:val="22"/>
        </w:rPr>
        <w:t xml:space="preserve">Fragmentation and the removal of one clear place for children to go to have their issues and concerns championed. Three agencies will be involved in the ‘system of ‘Oversight’: the ICM, the Children and Young People’s Commission and the Ombudsman. The Bill lacks clarity about how children’s complaints, monitoring and advocacy will be co-ordinated to ensure they work together as a system. There is concern this may lead to children falling through gaps, including those children who may report experiences of harm that should be responded to in real-time </w:t>
      </w:r>
      <w:proofErr w:type="gramStart"/>
      <w:r w:rsidRPr="00772A1E">
        <w:rPr>
          <w:rFonts w:asciiTheme="minorHAnsi" w:hAnsiTheme="minorHAnsi" w:cstheme="minorHAnsi"/>
          <w:sz w:val="22"/>
          <w:szCs w:val="22"/>
        </w:rPr>
        <w:t>in order to</w:t>
      </w:r>
      <w:proofErr w:type="gramEnd"/>
      <w:r w:rsidRPr="00772A1E">
        <w:rPr>
          <w:rFonts w:asciiTheme="minorHAnsi" w:hAnsiTheme="minorHAnsi" w:cstheme="minorHAnsi"/>
          <w:sz w:val="22"/>
          <w:szCs w:val="22"/>
        </w:rPr>
        <w:t xml:space="preserve"> prevent further harm. </w:t>
      </w:r>
    </w:p>
    <w:p w14:paraId="044409CD" w14:textId="77777777" w:rsidR="00286439" w:rsidRPr="00772A1E" w:rsidRDefault="00286439" w:rsidP="00916EA3">
      <w:pPr>
        <w:pStyle w:val="NormalWeb"/>
        <w:numPr>
          <w:ilvl w:val="0"/>
          <w:numId w:val="44"/>
        </w:numPr>
        <w:rPr>
          <w:rFonts w:asciiTheme="minorHAnsi" w:hAnsiTheme="minorHAnsi" w:cstheme="minorHAnsi"/>
          <w:sz w:val="22"/>
          <w:szCs w:val="22"/>
        </w:rPr>
      </w:pPr>
      <w:r w:rsidRPr="00772A1E">
        <w:rPr>
          <w:rFonts w:asciiTheme="minorHAnsi" w:hAnsiTheme="minorHAnsi" w:cstheme="minorHAnsi"/>
          <w:sz w:val="22"/>
          <w:szCs w:val="22"/>
        </w:rPr>
        <w:t>A lack of clarity around appointment processes and operation of the Commission to ensure its diversity and effectiveness and its accountability to children and the public.</w:t>
      </w:r>
    </w:p>
    <w:p w14:paraId="4138ACC1" w14:textId="77777777" w:rsidR="00286439" w:rsidRPr="00772A1E" w:rsidRDefault="00286439" w:rsidP="00286439">
      <w:pPr>
        <w:pStyle w:val="NormalWeb"/>
        <w:rPr>
          <w:rFonts w:asciiTheme="minorHAnsi" w:hAnsiTheme="minorHAnsi" w:cstheme="minorHAnsi"/>
          <w:sz w:val="22"/>
          <w:szCs w:val="22"/>
        </w:rPr>
      </w:pPr>
      <w:r w:rsidRPr="00772A1E">
        <w:rPr>
          <w:rFonts w:asciiTheme="minorHAnsi" w:hAnsiTheme="minorHAnsi" w:cstheme="minorHAnsi"/>
          <w:sz w:val="22"/>
          <w:szCs w:val="22"/>
        </w:rPr>
        <w:t>The proposed changes alter the role and structure of the Children’s Commissioner and raise the following issues or questions:</w:t>
      </w:r>
    </w:p>
    <w:p w14:paraId="36483331" w14:textId="77777777" w:rsidR="00286439" w:rsidRPr="00772A1E" w:rsidRDefault="00286439" w:rsidP="00916EA3">
      <w:pPr>
        <w:pStyle w:val="NormalWeb"/>
        <w:numPr>
          <w:ilvl w:val="0"/>
          <w:numId w:val="45"/>
        </w:numPr>
        <w:rPr>
          <w:rFonts w:asciiTheme="minorHAnsi" w:hAnsiTheme="minorHAnsi" w:cstheme="minorHAnsi"/>
          <w:sz w:val="22"/>
          <w:szCs w:val="22"/>
        </w:rPr>
      </w:pPr>
      <w:r w:rsidRPr="00772A1E">
        <w:rPr>
          <w:rFonts w:asciiTheme="minorHAnsi" w:hAnsiTheme="minorHAnsi" w:cstheme="minorHAnsi"/>
          <w:sz w:val="22"/>
          <w:szCs w:val="22"/>
        </w:rPr>
        <w:t xml:space="preserve">How will the focus on the </w:t>
      </w:r>
      <w:proofErr w:type="gramStart"/>
      <w:r w:rsidRPr="00772A1E">
        <w:rPr>
          <w:rFonts w:asciiTheme="minorHAnsi" w:hAnsiTheme="minorHAnsi" w:cstheme="minorHAnsi"/>
          <w:sz w:val="22"/>
          <w:szCs w:val="22"/>
        </w:rPr>
        <w:t>particular rights</w:t>
      </w:r>
      <w:proofErr w:type="gramEnd"/>
      <w:r w:rsidRPr="00772A1E">
        <w:rPr>
          <w:rFonts w:asciiTheme="minorHAnsi" w:hAnsiTheme="minorHAnsi" w:cstheme="minorHAnsi"/>
          <w:sz w:val="22"/>
          <w:szCs w:val="22"/>
        </w:rPr>
        <w:t xml:space="preserve"> and needs of those under 18 be maintained within the Commission’s broader age mandate, given children are entitled to special care and assistance due to their age, developmental stage and lack of political voice? </w:t>
      </w:r>
    </w:p>
    <w:p w14:paraId="0AE0B8CB" w14:textId="77777777" w:rsidR="00286439" w:rsidRPr="00772A1E" w:rsidRDefault="00286439" w:rsidP="00916EA3">
      <w:pPr>
        <w:pStyle w:val="NormalWeb"/>
        <w:numPr>
          <w:ilvl w:val="0"/>
          <w:numId w:val="45"/>
        </w:numPr>
        <w:rPr>
          <w:rFonts w:asciiTheme="minorHAnsi" w:hAnsiTheme="minorHAnsi" w:cstheme="minorHAnsi"/>
          <w:sz w:val="22"/>
          <w:szCs w:val="22"/>
        </w:rPr>
      </w:pPr>
      <w:r w:rsidRPr="00772A1E">
        <w:rPr>
          <w:rFonts w:asciiTheme="minorHAnsi" w:hAnsiTheme="minorHAnsi" w:cstheme="minorHAnsi"/>
          <w:sz w:val="22"/>
          <w:szCs w:val="22"/>
        </w:rPr>
        <w:t>How will the Commissioner’s current functions in relation to advancing and monitoring the application of the CRC for all children in Aotearoa be affected?</w:t>
      </w:r>
    </w:p>
    <w:p w14:paraId="6A1DFCFD" w14:textId="77777777" w:rsidR="00286439" w:rsidRPr="00772A1E" w:rsidRDefault="00286439" w:rsidP="00916EA3">
      <w:pPr>
        <w:pStyle w:val="NormalWeb"/>
        <w:numPr>
          <w:ilvl w:val="0"/>
          <w:numId w:val="45"/>
        </w:numPr>
        <w:rPr>
          <w:rFonts w:asciiTheme="minorHAnsi" w:hAnsiTheme="minorHAnsi" w:cstheme="minorHAnsi"/>
          <w:sz w:val="22"/>
          <w:szCs w:val="22"/>
        </w:rPr>
      </w:pPr>
      <w:r w:rsidRPr="00772A1E">
        <w:rPr>
          <w:rFonts w:asciiTheme="minorHAnsi" w:hAnsiTheme="minorHAnsi" w:cstheme="minorHAnsi"/>
          <w:sz w:val="22"/>
          <w:szCs w:val="22"/>
        </w:rPr>
        <w:t>What will be done to ensure the Commission has the adequate human, technical and financial resources to fulfil its functions, including its CRC functions?</w:t>
      </w:r>
    </w:p>
    <w:p w14:paraId="1B7F6D6C" w14:textId="77777777" w:rsidR="00286439" w:rsidRPr="00772A1E" w:rsidRDefault="00286439" w:rsidP="00916EA3">
      <w:pPr>
        <w:pStyle w:val="NormalWeb"/>
        <w:numPr>
          <w:ilvl w:val="0"/>
          <w:numId w:val="45"/>
        </w:numPr>
        <w:rPr>
          <w:rFonts w:asciiTheme="minorHAnsi" w:hAnsiTheme="minorHAnsi" w:cstheme="minorHAnsi"/>
          <w:sz w:val="22"/>
          <w:szCs w:val="22"/>
        </w:rPr>
      </w:pPr>
      <w:r w:rsidRPr="00772A1E">
        <w:rPr>
          <w:rFonts w:asciiTheme="minorHAnsi" w:hAnsiTheme="minorHAnsi" w:cstheme="minorHAnsi"/>
          <w:sz w:val="22"/>
          <w:szCs w:val="22"/>
        </w:rPr>
        <w:t xml:space="preserve">A </w:t>
      </w:r>
      <w:proofErr w:type="gramStart"/>
      <w:r w:rsidRPr="00772A1E">
        <w:rPr>
          <w:rFonts w:asciiTheme="minorHAnsi" w:hAnsiTheme="minorHAnsi" w:cstheme="minorHAnsi"/>
          <w:sz w:val="22"/>
          <w:szCs w:val="22"/>
        </w:rPr>
        <w:t>3-6 person</w:t>
      </w:r>
      <w:proofErr w:type="gramEnd"/>
      <w:r w:rsidRPr="00772A1E">
        <w:rPr>
          <w:rFonts w:asciiTheme="minorHAnsi" w:hAnsiTheme="minorHAnsi" w:cstheme="minorHAnsi"/>
          <w:sz w:val="22"/>
          <w:szCs w:val="22"/>
        </w:rPr>
        <w:t xml:space="preserve"> Commission implies a very different model of operation to a Commissioner sole model, with greater administrative requirements. Adequate resourcing will be essential to ensure the essence of the Office – as an authoritative and respected voice for children – is maintained.</w:t>
      </w:r>
    </w:p>
    <w:p w14:paraId="02959736" w14:textId="77777777" w:rsidR="00286439" w:rsidRPr="00772A1E" w:rsidRDefault="00286439" w:rsidP="00916EA3">
      <w:pPr>
        <w:pStyle w:val="NormalWeb"/>
        <w:numPr>
          <w:ilvl w:val="0"/>
          <w:numId w:val="45"/>
        </w:numPr>
        <w:rPr>
          <w:rFonts w:asciiTheme="minorHAnsi" w:hAnsiTheme="minorHAnsi" w:cstheme="minorHAnsi"/>
          <w:sz w:val="22"/>
          <w:szCs w:val="22"/>
        </w:rPr>
      </w:pPr>
      <w:r w:rsidRPr="00772A1E">
        <w:rPr>
          <w:rFonts w:asciiTheme="minorHAnsi" w:hAnsiTheme="minorHAnsi" w:cstheme="minorHAnsi"/>
          <w:sz w:val="22"/>
          <w:szCs w:val="22"/>
        </w:rPr>
        <w:t>Given the expanded focus to also include young people up to the age of 25, how will the Commission’s role differ to, and what will the relationship be, with the Ministry of Youth Development which supports and empowers those aged between 12 and 24?</w:t>
      </w:r>
    </w:p>
    <w:p w14:paraId="3FD6B754" w14:textId="1A40B865" w:rsidR="00286439" w:rsidRPr="00772A1E" w:rsidRDefault="00286439" w:rsidP="00286439">
      <w:pPr>
        <w:pStyle w:val="NormalWeb"/>
        <w:rPr>
          <w:rFonts w:asciiTheme="minorHAnsi" w:hAnsiTheme="minorHAnsi" w:cstheme="minorHAnsi"/>
          <w:sz w:val="22"/>
          <w:szCs w:val="22"/>
        </w:rPr>
      </w:pPr>
      <w:r w:rsidRPr="00772A1E">
        <w:rPr>
          <w:rFonts w:asciiTheme="minorHAnsi" w:hAnsiTheme="minorHAnsi" w:cstheme="minorHAnsi"/>
          <w:sz w:val="22"/>
          <w:szCs w:val="22"/>
        </w:rPr>
        <w:t xml:space="preserve">Overall, insufficient consideration has been given to children and their rights in the development of this legislation at every step of the process. From the problem definition underpinning the Beatie review, through to the Bill, the focus has been on </w:t>
      </w:r>
      <w:r w:rsidRPr="00772A1E">
        <w:rPr>
          <w:rFonts w:asciiTheme="minorHAnsi" w:hAnsiTheme="minorHAnsi" w:cstheme="minorHAnsi"/>
          <w:sz w:val="22"/>
          <w:szCs w:val="22"/>
        </w:rPr>
        <w:lastRenderedPageBreak/>
        <w:t>the oversight system rather than an evidence</w:t>
      </w:r>
      <w:r w:rsidR="009C5C19">
        <w:rPr>
          <w:rFonts w:asciiTheme="minorHAnsi" w:hAnsiTheme="minorHAnsi" w:cstheme="minorHAnsi"/>
          <w:sz w:val="22"/>
          <w:szCs w:val="22"/>
        </w:rPr>
        <w:t>-</w:t>
      </w:r>
      <w:r w:rsidRPr="00772A1E">
        <w:rPr>
          <w:rFonts w:asciiTheme="minorHAnsi" w:hAnsiTheme="minorHAnsi" w:cstheme="minorHAnsi"/>
          <w:sz w:val="22"/>
          <w:szCs w:val="22"/>
        </w:rPr>
        <w:t>based assessment of what changes to the Children’s Commissioner would be in children’s best interests.</w:t>
      </w:r>
      <w:r w:rsidRPr="00772A1E">
        <w:rPr>
          <w:rStyle w:val="FootnoteReference"/>
          <w:rFonts w:asciiTheme="minorHAnsi" w:eastAsiaTheme="majorEastAsia" w:hAnsiTheme="minorHAnsi" w:cstheme="minorHAnsi"/>
          <w:sz w:val="22"/>
          <w:szCs w:val="22"/>
        </w:rPr>
        <w:t xml:space="preserve"> </w:t>
      </w:r>
      <w:r w:rsidRPr="00772A1E">
        <w:rPr>
          <w:rStyle w:val="FootnoteReference"/>
          <w:rFonts w:asciiTheme="minorHAnsi" w:eastAsiaTheme="majorEastAsia" w:hAnsiTheme="minorHAnsi" w:cstheme="minorHAnsi"/>
          <w:sz w:val="22"/>
          <w:szCs w:val="22"/>
        </w:rPr>
        <w:footnoteReference w:id="491"/>
      </w:r>
    </w:p>
    <w:p w14:paraId="2B43DAA6" w14:textId="77777777" w:rsidR="00286439" w:rsidRPr="00772A1E" w:rsidRDefault="00286439" w:rsidP="00772A1E">
      <w:pPr>
        <w:pStyle w:val="Heading2"/>
      </w:pPr>
      <w:bookmarkStart w:id="90" w:name="_Toc111407700"/>
      <w:bookmarkStart w:id="91" w:name="_Toc111485508"/>
      <w:r w:rsidRPr="00772A1E">
        <w:t>Looking Ahead</w:t>
      </w:r>
      <w:bookmarkEnd w:id="90"/>
      <w:bookmarkEnd w:id="91"/>
    </w:p>
    <w:p w14:paraId="6527E792" w14:textId="77777777" w:rsidR="00286439" w:rsidRPr="00772A1E" w:rsidRDefault="00286439" w:rsidP="00286439">
      <w:pPr>
        <w:rPr>
          <w:rFonts w:cstheme="minorHAnsi"/>
          <w:sz w:val="22"/>
          <w:szCs w:val="22"/>
        </w:rPr>
      </w:pPr>
    </w:p>
    <w:p w14:paraId="5D580B98" w14:textId="4F548056" w:rsidR="00286439" w:rsidRPr="00772A1E" w:rsidRDefault="00286439" w:rsidP="00772A1E">
      <w:pPr>
        <w:rPr>
          <w:rFonts w:cstheme="minorHAnsi"/>
          <w:sz w:val="22"/>
          <w:szCs w:val="22"/>
        </w:rPr>
      </w:pPr>
      <w:r w:rsidRPr="00772A1E">
        <w:rPr>
          <w:rFonts w:cstheme="minorHAnsi"/>
          <w:sz w:val="22"/>
          <w:szCs w:val="22"/>
        </w:rPr>
        <w:t xml:space="preserve">It seems likely that the Bill will proceed, albeit with some amendments, despite widespread opposition and calls to wait for the Royal Commission’s findings, due in 2023. If the Bill does pass into </w:t>
      </w:r>
      <w:proofErr w:type="gramStart"/>
      <w:r w:rsidRPr="00772A1E">
        <w:rPr>
          <w:rFonts w:cstheme="minorHAnsi"/>
          <w:sz w:val="22"/>
          <w:szCs w:val="22"/>
        </w:rPr>
        <w:t>law</w:t>
      </w:r>
      <w:proofErr w:type="gramEnd"/>
      <w:r w:rsidRPr="00772A1E">
        <w:rPr>
          <w:rFonts w:cstheme="minorHAnsi"/>
          <w:sz w:val="22"/>
          <w:szCs w:val="22"/>
        </w:rPr>
        <w:t xml:space="preserve"> it will be important that Government establish and embed processes to:</w:t>
      </w:r>
    </w:p>
    <w:p w14:paraId="40BBAA65" w14:textId="69FFBF59" w:rsidR="00286439" w:rsidRPr="00772A1E" w:rsidRDefault="00286439" w:rsidP="00916EA3">
      <w:pPr>
        <w:pStyle w:val="ListParagraph"/>
        <w:numPr>
          <w:ilvl w:val="0"/>
          <w:numId w:val="46"/>
        </w:numPr>
        <w:spacing w:after="0" w:line="240" w:lineRule="auto"/>
        <w:jc w:val="both"/>
        <w:rPr>
          <w:rFonts w:cstheme="minorHAnsi"/>
          <w:sz w:val="22"/>
          <w:szCs w:val="22"/>
        </w:rPr>
      </w:pPr>
      <w:r w:rsidRPr="00772A1E">
        <w:rPr>
          <w:rFonts w:cstheme="minorHAnsi"/>
          <w:sz w:val="22"/>
          <w:szCs w:val="22"/>
        </w:rPr>
        <w:t xml:space="preserve">Monitor how the legal changes are working in practice from the start, and on an ongoing basis, particularly to track their impact on children. Childhood is a relatively short part of the life span, and monitoring of the new system needs to result in continuous, real-time improvement of practice that optimises children’s experiences and outcomes in line with their sense of time. </w:t>
      </w:r>
    </w:p>
    <w:p w14:paraId="53DE5E70" w14:textId="5F0B0161" w:rsidR="00286439" w:rsidRPr="00772A1E" w:rsidRDefault="00286439" w:rsidP="00916EA3">
      <w:pPr>
        <w:pStyle w:val="ListParagraph"/>
        <w:numPr>
          <w:ilvl w:val="0"/>
          <w:numId w:val="46"/>
        </w:numPr>
        <w:spacing w:after="0" w:line="240" w:lineRule="auto"/>
        <w:jc w:val="both"/>
        <w:rPr>
          <w:rFonts w:cstheme="minorHAnsi"/>
          <w:sz w:val="22"/>
          <w:szCs w:val="22"/>
        </w:rPr>
      </w:pPr>
      <w:r w:rsidRPr="00772A1E">
        <w:rPr>
          <w:rFonts w:cstheme="minorHAnsi"/>
          <w:sz w:val="22"/>
          <w:szCs w:val="22"/>
        </w:rPr>
        <w:t>Listen to children and young people about how they are experiencing the changes, especially those in the OT system. This would allow children to help to shape the operation of the oversight system, including their Commission/er, even if they have not had adequate opportunity to inform its legislative framework.</w:t>
      </w:r>
    </w:p>
    <w:p w14:paraId="011FBE08" w14:textId="3FEEACAB" w:rsidR="00286439" w:rsidRDefault="00286439" w:rsidP="00916EA3">
      <w:pPr>
        <w:pStyle w:val="ListParagraph"/>
        <w:numPr>
          <w:ilvl w:val="0"/>
          <w:numId w:val="46"/>
        </w:numPr>
        <w:spacing w:after="0" w:line="240" w:lineRule="auto"/>
        <w:jc w:val="both"/>
        <w:rPr>
          <w:rFonts w:cstheme="minorHAnsi"/>
          <w:sz w:val="22"/>
          <w:szCs w:val="22"/>
        </w:rPr>
      </w:pPr>
      <w:r w:rsidRPr="00772A1E">
        <w:rPr>
          <w:rFonts w:cstheme="minorHAnsi"/>
          <w:sz w:val="22"/>
          <w:szCs w:val="22"/>
        </w:rPr>
        <w:t xml:space="preserve">Enable public servants, Māori, civil society, academic </w:t>
      </w:r>
      <w:proofErr w:type="gramStart"/>
      <w:r w:rsidRPr="00772A1E">
        <w:rPr>
          <w:rFonts w:cstheme="minorHAnsi"/>
          <w:sz w:val="22"/>
          <w:szCs w:val="22"/>
        </w:rPr>
        <w:t>experts</w:t>
      </w:r>
      <w:proofErr w:type="gramEnd"/>
      <w:r w:rsidRPr="00772A1E">
        <w:rPr>
          <w:rFonts w:cstheme="minorHAnsi"/>
          <w:sz w:val="22"/>
          <w:szCs w:val="22"/>
        </w:rPr>
        <w:t xml:space="preserve"> and children, especially those who are care experienced, to work together (for example, by establishing a Working Group) to:</w:t>
      </w:r>
    </w:p>
    <w:p w14:paraId="4262FBE1" w14:textId="77777777" w:rsidR="009C5C19" w:rsidRPr="00772A1E" w:rsidRDefault="009C5C19" w:rsidP="009C5C19">
      <w:pPr>
        <w:pStyle w:val="ListParagraph"/>
        <w:spacing w:after="0" w:line="240" w:lineRule="auto"/>
        <w:jc w:val="both"/>
        <w:rPr>
          <w:rFonts w:cstheme="minorHAnsi"/>
          <w:sz w:val="22"/>
          <w:szCs w:val="22"/>
        </w:rPr>
      </w:pPr>
    </w:p>
    <w:p w14:paraId="39C9E1BE" w14:textId="77777777" w:rsidR="00286439" w:rsidRPr="00772A1E" w:rsidRDefault="00286439" w:rsidP="00916EA3">
      <w:pPr>
        <w:pStyle w:val="ListParagraph"/>
        <w:numPr>
          <w:ilvl w:val="1"/>
          <w:numId w:val="46"/>
        </w:numPr>
        <w:spacing w:after="0" w:line="240" w:lineRule="auto"/>
        <w:jc w:val="both"/>
        <w:rPr>
          <w:rFonts w:cstheme="minorHAnsi"/>
          <w:sz w:val="22"/>
          <w:szCs w:val="22"/>
        </w:rPr>
      </w:pPr>
      <w:r w:rsidRPr="00772A1E">
        <w:rPr>
          <w:rFonts w:cstheme="minorHAnsi"/>
          <w:sz w:val="22"/>
          <w:szCs w:val="22"/>
        </w:rPr>
        <w:t xml:space="preserve">Optimise the way the legislative changes are operationalised. </w:t>
      </w:r>
    </w:p>
    <w:p w14:paraId="10E60FA4" w14:textId="77777777" w:rsidR="00286439" w:rsidRPr="00772A1E" w:rsidRDefault="00286439" w:rsidP="00916EA3">
      <w:pPr>
        <w:pStyle w:val="ListParagraph"/>
        <w:numPr>
          <w:ilvl w:val="1"/>
          <w:numId w:val="46"/>
        </w:numPr>
        <w:spacing w:after="0" w:line="240" w:lineRule="auto"/>
        <w:jc w:val="both"/>
        <w:rPr>
          <w:rFonts w:cstheme="minorHAnsi"/>
          <w:sz w:val="22"/>
          <w:szCs w:val="22"/>
        </w:rPr>
      </w:pPr>
      <w:r w:rsidRPr="00772A1E">
        <w:rPr>
          <w:rFonts w:cstheme="minorHAnsi"/>
          <w:sz w:val="22"/>
          <w:szCs w:val="22"/>
        </w:rPr>
        <w:t xml:space="preserve">Identify any problems or gaps arising from the law being operationalised so these can be remedied as quickly and as comprehensively as possible without legislative change. For example, there may be practical adjustments to be made to the way the interface between the Commission/er, the Ombudsman and the ICM works for children and </w:t>
      </w:r>
      <w:proofErr w:type="spellStart"/>
      <w:r w:rsidRPr="00772A1E">
        <w:rPr>
          <w:rFonts w:cstheme="minorHAnsi"/>
          <w:sz w:val="22"/>
          <w:szCs w:val="22"/>
        </w:rPr>
        <w:t>whānau</w:t>
      </w:r>
      <w:proofErr w:type="spellEnd"/>
      <w:r w:rsidRPr="00772A1E">
        <w:rPr>
          <w:rFonts w:cstheme="minorHAnsi"/>
          <w:sz w:val="22"/>
          <w:szCs w:val="22"/>
        </w:rPr>
        <w:t xml:space="preserve">. </w:t>
      </w:r>
    </w:p>
    <w:p w14:paraId="64F2CECF" w14:textId="77777777" w:rsidR="00286439" w:rsidRPr="00772A1E" w:rsidRDefault="00286439" w:rsidP="00286439">
      <w:pPr>
        <w:jc w:val="both"/>
        <w:rPr>
          <w:rFonts w:cstheme="minorHAnsi"/>
          <w:sz w:val="22"/>
          <w:szCs w:val="22"/>
        </w:rPr>
      </w:pPr>
    </w:p>
    <w:p w14:paraId="34678B95" w14:textId="6A65C5D2" w:rsidR="00286439" w:rsidRDefault="00286439" w:rsidP="00916EA3">
      <w:pPr>
        <w:pStyle w:val="ListParagraph"/>
        <w:numPr>
          <w:ilvl w:val="0"/>
          <w:numId w:val="46"/>
        </w:numPr>
        <w:spacing w:after="0" w:line="240" w:lineRule="auto"/>
        <w:jc w:val="both"/>
        <w:rPr>
          <w:rFonts w:cstheme="minorHAnsi"/>
          <w:sz w:val="22"/>
          <w:szCs w:val="22"/>
        </w:rPr>
      </w:pPr>
      <w:r w:rsidRPr="00772A1E">
        <w:rPr>
          <w:rFonts w:cstheme="minorHAnsi"/>
          <w:sz w:val="22"/>
          <w:szCs w:val="22"/>
        </w:rPr>
        <w:t>Determine when the comprehensive overarching review should be held within the next three years and inform its scope:</w:t>
      </w:r>
    </w:p>
    <w:p w14:paraId="5D62F662" w14:textId="77777777" w:rsidR="009C5C19" w:rsidRPr="00772A1E" w:rsidRDefault="009C5C19" w:rsidP="009C5C19">
      <w:pPr>
        <w:pStyle w:val="ListParagraph"/>
        <w:spacing w:after="0" w:line="240" w:lineRule="auto"/>
        <w:jc w:val="both"/>
        <w:rPr>
          <w:rFonts w:cstheme="minorHAnsi"/>
          <w:sz w:val="22"/>
          <w:szCs w:val="22"/>
        </w:rPr>
      </w:pPr>
    </w:p>
    <w:p w14:paraId="0362960B" w14:textId="77777777" w:rsidR="00286439" w:rsidRPr="00772A1E" w:rsidRDefault="00286439" w:rsidP="00916EA3">
      <w:pPr>
        <w:pStyle w:val="ListParagraph"/>
        <w:numPr>
          <w:ilvl w:val="1"/>
          <w:numId w:val="46"/>
        </w:numPr>
        <w:spacing w:after="0" w:line="240" w:lineRule="auto"/>
        <w:jc w:val="both"/>
        <w:rPr>
          <w:rFonts w:cstheme="minorHAnsi"/>
          <w:sz w:val="22"/>
          <w:szCs w:val="22"/>
        </w:rPr>
      </w:pPr>
      <w:r w:rsidRPr="00772A1E">
        <w:rPr>
          <w:rFonts w:cstheme="minorHAnsi"/>
          <w:sz w:val="22"/>
          <w:szCs w:val="22"/>
        </w:rPr>
        <w:t xml:space="preserve">The review must ensure that the findings and recommendations of the Royal Commission contribute to the continuous improvement of the oversight system, by highlighting or raising flags about potential issues or shortcomings in oversight, based on </w:t>
      </w:r>
      <w:proofErr w:type="gramStart"/>
      <w:r w:rsidRPr="00772A1E">
        <w:rPr>
          <w:rFonts w:cstheme="minorHAnsi"/>
          <w:sz w:val="22"/>
          <w:szCs w:val="22"/>
        </w:rPr>
        <w:t>past experience</w:t>
      </w:r>
      <w:proofErr w:type="gramEnd"/>
      <w:r w:rsidRPr="00772A1E">
        <w:rPr>
          <w:rFonts w:cstheme="minorHAnsi"/>
          <w:sz w:val="22"/>
          <w:szCs w:val="22"/>
        </w:rPr>
        <w:t xml:space="preserve">.  </w:t>
      </w:r>
    </w:p>
    <w:p w14:paraId="7822DF56" w14:textId="385BDF40" w:rsidR="00286439" w:rsidRPr="00772A1E" w:rsidRDefault="00286439" w:rsidP="00916EA3">
      <w:pPr>
        <w:pStyle w:val="ListParagraph"/>
        <w:numPr>
          <w:ilvl w:val="1"/>
          <w:numId w:val="46"/>
        </w:numPr>
        <w:spacing w:after="0" w:line="240" w:lineRule="auto"/>
        <w:jc w:val="both"/>
        <w:rPr>
          <w:rFonts w:cstheme="minorHAnsi"/>
          <w:sz w:val="22"/>
          <w:szCs w:val="22"/>
        </w:rPr>
      </w:pPr>
      <w:r w:rsidRPr="00772A1E">
        <w:rPr>
          <w:rFonts w:cstheme="minorHAnsi"/>
          <w:sz w:val="22"/>
          <w:szCs w:val="22"/>
        </w:rPr>
        <w:t xml:space="preserve">To respect the experiences and mana of survivors, we strongly urge Government to commit to undertaking the review of the proposed legislative changes within six months of the Royal Commission providing </w:t>
      </w:r>
      <w:r w:rsidRPr="00772A1E">
        <w:rPr>
          <w:rFonts w:cstheme="minorHAnsi"/>
          <w:sz w:val="22"/>
          <w:szCs w:val="22"/>
        </w:rPr>
        <w:lastRenderedPageBreak/>
        <w:t xml:space="preserve">its final report and recommendations, with an explicit focus on exploring how the recommendations relate to, and may require, changes to the legislation. </w:t>
      </w:r>
    </w:p>
    <w:p w14:paraId="6CDEE10C" w14:textId="77777777" w:rsidR="00286439" w:rsidRPr="00772A1E" w:rsidRDefault="00286439" w:rsidP="00916EA3">
      <w:pPr>
        <w:pStyle w:val="ListParagraph"/>
        <w:numPr>
          <w:ilvl w:val="1"/>
          <w:numId w:val="46"/>
        </w:numPr>
        <w:spacing w:after="0" w:line="240" w:lineRule="auto"/>
        <w:jc w:val="both"/>
        <w:rPr>
          <w:rFonts w:cstheme="minorHAnsi"/>
          <w:sz w:val="22"/>
          <w:szCs w:val="22"/>
        </w:rPr>
      </w:pPr>
      <w:r w:rsidRPr="00772A1E">
        <w:rPr>
          <w:rFonts w:cstheme="minorHAnsi"/>
          <w:sz w:val="22"/>
          <w:szCs w:val="22"/>
        </w:rPr>
        <w:t xml:space="preserve">The scope of the review should include a focus on the role and functions of the Children’s Commissioner, in addition to oversight of OT. </w:t>
      </w:r>
    </w:p>
    <w:p w14:paraId="3D6C7E79" w14:textId="77777777" w:rsidR="00286439" w:rsidRPr="00772A1E" w:rsidRDefault="00286439" w:rsidP="00286439">
      <w:pPr>
        <w:ind w:left="360"/>
        <w:jc w:val="both"/>
        <w:rPr>
          <w:rFonts w:cstheme="minorHAnsi"/>
          <w:sz w:val="22"/>
          <w:szCs w:val="22"/>
        </w:rPr>
      </w:pPr>
    </w:p>
    <w:p w14:paraId="063CBE34" w14:textId="77777777" w:rsidR="00286439" w:rsidRPr="00772A1E" w:rsidRDefault="00286439" w:rsidP="00916EA3">
      <w:pPr>
        <w:pStyle w:val="ListParagraph"/>
        <w:numPr>
          <w:ilvl w:val="0"/>
          <w:numId w:val="47"/>
        </w:numPr>
        <w:spacing w:after="0" w:line="240" w:lineRule="auto"/>
        <w:jc w:val="both"/>
        <w:rPr>
          <w:rFonts w:cstheme="minorHAnsi"/>
          <w:sz w:val="22"/>
          <w:szCs w:val="22"/>
        </w:rPr>
      </w:pPr>
      <w:r w:rsidRPr="00772A1E">
        <w:rPr>
          <w:rFonts w:cstheme="minorHAnsi"/>
          <w:sz w:val="22"/>
          <w:szCs w:val="22"/>
        </w:rPr>
        <w:t xml:space="preserve">Align the oversight system with developments within OT, so there is a move to support families and </w:t>
      </w:r>
      <w:proofErr w:type="spellStart"/>
      <w:r w:rsidRPr="00772A1E">
        <w:rPr>
          <w:rFonts w:cstheme="minorHAnsi"/>
          <w:sz w:val="22"/>
          <w:szCs w:val="22"/>
        </w:rPr>
        <w:t>whānau</w:t>
      </w:r>
      <w:proofErr w:type="spellEnd"/>
      <w:r w:rsidRPr="00772A1E">
        <w:rPr>
          <w:rFonts w:cstheme="minorHAnsi"/>
          <w:sz w:val="22"/>
          <w:szCs w:val="22"/>
        </w:rPr>
        <w:t xml:space="preserve"> and enable children to be well cared for and kept safe within their own family, </w:t>
      </w:r>
      <w:proofErr w:type="spellStart"/>
      <w:r w:rsidRPr="00772A1E">
        <w:rPr>
          <w:rFonts w:cstheme="minorHAnsi"/>
          <w:sz w:val="22"/>
          <w:szCs w:val="22"/>
        </w:rPr>
        <w:t>whānau</w:t>
      </w:r>
      <w:proofErr w:type="spellEnd"/>
      <w:r w:rsidRPr="00772A1E">
        <w:rPr>
          <w:rFonts w:cstheme="minorHAnsi"/>
          <w:sz w:val="22"/>
          <w:szCs w:val="22"/>
        </w:rPr>
        <w:t xml:space="preserve">, </w:t>
      </w:r>
      <w:proofErr w:type="spellStart"/>
      <w:r w:rsidRPr="00772A1E">
        <w:rPr>
          <w:rFonts w:cstheme="minorHAnsi"/>
          <w:sz w:val="22"/>
          <w:szCs w:val="22"/>
        </w:rPr>
        <w:t>hapū</w:t>
      </w:r>
      <w:proofErr w:type="spellEnd"/>
      <w:r w:rsidRPr="00772A1E">
        <w:rPr>
          <w:rFonts w:cstheme="minorHAnsi"/>
          <w:sz w:val="22"/>
          <w:szCs w:val="22"/>
        </w:rPr>
        <w:t xml:space="preserve"> and iwi.</w:t>
      </w:r>
    </w:p>
    <w:p w14:paraId="635986FD" w14:textId="77777777" w:rsidR="00286439" w:rsidRDefault="00286439" w:rsidP="00286439">
      <w:pPr>
        <w:pStyle w:val="ListParagraph"/>
        <w:jc w:val="both"/>
        <w:rPr>
          <w:rFonts w:cstheme="minorHAnsi"/>
        </w:rPr>
      </w:pPr>
    </w:p>
    <w:p w14:paraId="7C9C774A" w14:textId="77777777" w:rsidR="00286439" w:rsidRPr="00772A1E" w:rsidRDefault="00286439" w:rsidP="00772A1E">
      <w:pPr>
        <w:pStyle w:val="Heading2"/>
      </w:pPr>
      <w:bookmarkStart w:id="92" w:name="_Toc111407701"/>
      <w:bookmarkStart w:id="93" w:name="_Toc111485509"/>
      <w:r w:rsidRPr="00772A1E">
        <w:t xml:space="preserve">Wider Context – Developments within </w:t>
      </w:r>
      <w:proofErr w:type="spellStart"/>
      <w:r w:rsidRPr="00772A1E">
        <w:t>Oranga</w:t>
      </w:r>
      <w:proofErr w:type="spellEnd"/>
      <w:r w:rsidRPr="00772A1E">
        <w:t xml:space="preserve"> Tamariki</w:t>
      </w:r>
      <w:bookmarkEnd w:id="92"/>
      <w:bookmarkEnd w:id="93"/>
      <w:r w:rsidRPr="00772A1E">
        <w:t xml:space="preserve"> </w:t>
      </w:r>
    </w:p>
    <w:p w14:paraId="19995ADB" w14:textId="77777777" w:rsidR="00286439" w:rsidRDefault="00286439" w:rsidP="00286439">
      <w:pPr>
        <w:pStyle w:val="NoSpacing"/>
        <w:rPr>
          <w:rFonts w:cstheme="minorHAnsi"/>
          <w:sz w:val="24"/>
          <w:szCs w:val="24"/>
        </w:rPr>
      </w:pPr>
    </w:p>
    <w:p w14:paraId="2B3F3889" w14:textId="77777777" w:rsidR="00286439" w:rsidRPr="00901394" w:rsidRDefault="00286439" w:rsidP="00286439">
      <w:pPr>
        <w:pStyle w:val="NoSpacing"/>
        <w:rPr>
          <w:rFonts w:cstheme="minorHAnsi"/>
          <w:sz w:val="22"/>
          <w:szCs w:val="22"/>
        </w:rPr>
      </w:pPr>
      <w:r w:rsidRPr="00901394">
        <w:rPr>
          <w:rFonts w:cstheme="minorHAnsi"/>
          <w:sz w:val="22"/>
          <w:szCs w:val="22"/>
        </w:rPr>
        <w:t xml:space="preserve">We note the information in the Government’s report regarding OT. While largely accurate, this Report does not, however, provide full details on developments in OT over the reporting period which have had significant children’s rights implications. </w:t>
      </w:r>
    </w:p>
    <w:p w14:paraId="3368A35B" w14:textId="77777777" w:rsidR="00286439" w:rsidRDefault="00286439" w:rsidP="00286439">
      <w:pPr>
        <w:pStyle w:val="NoSpacing"/>
        <w:rPr>
          <w:rFonts w:cstheme="minorHAnsi"/>
          <w:sz w:val="24"/>
          <w:szCs w:val="24"/>
        </w:rPr>
      </w:pPr>
    </w:p>
    <w:p w14:paraId="504FADC1" w14:textId="77777777" w:rsidR="00286439" w:rsidRPr="00772A1E" w:rsidRDefault="00286439" w:rsidP="00772A1E">
      <w:pPr>
        <w:pStyle w:val="Heading3"/>
      </w:pPr>
      <w:r w:rsidRPr="00772A1E">
        <w:t xml:space="preserve">Which Children are Covered by </w:t>
      </w:r>
      <w:proofErr w:type="spellStart"/>
      <w:r w:rsidRPr="00772A1E">
        <w:t>Oranga</w:t>
      </w:r>
      <w:proofErr w:type="spellEnd"/>
      <w:r w:rsidRPr="00772A1E">
        <w:t xml:space="preserve"> Tamariki?</w:t>
      </w:r>
    </w:p>
    <w:p w14:paraId="1BC99AD5" w14:textId="77777777" w:rsidR="00286439" w:rsidRDefault="00286439" w:rsidP="00286439">
      <w:pPr>
        <w:pStyle w:val="NoSpacing"/>
        <w:rPr>
          <w:rFonts w:cstheme="minorHAnsi"/>
          <w:sz w:val="24"/>
          <w:szCs w:val="24"/>
        </w:rPr>
      </w:pPr>
    </w:p>
    <w:p w14:paraId="2045AF6D" w14:textId="77777777" w:rsidR="00286439" w:rsidRPr="00901394" w:rsidRDefault="00286439" w:rsidP="00286439">
      <w:pPr>
        <w:pStyle w:val="NoSpacing"/>
        <w:rPr>
          <w:rFonts w:cstheme="minorHAnsi"/>
          <w:sz w:val="22"/>
          <w:szCs w:val="22"/>
        </w:rPr>
      </w:pPr>
      <w:r w:rsidRPr="00901394">
        <w:rPr>
          <w:rFonts w:cstheme="minorHAnsi"/>
          <w:sz w:val="22"/>
          <w:szCs w:val="22"/>
        </w:rPr>
        <w:t xml:space="preserve">OT is primarily concerned with the statutory care, </w:t>
      </w:r>
      <w:proofErr w:type="gramStart"/>
      <w:r w:rsidRPr="00901394">
        <w:rPr>
          <w:rFonts w:cstheme="minorHAnsi"/>
          <w:sz w:val="22"/>
          <w:szCs w:val="22"/>
        </w:rPr>
        <w:t>protection</w:t>
      </w:r>
      <w:proofErr w:type="gramEnd"/>
      <w:r w:rsidRPr="00901394">
        <w:rPr>
          <w:rFonts w:cstheme="minorHAnsi"/>
          <w:sz w:val="22"/>
          <w:szCs w:val="22"/>
        </w:rPr>
        <w:t xml:space="preserve"> and youth justice services. It does not cover all children, despite its name. </w:t>
      </w:r>
    </w:p>
    <w:p w14:paraId="2C67BE78" w14:textId="77777777" w:rsidR="00286439" w:rsidRPr="00901394" w:rsidRDefault="00286439" w:rsidP="00286439">
      <w:pPr>
        <w:pStyle w:val="NoSpacing"/>
        <w:rPr>
          <w:rFonts w:cstheme="minorHAnsi"/>
          <w:sz w:val="22"/>
          <w:szCs w:val="22"/>
        </w:rPr>
      </w:pPr>
    </w:p>
    <w:p w14:paraId="2302BB37" w14:textId="358AB3B4" w:rsidR="00286439" w:rsidRPr="00901394" w:rsidRDefault="00286439" w:rsidP="00286439">
      <w:pPr>
        <w:pStyle w:val="NoSpacing"/>
        <w:rPr>
          <w:rFonts w:cstheme="minorHAnsi"/>
          <w:sz w:val="22"/>
          <w:szCs w:val="22"/>
        </w:rPr>
      </w:pPr>
      <w:r w:rsidRPr="00901394">
        <w:rPr>
          <w:rFonts w:cstheme="minorHAnsi"/>
          <w:sz w:val="22"/>
          <w:szCs w:val="22"/>
        </w:rPr>
        <w:t>Definition of the scope of OT’s responsibilities has fluctuated. The 2018 Beatie report noted that the ‘</w:t>
      </w:r>
      <w:proofErr w:type="spellStart"/>
      <w:r w:rsidRPr="00901394">
        <w:rPr>
          <w:rFonts w:cstheme="minorHAnsi"/>
          <w:sz w:val="22"/>
          <w:szCs w:val="22"/>
        </w:rPr>
        <w:t>Oranga</w:t>
      </w:r>
      <w:proofErr w:type="spellEnd"/>
      <w:r w:rsidRPr="00901394">
        <w:rPr>
          <w:rFonts w:cstheme="minorHAnsi"/>
          <w:sz w:val="22"/>
          <w:szCs w:val="22"/>
        </w:rPr>
        <w:t xml:space="preserve"> Tamariki system’ also includes the role of other agencies such as the Courts, NZ Police, Corrections and those that provide services such as Health and Education.</w:t>
      </w:r>
      <w:r w:rsidRPr="00901394">
        <w:rPr>
          <w:rStyle w:val="FootnoteReference"/>
          <w:rFonts w:cstheme="minorHAnsi"/>
          <w:sz w:val="22"/>
          <w:szCs w:val="22"/>
        </w:rPr>
        <w:footnoteReference w:id="492"/>
      </w:r>
      <w:r w:rsidRPr="00901394">
        <w:rPr>
          <w:rFonts w:cstheme="minorHAnsi"/>
          <w:sz w:val="22"/>
          <w:szCs w:val="22"/>
        </w:rPr>
        <w:t xml:space="preserve"> </w:t>
      </w:r>
      <w:r w:rsidRPr="00901394">
        <w:rPr>
          <w:rStyle w:val="FootnoteReference"/>
          <w:rFonts w:cstheme="minorHAnsi"/>
          <w:sz w:val="22"/>
          <w:szCs w:val="22"/>
        </w:rPr>
        <w:footnoteReference w:id="493"/>
      </w:r>
      <w:r w:rsidRPr="00901394">
        <w:rPr>
          <w:rFonts w:cstheme="minorHAnsi"/>
          <w:sz w:val="22"/>
          <w:szCs w:val="22"/>
        </w:rPr>
        <w:t xml:space="preserve"> More recently, through its definition of the monitoring role for the ICM, Cabinet has agreed, for the purposes of oversight, that the OT system does not extend to services delivered by agencies to those children and young people with early risk factors for future involvement in the care, protection, or youth justice systems.</w:t>
      </w:r>
      <w:r w:rsidRPr="00901394">
        <w:rPr>
          <w:rStyle w:val="FootnoteReference"/>
          <w:rFonts w:cstheme="minorHAnsi"/>
          <w:sz w:val="22"/>
          <w:szCs w:val="22"/>
        </w:rPr>
        <w:footnoteReference w:id="494"/>
      </w:r>
      <w:r w:rsidRPr="00901394">
        <w:rPr>
          <w:rFonts w:cstheme="minorHAnsi"/>
          <w:sz w:val="22"/>
          <w:szCs w:val="22"/>
        </w:rPr>
        <w:t xml:space="preserve">The </w:t>
      </w:r>
      <w:proofErr w:type="spellStart"/>
      <w:r w:rsidRPr="00901394">
        <w:rPr>
          <w:rFonts w:cstheme="minorHAnsi"/>
          <w:sz w:val="22"/>
          <w:szCs w:val="22"/>
        </w:rPr>
        <w:t>Oranga</w:t>
      </w:r>
      <w:proofErr w:type="spellEnd"/>
      <w:r w:rsidRPr="00901394">
        <w:rPr>
          <w:rFonts w:cstheme="minorHAnsi"/>
          <w:sz w:val="22"/>
          <w:szCs w:val="22"/>
        </w:rPr>
        <w:t xml:space="preserve"> Tamariki Action Plan published in 2021,</w:t>
      </w:r>
      <w:r w:rsidRPr="00901394">
        <w:rPr>
          <w:rStyle w:val="FootnoteReference"/>
          <w:rFonts w:cstheme="minorHAnsi"/>
          <w:sz w:val="22"/>
          <w:szCs w:val="22"/>
        </w:rPr>
        <w:footnoteReference w:id="495"/>
      </w:r>
      <w:r w:rsidRPr="00901394">
        <w:rPr>
          <w:rFonts w:cstheme="minorHAnsi"/>
          <w:sz w:val="22"/>
          <w:szCs w:val="22"/>
        </w:rPr>
        <w:t xml:space="preserve"> a legislative requirement under the Children’s Act 2014,</w:t>
      </w:r>
      <w:r w:rsidRPr="00901394">
        <w:rPr>
          <w:rStyle w:val="FootnoteReference"/>
          <w:rFonts w:cstheme="minorHAnsi"/>
          <w:sz w:val="22"/>
          <w:szCs w:val="22"/>
        </w:rPr>
        <w:footnoteReference w:id="496"/>
      </w:r>
      <w:r w:rsidRPr="00901394">
        <w:rPr>
          <w:rFonts w:cstheme="minorHAnsi"/>
          <w:sz w:val="22"/>
          <w:szCs w:val="22"/>
        </w:rPr>
        <w:t xml:space="preserve"> is described by Government as “</w:t>
      </w:r>
      <w:r w:rsidRPr="00901394">
        <w:rPr>
          <w:rFonts w:cstheme="minorHAnsi"/>
          <w:sz w:val="22"/>
          <w:szCs w:val="22"/>
          <w:lang w:val="en-NZ"/>
        </w:rPr>
        <w:t xml:space="preserve">The </w:t>
      </w:r>
      <w:r w:rsidRPr="00901394">
        <w:rPr>
          <w:rFonts w:cstheme="minorHAnsi"/>
          <w:sz w:val="22"/>
          <w:szCs w:val="22"/>
          <w:lang w:val="en-NZ"/>
        </w:rPr>
        <w:lastRenderedPageBreak/>
        <w:t xml:space="preserve">Children’s Agencies’ joint plan to prevent harm, and promote wellbeing, for the children and young people in the populations of interest to </w:t>
      </w:r>
      <w:proofErr w:type="spellStart"/>
      <w:r w:rsidRPr="00901394">
        <w:rPr>
          <w:rFonts w:cstheme="minorHAnsi"/>
          <w:sz w:val="22"/>
          <w:szCs w:val="22"/>
          <w:lang w:val="en-NZ"/>
        </w:rPr>
        <w:t>Oranga</w:t>
      </w:r>
      <w:proofErr w:type="spellEnd"/>
      <w:r w:rsidRPr="00901394">
        <w:rPr>
          <w:rFonts w:cstheme="minorHAnsi"/>
          <w:sz w:val="22"/>
          <w:szCs w:val="22"/>
          <w:lang w:val="en-NZ"/>
        </w:rPr>
        <w:t xml:space="preserve"> Tamariki.”</w:t>
      </w:r>
      <w:r w:rsidRPr="00901394">
        <w:rPr>
          <w:rStyle w:val="FootnoteReference"/>
          <w:rFonts w:cstheme="minorHAnsi"/>
          <w:sz w:val="22"/>
          <w:szCs w:val="22"/>
          <w:lang w:val="en-NZ"/>
        </w:rPr>
        <w:footnoteReference w:id="497"/>
      </w:r>
    </w:p>
    <w:p w14:paraId="3AD4FA9B" w14:textId="240A4187" w:rsidR="00286439" w:rsidRPr="00901394" w:rsidRDefault="00286439" w:rsidP="00286439">
      <w:pPr>
        <w:pStyle w:val="NormalWeb"/>
        <w:rPr>
          <w:rFonts w:asciiTheme="minorHAnsi" w:hAnsiTheme="minorHAnsi" w:cstheme="minorHAnsi"/>
          <w:sz w:val="22"/>
          <w:szCs w:val="22"/>
        </w:rPr>
      </w:pPr>
      <w:r w:rsidRPr="00901394">
        <w:rPr>
          <w:rFonts w:asciiTheme="minorHAnsi" w:hAnsiTheme="minorHAnsi" w:cstheme="minorHAnsi"/>
          <w:sz w:val="22"/>
          <w:szCs w:val="22"/>
        </w:rPr>
        <w:t>It is unclear where the threshold for a child’s inclusion within the OT system lies (that is, which children fall within what the Children’s Act 2014 describes as OT’s “core populations of interest.”)</w:t>
      </w:r>
      <w:r w:rsidRPr="00901394">
        <w:rPr>
          <w:rStyle w:val="FootnoteReference"/>
          <w:rFonts w:asciiTheme="minorHAnsi" w:eastAsiaTheme="majorEastAsia" w:hAnsiTheme="minorHAnsi" w:cstheme="minorHAnsi"/>
          <w:sz w:val="22"/>
          <w:szCs w:val="22"/>
        </w:rPr>
        <w:footnoteReference w:id="498"/>
      </w:r>
      <w:r w:rsidRPr="00901394">
        <w:rPr>
          <w:rFonts w:asciiTheme="minorHAnsi" w:hAnsiTheme="minorHAnsi" w:cstheme="minorHAnsi"/>
          <w:sz w:val="22"/>
          <w:szCs w:val="22"/>
        </w:rPr>
        <w:t xml:space="preserve">  The Action Plan identifies priority populations as those children and young people who are at risk of being involved with, are already involved with, or have been involved with, the care and protection and youth justice systems.</w:t>
      </w:r>
      <w:r w:rsidRPr="00901394">
        <w:rPr>
          <w:rStyle w:val="FootnoteReference"/>
          <w:rFonts w:asciiTheme="minorHAnsi" w:eastAsiaTheme="majorEastAsia" w:hAnsiTheme="minorHAnsi" w:cstheme="minorHAnsi"/>
          <w:sz w:val="22"/>
          <w:szCs w:val="22"/>
        </w:rPr>
        <w:footnoteReference w:id="499"/>
      </w:r>
      <w:r w:rsidRPr="00901394">
        <w:rPr>
          <w:rFonts w:asciiTheme="minorHAnsi" w:hAnsiTheme="minorHAnsi" w:cstheme="minorHAnsi"/>
          <w:sz w:val="22"/>
          <w:szCs w:val="22"/>
        </w:rPr>
        <w:t xml:space="preserve"> As discussed in </w:t>
      </w:r>
      <w:r w:rsidR="006052FF" w:rsidRPr="00507650">
        <w:rPr>
          <w:rFonts w:asciiTheme="minorHAnsi" w:hAnsiTheme="minorHAnsi" w:cstheme="minorHAnsi"/>
          <w:sz w:val="22"/>
          <w:szCs w:val="22"/>
        </w:rPr>
        <w:t xml:space="preserve">footnote </w:t>
      </w:r>
      <w:r w:rsidR="00507650">
        <w:rPr>
          <w:rFonts w:asciiTheme="minorHAnsi" w:hAnsiTheme="minorHAnsi" w:cstheme="minorHAnsi"/>
          <w:sz w:val="22"/>
          <w:szCs w:val="22"/>
        </w:rPr>
        <w:t>89</w:t>
      </w:r>
      <w:r w:rsidRPr="00901394">
        <w:rPr>
          <w:rFonts w:asciiTheme="minorHAnsi" w:hAnsiTheme="minorHAnsi" w:cstheme="minorHAnsi"/>
          <w:sz w:val="22"/>
          <w:szCs w:val="22"/>
        </w:rPr>
        <w:t xml:space="preserve"> of </w:t>
      </w:r>
      <w:r w:rsidR="00507650">
        <w:rPr>
          <w:rFonts w:asciiTheme="minorHAnsi" w:hAnsiTheme="minorHAnsi" w:cstheme="minorHAnsi"/>
          <w:sz w:val="22"/>
          <w:szCs w:val="22"/>
        </w:rPr>
        <w:t xml:space="preserve">the body of </w:t>
      </w:r>
      <w:r w:rsidRPr="00901394">
        <w:rPr>
          <w:rFonts w:asciiTheme="minorHAnsi" w:hAnsiTheme="minorHAnsi" w:cstheme="minorHAnsi"/>
          <w:sz w:val="22"/>
          <w:szCs w:val="22"/>
        </w:rPr>
        <w:t>this Report, the scope of the OT system has potential implications for the domestic legal protection of children’s CRC rights.</w:t>
      </w:r>
    </w:p>
    <w:p w14:paraId="124DFEF7" w14:textId="77777777" w:rsidR="00901394" w:rsidRDefault="00901394" w:rsidP="00772A1E">
      <w:pPr>
        <w:pStyle w:val="Heading3"/>
      </w:pPr>
    </w:p>
    <w:p w14:paraId="3ADFCF17" w14:textId="573473DE" w:rsidR="00772A1E" w:rsidRDefault="00772A1E" w:rsidP="00772A1E">
      <w:pPr>
        <w:pStyle w:val="Heading3"/>
      </w:pPr>
      <w:r>
        <w:t xml:space="preserve">Establishment of </w:t>
      </w:r>
      <w:proofErr w:type="spellStart"/>
      <w:r>
        <w:t>Oranga</w:t>
      </w:r>
      <w:proofErr w:type="spellEnd"/>
      <w:r>
        <w:t xml:space="preserve"> Tamariki and Public Concern about Baby Removals</w:t>
      </w:r>
    </w:p>
    <w:p w14:paraId="46F88594" w14:textId="77777777" w:rsidR="00286439" w:rsidRDefault="00286439" w:rsidP="00286439">
      <w:pPr>
        <w:pStyle w:val="NoSpacing"/>
        <w:rPr>
          <w:rFonts w:cstheme="minorHAnsi"/>
          <w:sz w:val="24"/>
          <w:szCs w:val="24"/>
        </w:rPr>
      </w:pPr>
    </w:p>
    <w:p w14:paraId="47295CA7" w14:textId="77777777" w:rsidR="00286439" w:rsidRPr="00901394" w:rsidRDefault="00286439" w:rsidP="00286439">
      <w:pPr>
        <w:pStyle w:val="NoSpacing"/>
        <w:rPr>
          <w:rFonts w:cstheme="minorHAnsi"/>
          <w:sz w:val="22"/>
          <w:szCs w:val="22"/>
        </w:rPr>
      </w:pPr>
      <w:r w:rsidRPr="00901394">
        <w:rPr>
          <w:rFonts w:cstheme="minorHAnsi"/>
          <w:sz w:val="22"/>
          <w:szCs w:val="22"/>
        </w:rPr>
        <w:t xml:space="preserve">OT was established in 2017 following consideration of the Expert Advisory Panel’s final report </w:t>
      </w:r>
      <w:r w:rsidRPr="00901394">
        <w:rPr>
          <w:rFonts w:cstheme="minorHAnsi"/>
          <w:i/>
          <w:iCs/>
          <w:sz w:val="22"/>
          <w:szCs w:val="22"/>
        </w:rPr>
        <w:t>Investing in New Zealand’s Children and Families</w:t>
      </w:r>
      <w:r w:rsidRPr="00901394">
        <w:rPr>
          <w:rFonts w:cstheme="minorHAnsi"/>
          <w:sz w:val="22"/>
          <w:szCs w:val="22"/>
        </w:rPr>
        <w:t>.</w:t>
      </w:r>
      <w:r w:rsidRPr="00901394">
        <w:rPr>
          <w:rStyle w:val="FootnoteReference"/>
          <w:rFonts w:cstheme="minorHAnsi"/>
          <w:sz w:val="22"/>
          <w:szCs w:val="22"/>
        </w:rPr>
        <w:footnoteReference w:id="500"/>
      </w:r>
      <w:r w:rsidRPr="00901394">
        <w:rPr>
          <w:rFonts w:cstheme="minorHAnsi"/>
          <w:sz w:val="22"/>
          <w:szCs w:val="22"/>
        </w:rPr>
        <w:t xml:space="preserve"> Founded on a social investment approach, partly due to concern about managing the State’s future fiscal liability,</w:t>
      </w:r>
      <w:r w:rsidRPr="00901394">
        <w:rPr>
          <w:rStyle w:val="FootnoteReference"/>
          <w:rFonts w:cstheme="minorHAnsi"/>
          <w:sz w:val="22"/>
          <w:szCs w:val="22"/>
        </w:rPr>
        <w:footnoteReference w:id="501"/>
      </w:r>
      <w:r w:rsidRPr="00901394">
        <w:rPr>
          <w:rFonts w:cstheme="minorHAnsi"/>
          <w:sz w:val="22"/>
          <w:szCs w:val="22"/>
        </w:rPr>
        <w:t xml:space="preserve"> the aim was to make the legislation and operation of the OT system more “child-centred” and to deliver better long-term outcomes for children.</w:t>
      </w:r>
      <w:r w:rsidRPr="00901394">
        <w:rPr>
          <w:rStyle w:val="FootnoteReference"/>
          <w:rFonts w:cstheme="minorHAnsi"/>
          <w:sz w:val="22"/>
          <w:szCs w:val="22"/>
        </w:rPr>
        <w:footnoteReference w:id="502"/>
      </w:r>
      <w:r w:rsidRPr="00901394">
        <w:rPr>
          <w:rFonts w:cstheme="minorHAnsi"/>
          <w:sz w:val="22"/>
          <w:szCs w:val="22"/>
        </w:rPr>
        <w:t xml:space="preserve"> </w:t>
      </w:r>
    </w:p>
    <w:p w14:paraId="18D43D00" w14:textId="77777777" w:rsidR="00286439" w:rsidRPr="00901394" w:rsidRDefault="00286439" w:rsidP="00286439">
      <w:pPr>
        <w:pStyle w:val="NoSpacing"/>
        <w:rPr>
          <w:rFonts w:cstheme="minorHAnsi"/>
          <w:sz w:val="22"/>
          <w:szCs w:val="22"/>
        </w:rPr>
      </w:pPr>
    </w:p>
    <w:p w14:paraId="2134E3AC" w14:textId="77777777" w:rsidR="00286439" w:rsidRPr="00901394" w:rsidRDefault="00286439" w:rsidP="00286439">
      <w:pPr>
        <w:pStyle w:val="NoSpacing"/>
        <w:rPr>
          <w:rFonts w:cstheme="minorHAnsi"/>
          <w:sz w:val="22"/>
          <w:szCs w:val="22"/>
        </w:rPr>
      </w:pPr>
      <w:r w:rsidRPr="00901394">
        <w:rPr>
          <w:rFonts w:cstheme="minorHAnsi"/>
          <w:sz w:val="22"/>
          <w:szCs w:val="22"/>
        </w:rPr>
        <w:t>In practice, the legislative amendments affected the grounds for removing a child into care and the process for doing so; they signalled a pendulum shift from family-led decision-making to professional decision-making about what was in the best interests of the child, not only in terms of their immediate safety and welfare, but also their long-term outcomes. Increased emphasis was placed on the participation and views of the child within the Act and a new principle was introduced requiring decision-makers to address the child’s need for a “safe, stable, and loving” home.</w:t>
      </w:r>
      <w:r w:rsidRPr="00901394">
        <w:rPr>
          <w:rStyle w:val="FootnoteReference"/>
          <w:rFonts w:cstheme="minorHAnsi"/>
          <w:sz w:val="22"/>
          <w:szCs w:val="22"/>
        </w:rPr>
        <w:footnoteReference w:id="503"/>
      </w:r>
      <w:r w:rsidRPr="00901394">
        <w:rPr>
          <w:rFonts w:cstheme="minorHAnsi"/>
          <w:sz w:val="22"/>
          <w:szCs w:val="22"/>
        </w:rPr>
        <w:t xml:space="preserve"> Simultaneously, the role of families, </w:t>
      </w:r>
      <w:proofErr w:type="spellStart"/>
      <w:r w:rsidRPr="00901394">
        <w:rPr>
          <w:rFonts w:cstheme="minorHAnsi"/>
          <w:color w:val="000000"/>
          <w:sz w:val="22"/>
          <w:szCs w:val="22"/>
        </w:rPr>
        <w:t>whānau</w:t>
      </w:r>
      <w:proofErr w:type="spellEnd"/>
      <w:r w:rsidRPr="00901394">
        <w:rPr>
          <w:rFonts w:cstheme="minorHAnsi"/>
          <w:sz w:val="22"/>
          <w:szCs w:val="22"/>
        </w:rPr>
        <w:t xml:space="preserve">, </w:t>
      </w:r>
      <w:proofErr w:type="spellStart"/>
      <w:r w:rsidRPr="00901394">
        <w:rPr>
          <w:rFonts w:cstheme="minorHAnsi"/>
          <w:color w:val="000000"/>
          <w:sz w:val="22"/>
          <w:szCs w:val="22"/>
        </w:rPr>
        <w:t>hapū</w:t>
      </w:r>
      <w:proofErr w:type="spellEnd"/>
      <w:r w:rsidRPr="00901394">
        <w:rPr>
          <w:rFonts w:cstheme="minorHAnsi"/>
          <w:sz w:val="22"/>
          <w:szCs w:val="22"/>
        </w:rPr>
        <w:t xml:space="preserve"> and iwi in decision-making about a child was diminished under the legislation. The </w:t>
      </w:r>
      <w:r w:rsidRPr="00901394">
        <w:rPr>
          <w:rFonts w:cstheme="minorHAnsi"/>
          <w:color w:val="000000"/>
          <w:sz w:val="22"/>
          <w:szCs w:val="22"/>
          <w:shd w:val="clear" w:color="auto" w:fill="FFFFFF"/>
        </w:rPr>
        <w:t xml:space="preserve">first principle listed in the previous legislation, to be applied in exercise of powers under that legislation, was that the primary role in caring for and protecting a child or young person lies with the child or young person’s family, </w:t>
      </w:r>
      <w:proofErr w:type="spellStart"/>
      <w:r w:rsidRPr="00901394">
        <w:rPr>
          <w:rFonts w:cstheme="minorHAnsi"/>
          <w:color w:val="000000"/>
          <w:sz w:val="22"/>
          <w:szCs w:val="22"/>
        </w:rPr>
        <w:t>whānau</w:t>
      </w:r>
      <w:proofErr w:type="spellEnd"/>
      <w:r w:rsidRPr="00901394">
        <w:rPr>
          <w:rFonts w:cstheme="minorHAnsi"/>
          <w:sz w:val="22"/>
          <w:szCs w:val="22"/>
        </w:rPr>
        <w:t xml:space="preserve">, </w:t>
      </w:r>
      <w:proofErr w:type="spellStart"/>
      <w:r w:rsidRPr="00901394">
        <w:rPr>
          <w:rFonts w:cstheme="minorHAnsi"/>
          <w:color w:val="000000"/>
          <w:sz w:val="22"/>
          <w:szCs w:val="22"/>
        </w:rPr>
        <w:t>hapū</w:t>
      </w:r>
      <w:proofErr w:type="spellEnd"/>
      <w:r w:rsidRPr="00901394">
        <w:rPr>
          <w:rFonts w:cstheme="minorHAnsi"/>
          <w:sz w:val="22"/>
          <w:szCs w:val="22"/>
        </w:rPr>
        <w:t xml:space="preserve"> and iwi</w:t>
      </w:r>
      <w:r w:rsidRPr="00901394">
        <w:rPr>
          <w:rFonts w:cstheme="minorHAnsi"/>
          <w:color w:val="000000"/>
          <w:sz w:val="22"/>
          <w:szCs w:val="22"/>
          <w:shd w:val="clear" w:color="auto" w:fill="FFFFFF"/>
        </w:rPr>
        <w:t>, and family group.</w:t>
      </w:r>
      <w:r w:rsidRPr="00901394">
        <w:rPr>
          <w:rStyle w:val="FootnoteReference"/>
          <w:rFonts w:cstheme="minorHAnsi"/>
          <w:color w:val="000000"/>
          <w:sz w:val="22"/>
          <w:szCs w:val="22"/>
          <w:shd w:val="clear" w:color="auto" w:fill="FFFFFF"/>
        </w:rPr>
        <w:footnoteReference w:id="504"/>
      </w:r>
      <w:r w:rsidRPr="00901394">
        <w:rPr>
          <w:rFonts w:cstheme="minorHAnsi"/>
          <w:color w:val="000000"/>
          <w:sz w:val="22"/>
          <w:szCs w:val="22"/>
          <w:shd w:val="clear" w:color="auto" w:fill="FFFFFF"/>
        </w:rPr>
        <w:t xml:space="preserve"> Taken together with the provisions establishing the Family Group Conference (FGC) as the primary </w:t>
      </w:r>
      <w:r w:rsidRPr="00901394">
        <w:rPr>
          <w:rFonts w:cstheme="minorHAnsi"/>
          <w:color w:val="000000"/>
          <w:sz w:val="22"/>
          <w:szCs w:val="22"/>
          <w:shd w:val="clear" w:color="auto" w:fill="FFFFFF"/>
        </w:rPr>
        <w:lastRenderedPageBreak/>
        <w:t xml:space="preserve">decision-making tool under the Act, the previous legislation envisaged government support for </w:t>
      </w:r>
      <w:proofErr w:type="spellStart"/>
      <w:r w:rsidRPr="00901394">
        <w:rPr>
          <w:rFonts w:cstheme="minorHAnsi"/>
          <w:color w:val="000000"/>
          <w:sz w:val="22"/>
          <w:szCs w:val="22"/>
        </w:rPr>
        <w:t>whānau</w:t>
      </w:r>
      <w:proofErr w:type="spellEnd"/>
      <w:r w:rsidRPr="00901394">
        <w:rPr>
          <w:rFonts w:cstheme="minorHAnsi"/>
          <w:sz w:val="22"/>
          <w:szCs w:val="22"/>
        </w:rPr>
        <w:t xml:space="preserve">, </w:t>
      </w:r>
      <w:proofErr w:type="spellStart"/>
      <w:r w:rsidRPr="00901394">
        <w:rPr>
          <w:rFonts w:cstheme="minorHAnsi"/>
          <w:color w:val="000000"/>
          <w:sz w:val="22"/>
          <w:szCs w:val="22"/>
        </w:rPr>
        <w:t>hapū</w:t>
      </w:r>
      <w:proofErr w:type="spellEnd"/>
      <w:r w:rsidRPr="00901394">
        <w:rPr>
          <w:rFonts w:cstheme="minorHAnsi"/>
          <w:sz w:val="22"/>
          <w:szCs w:val="22"/>
        </w:rPr>
        <w:t xml:space="preserve"> and iwi led decision-making about what was in the best interests of their </w:t>
      </w:r>
      <w:proofErr w:type="spellStart"/>
      <w:r w:rsidRPr="00901394">
        <w:rPr>
          <w:rFonts w:cstheme="minorHAnsi"/>
          <w:sz w:val="22"/>
          <w:szCs w:val="22"/>
        </w:rPr>
        <w:t>tamariki</w:t>
      </w:r>
      <w:proofErr w:type="spellEnd"/>
      <w:r w:rsidRPr="00901394">
        <w:rPr>
          <w:rFonts w:cstheme="minorHAnsi"/>
          <w:sz w:val="22"/>
          <w:szCs w:val="22"/>
        </w:rPr>
        <w:t>.</w:t>
      </w:r>
      <w:r w:rsidRPr="00901394">
        <w:rPr>
          <w:rStyle w:val="FootnoteReference"/>
          <w:rFonts w:cstheme="minorHAnsi"/>
          <w:sz w:val="22"/>
          <w:szCs w:val="22"/>
        </w:rPr>
        <w:footnoteReference w:id="505"/>
      </w:r>
      <w:r w:rsidRPr="00901394">
        <w:rPr>
          <w:rFonts w:cstheme="minorHAnsi"/>
          <w:sz w:val="22"/>
          <w:szCs w:val="22"/>
        </w:rPr>
        <w:t xml:space="preserve"> </w:t>
      </w:r>
      <w:r w:rsidRPr="00901394">
        <w:rPr>
          <w:rFonts w:cstheme="minorHAnsi"/>
          <w:color w:val="000000"/>
          <w:sz w:val="22"/>
          <w:szCs w:val="22"/>
          <w:shd w:val="clear" w:color="auto" w:fill="FFFFFF"/>
        </w:rPr>
        <w:t xml:space="preserve">However, in the </w:t>
      </w:r>
      <w:proofErr w:type="spellStart"/>
      <w:r w:rsidRPr="00901394">
        <w:rPr>
          <w:rFonts w:cstheme="minorHAnsi"/>
          <w:color w:val="000000"/>
          <w:sz w:val="22"/>
          <w:szCs w:val="22"/>
          <w:shd w:val="clear" w:color="auto" w:fill="FFFFFF"/>
        </w:rPr>
        <w:t>Oranga</w:t>
      </w:r>
      <w:proofErr w:type="spellEnd"/>
      <w:r w:rsidRPr="00901394">
        <w:rPr>
          <w:rFonts w:cstheme="minorHAnsi"/>
          <w:color w:val="000000"/>
          <w:sz w:val="22"/>
          <w:szCs w:val="22"/>
          <w:shd w:val="clear" w:color="auto" w:fill="FFFFFF"/>
        </w:rPr>
        <w:t xml:space="preserve"> Tamariki Act 1989, the principles relating to </w:t>
      </w:r>
      <w:proofErr w:type="spellStart"/>
      <w:r w:rsidRPr="00901394">
        <w:rPr>
          <w:rFonts w:cstheme="minorHAnsi"/>
          <w:color w:val="000000"/>
          <w:sz w:val="22"/>
          <w:szCs w:val="22"/>
        </w:rPr>
        <w:t>whānau</w:t>
      </w:r>
      <w:proofErr w:type="spellEnd"/>
      <w:r w:rsidRPr="00901394">
        <w:rPr>
          <w:rFonts w:cstheme="minorHAnsi"/>
          <w:sz w:val="22"/>
          <w:szCs w:val="22"/>
        </w:rPr>
        <w:t xml:space="preserve">, </w:t>
      </w:r>
      <w:proofErr w:type="spellStart"/>
      <w:r w:rsidRPr="00901394">
        <w:rPr>
          <w:rFonts w:cstheme="minorHAnsi"/>
          <w:color w:val="000000"/>
          <w:sz w:val="22"/>
          <w:szCs w:val="22"/>
        </w:rPr>
        <w:t>hapū</w:t>
      </w:r>
      <w:proofErr w:type="spellEnd"/>
      <w:r w:rsidRPr="00901394">
        <w:rPr>
          <w:rFonts w:cstheme="minorHAnsi"/>
          <w:sz w:val="22"/>
          <w:szCs w:val="22"/>
        </w:rPr>
        <w:t xml:space="preserve"> and iwi</w:t>
      </w:r>
      <w:r w:rsidRPr="00901394">
        <w:rPr>
          <w:rFonts w:cstheme="minorHAnsi"/>
          <w:color w:val="000000"/>
          <w:sz w:val="22"/>
          <w:szCs w:val="22"/>
          <w:shd w:val="clear" w:color="auto" w:fill="FFFFFF"/>
        </w:rPr>
        <w:t xml:space="preserve"> are listed below those principles relating to the child’s views and wellbeing.</w:t>
      </w:r>
      <w:r w:rsidRPr="00901394">
        <w:rPr>
          <w:rStyle w:val="FootnoteReference"/>
          <w:rFonts w:cstheme="minorHAnsi"/>
          <w:color w:val="000000"/>
          <w:sz w:val="22"/>
          <w:szCs w:val="22"/>
          <w:shd w:val="clear" w:color="auto" w:fill="FFFFFF"/>
        </w:rPr>
        <w:footnoteReference w:id="506"/>
      </w:r>
      <w:r w:rsidRPr="00901394">
        <w:rPr>
          <w:rFonts w:cstheme="minorHAnsi"/>
          <w:color w:val="000000"/>
          <w:sz w:val="22"/>
          <w:szCs w:val="22"/>
          <w:shd w:val="clear" w:color="auto" w:fill="FFFFFF"/>
        </w:rPr>
        <w:t xml:space="preserve"> </w:t>
      </w:r>
    </w:p>
    <w:p w14:paraId="050EF995" w14:textId="77777777" w:rsidR="00286439" w:rsidRPr="00901394" w:rsidRDefault="00286439" w:rsidP="00286439">
      <w:pPr>
        <w:pStyle w:val="NoSpacing"/>
        <w:rPr>
          <w:rFonts w:cstheme="minorHAnsi"/>
          <w:sz w:val="22"/>
          <w:szCs w:val="22"/>
        </w:rPr>
      </w:pPr>
    </w:p>
    <w:p w14:paraId="2A89702B" w14:textId="77777777" w:rsidR="00286439" w:rsidRPr="00901394" w:rsidRDefault="00286439" w:rsidP="00286439">
      <w:pPr>
        <w:pStyle w:val="NoSpacing"/>
        <w:rPr>
          <w:rFonts w:cstheme="minorHAnsi"/>
          <w:sz w:val="22"/>
          <w:szCs w:val="22"/>
        </w:rPr>
      </w:pPr>
      <w:r w:rsidRPr="00901394">
        <w:rPr>
          <w:rFonts w:cstheme="minorHAnsi"/>
          <w:sz w:val="22"/>
          <w:szCs w:val="22"/>
        </w:rPr>
        <w:t>After OT’s establishment there was an increase in the rate of removal of babies from their families into State care, with regional variations.</w:t>
      </w:r>
      <w:r w:rsidRPr="00901394">
        <w:rPr>
          <w:rStyle w:val="FootnoteReference"/>
          <w:rFonts w:cstheme="minorHAnsi"/>
          <w:sz w:val="22"/>
          <w:szCs w:val="22"/>
        </w:rPr>
        <w:footnoteReference w:id="507"/>
      </w:r>
      <w:r w:rsidRPr="00901394">
        <w:rPr>
          <w:rFonts w:cstheme="minorHAnsi"/>
          <w:sz w:val="22"/>
          <w:szCs w:val="22"/>
        </w:rPr>
        <w:t xml:space="preserve"> </w:t>
      </w:r>
      <w:r w:rsidRPr="00901394">
        <w:rPr>
          <w:rStyle w:val="FootnoteReference"/>
          <w:rFonts w:cstheme="minorHAnsi"/>
          <w:sz w:val="22"/>
          <w:szCs w:val="22"/>
        </w:rPr>
        <w:footnoteReference w:id="508"/>
      </w:r>
      <w:r w:rsidRPr="00901394">
        <w:rPr>
          <w:rFonts w:cstheme="minorHAnsi"/>
          <w:sz w:val="22"/>
          <w:szCs w:val="22"/>
        </w:rPr>
        <w:t xml:space="preserve"> Due to the on-going impacts of colonisation and the State care of previous generations (the parents, grandparents and t</w:t>
      </w:r>
      <w:r w:rsidRPr="00901394">
        <w:rPr>
          <w:rFonts w:cstheme="minorHAnsi"/>
          <w:sz w:val="22"/>
          <w:szCs w:val="22"/>
          <w:lang w:val="mi-NZ"/>
        </w:rPr>
        <w:t xml:space="preserve">īpuna </w:t>
      </w:r>
      <w:r w:rsidRPr="00901394">
        <w:rPr>
          <w:rFonts w:cstheme="minorHAnsi"/>
          <w:sz w:val="22"/>
          <w:szCs w:val="22"/>
        </w:rPr>
        <w:t>of children today), as well as the discrimination inherent in the care and protection system, a disproportionate number of babies removed into care were Māori. Other groups were also affected, including babies whose parents had intellectual disabilities.</w:t>
      </w:r>
      <w:r w:rsidRPr="00901394">
        <w:rPr>
          <w:rStyle w:val="FootnoteReference"/>
          <w:rFonts w:cstheme="minorHAnsi"/>
          <w:sz w:val="22"/>
          <w:szCs w:val="22"/>
        </w:rPr>
        <w:footnoteReference w:id="509"/>
      </w:r>
      <w:r w:rsidRPr="00901394">
        <w:rPr>
          <w:rFonts w:cstheme="minorHAnsi"/>
          <w:sz w:val="22"/>
          <w:szCs w:val="22"/>
        </w:rPr>
        <w:t xml:space="preserve"> </w:t>
      </w:r>
    </w:p>
    <w:p w14:paraId="75A0ED72" w14:textId="77777777" w:rsidR="00286439" w:rsidRPr="00901394" w:rsidRDefault="00286439" w:rsidP="00286439">
      <w:pPr>
        <w:pStyle w:val="NoSpacing"/>
        <w:rPr>
          <w:rFonts w:cstheme="minorHAnsi"/>
          <w:sz w:val="22"/>
          <w:szCs w:val="22"/>
        </w:rPr>
      </w:pPr>
    </w:p>
    <w:p w14:paraId="39C227B9" w14:textId="77777777" w:rsidR="00286439" w:rsidRPr="00901394" w:rsidRDefault="00286439" w:rsidP="00286439">
      <w:pPr>
        <w:pStyle w:val="NoSpacing"/>
        <w:rPr>
          <w:rFonts w:cstheme="minorHAnsi"/>
          <w:sz w:val="22"/>
          <w:szCs w:val="22"/>
        </w:rPr>
      </w:pPr>
      <w:r w:rsidRPr="00901394">
        <w:rPr>
          <w:rFonts w:cstheme="minorHAnsi"/>
          <w:sz w:val="22"/>
          <w:szCs w:val="22"/>
        </w:rPr>
        <w:t>Media reports, including a video of a one-week-old baby being removed from her mother’s care in hospital, prompted enormous public outcry and five reviews:</w:t>
      </w:r>
    </w:p>
    <w:p w14:paraId="687AC10B" w14:textId="77777777" w:rsidR="00286439" w:rsidRPr="00901394" w:rsidRDefault="00286439" w:rsidP="00286439">
      <w:pPr>
        <w:pStyle w:val="NoSpacing"/>
        <w:rPr>
          <w:rFonts w:cstheme="minorHAnsi"/>
          <w:sz w:val="22"/>
          <w:szCs w:val="22"/>
        </w:rPr>
      </w:pPr>
    </w:p>
    <w:p w14:paraId="484C9EDC" w14:textId="77777777" w:rsidR="00286439" w:rsidRPr="00901394" w:rsidRDefault="00286439" w:rsidP="00916EA3">
      <w:pPr>
        <w:pStyle w:val="NoSpacing"/>
        <w:numPr>
          <w:ilvl w:val="0"/>
          <w:numId w:val="48"/>
        </w:numPr>
        <w:rPr>
          <w:rFonts w:cstheme="minorHAnsi"/>
          <w:sz w:val="22"/>
          <w:szCs w:val="22"/>
        </w:rPr>
      </w:pPr>
      <w:r w:rsidRPr="00901394">
        <w:rPr>
          <w:rFonts w:cstheme="minorHAnsi"/>
          <w:sz w:val="22"/>
          <w:szCs w:val="22"/>
        </w:rPr>
        <w:t>A review by the Children’s Commissioner.</w:t>
      </w:r>
      <w:r w:rsidRPr="00901394">
        <w:rPr>
          <w:rStyle w:val="FootnoteReference"/>
          <w:rFonts w:cstheme="minorHAnsi"/>
          <w:sz w:val="22"/>
          <w:szCs w:val="22"/>
        </w:rPr>
        <w:footnoteReference w:id="510"/>
      </w:r>
    </w:p>
    <w:p w14:paraId="3E772BEC" w14:textId="77777777" w:rsidR="00286439" w:rsidRPr="00901394" w:rsidRDefault="00286439" w:rsidP="00916EA3">
      <w:pPr>
        <w:pStyle w:val="NoSpacing"/>
        <w:numPr>
          <w:ilvl w:val="0"/>
          <w:numId w:val="48"/>
        </w:numPr>
        <w:rPr>
          <w:rFonts w:cstheme="minorHAnsi"/>
          <w:sz w:val="22"/>
          <w:szCs w:val="22"/>
        </w:rPr>
      </w:pPr>
      <w:r w:rsidRPr="00901394">
        <w:rPr>
          <w:rFonts w:cstheme="minorHAnsi"/>
          <w:sz w:val="22"/>
          <w:szCs w:val="22"/>
        </w:rPr>
        <w:t xml:space="preserve">A </w:t>
      </w:r>
      <w:r w:rsidRPr="00901394">
        <w:rPr>
          <w:rFonts w:cstheme="minorHAnsi"/>
          <w:color w:val="000000" w:themeColor="text1"/>
          <w:sz w:val="22"/>
          <w:szCs w:val="22"/>
          <w:lang w:val="mi-NZ"/>
        </w:rPr>
        <w:t>M</w:t>
      </w:r>
      <w:r w:rsidRPr="00901394">
        <w:rPr>
          <w:rFonts w:cstheme="minorHAnsi"/>
          <w:color w:val="000000" w:themeColor="text1"/>
          <w:sz w:val="22"/>
          <w:szCs w:val="22"/>
          <w:shd w:val="clear" w:color="auto" w:fill="FFFFFF"/>
        </w:rPr>
        <w:t>ā</w:t>
      </w:r>
      <w:r w:rsidRPr="00901394">
        <w:rPr>
          <w:rFonts w:cstheme="minorHAnsi"/>
          <w:color w:val="000000" w:themeColor="text1"/>
          <w:sz w:val="22"/>
          <w:szCs w:val="22"/>
          <w:lang w:val="mi-NZ"/>
        </w:rPr>
        <w:t>ori-led inquiry into OT, commissioned by the Wh</w:t>
      </w:r>
      <w:r w:rsidRPr="00901394">
        <w:rPr>
          <w:rFonts w:cstheme="minorHAnsi"/>
          <w:color w:val="000000" w:themeColor="text1"/>
          <w:sz w:val="22"/>
          <w:szCs w:val="22"/>
          <w:shd w:val="clear" w:color="auto" w:fill="FFFFFF"/>
        </w:rPr>
        <w:t>ā</w:t>
      </w:r>
      <w:r w:rsidRPr="00901394">
        <w:rPr>
          <w:rFonts w:cstheme="minorHAnsi"/>
          <w:color w:val="000000" w:themeColor="text1"/>
          <w:sz w:val="22"/>
          <w:szCs w:val="22"/>
          <w:lang w:val="mi-NZ"/>
        </w:rPr>
        <w:t>nau Ora Commissioning Agency.</w:t>
      </w:r>
      <w:r w:rsidRPr="00901394">
        <w:rPr>
          <w:rStyle w:val="FootnoteReference"/>
          <w:rFonts w:cstheme="minorHAnsi"/>
          <w:color w:val="000000" w:themeColor="text1"/>
          <w:sz w:val="22"/>
          <w:szCs w:val="22"/>
          <w:lang w:val="mi-NZ"/>
        </w:rPr>
        <w:footnoteReference w:id="511"/>
      </w:r>
    </w:p>
    <w:p w14:paraId="7CDCD9F1" w14:textId="77777777" w:rsidR="00286439" w:rsidRPr="00901394" w:rsidRDefault="00286439" w:rsidP="00916EA3">
      <w:pPr>
        <w:pStyle w:val="NoSpacing"/>
        <w:numPr>
          <w:ilvl w:val="0"/>
          <w:numId w:val="48"/>
        </w:numPr>
        <w:rPr>
          <w:rFonts w:cstheme="minorHAnsi"/>
          <w:sz w:val="22"/>
          <w:szCs w:val="22"/>
        </w:rPr>
      </w:pPr>
      <w:r w:rsidRPr="00901394">
        <w:rPr>
          <w:rFonts w:cstheme="minorHAnsi"/>
          <w:sz w:val="22"/>
          <w:szCs w:val="22"/>
        </w:rPr>
        <w:t>An investigation by the Chief Ombudsman.</w:t>
      </w:r>
      <w:r w:rsidRPr="00901394">
        <w:rPr>
          <w:rStyle w:val="FootnoteReference"/>
          <w:rFonts w:cstheme="minorHAnsi"/>
          <w:sz w:val="22"/>
          <w:szCs w:val="22"/>
        </w:rPr>
        <w:footnoteReference w:id="512"/>
      </w:r>
    </w:p>
    <w:p w14:paraId="3FA1F141" w14:textId="77777777" w:rsidR="00286439" w:rsidRPr="00901394" w:rsidRDefault="00286439" w:rsidP="00916EA3">
      <w:pPr>
        <w:pStyle w:val="NoSpacing"/>
        <w:numPr>
          <w:ilvl w:val="0"/>
          <w:numId w:val="48"/>
        </w:numPr>
        <w:rPr>
          <w:rFonts w:cstheme="minorHAnsi"/>
          <w:sz w:val="22"/>
          <w:szCs w:val="22"/>
        </w:rPr>
      </w:pPr>
      <w:r w:rsidRPr="00901394">
        <w:rPr>
          <w:rFonts w:cstheme="minorHAnsi"/>
          <w:sz w:val="22"/>
          <w:szCs w:val="22"/>
        </w:rPr>
        <w:t>An urgent Waitangi Tribunal inquiry.</w:t>
      </w:r>
      <w:r w:rsidRPr="00901394">
        <w:rPr>
          <w:rStyle w:val="FootnoteReference"/>
          <w:rFonts w:cstheme="minorHAnsi"/>
          <w:sz w:val="22"/>
          <w:szCs w:val="22"/>
        </w:rPr>
        <w:footnoteReference w:id="513"/>
      </w:r>
      <w:r w:rsidRPr="00901394">
        <w:rPr>
          <w:rFonts w:cstheme="minorHAnsi"/>
          <w:sz w:val="22"/>
          <w:szCs w:val="22"/>
        </w:rPr>
        <w:t xml:space="preserve"> </w:t>
      </w:r>
    </w:p>
    <w:p w14:paraId="42B12A72" w14:textId="77777777" w:rsidR="00286439" w:rsidRPr="00901394" w:rsidRDefault="00286439" w:rsidP="00916EA3">
      <w:pPr>
        <w:pStyle w:val="NoSpacing"/>
        <w:numPr>
          <w:ilvl w:val="0"/>
          <w:numId w:val="48"/>
        </w:numPr>
        <w:rPr>
          <w:rFonts w:cstheme="minorHAnsi"/>
          <w:sz w:val="22"/>
          <w:szCs w:val="22"/>
        </w:rPr>
      </w:pPr>
      <w:r w:rsidRPr="00901394">
        <w:rPr>
          <w:rFonts w:cstheme="minorHAnsi"/>
          <w:sz w:val="22"/>
          <w:szCs w:val="22"/>
        </w:rPr>
        <w:lastRenderedPageBreak/>
        <w:t>An internal review by OT.</w:t>
      </w:r>
      <w:r w:rsidRPr="00901394">
        <w:rPr>
          <w:rStyle w:val="FootnoteReference"/>
          <w:rFonts w:cstheme="minorHAnsi"/>
          <w:sz w:val="22"/>
          <w:szCs w:val="22"/>
        </w:rPr>
        <w:footnoteReference w:id="514"/>
      </w:r>
    </w:p>
    <w:p w14:paraId="21B63D78" w14:textId="77777777" w:rsidR="00286439" w:rsidRPr="00901394" w:rsidRDefault="00286439" w:rsidP="00286439">
      <w:pPr>
        <w:pStyle w:val="NoSpacing"/>
        <w:rPr>
          <w:rFonts w:cstheme="minorHAnsi"/>
          <w:sz w:val="22"/>
          <w:szCs w:val="22"/>
        </w:rPr>
      </w:pPr>
    </w:p>
    <w:p w14:paraId="6760E734" w14:textId="77777777" w:rsidR="00286439" w:rsidRPr="00901394" w:rsidRDefault="00286439" w:rsidP="00286439">
      <w:pPr>
        <w:pStyle w:val="NoSpacing"/>
        <w:rPr>
          <w:rFonts w:cstheme="minorHAnsi"/>
          <w:sz w:val="22"/>
          <w:szCs w:val="22"/>
        </w:rPr>
      </w:pPr>
      <w:r w:rsidRPr="00901394">
        <w:rPr>
          <w:rFonts w:cstheme="minorHAnsi"/>
          <w:sz w:val="22"/>
          <w:szCs w:val="22"/>
        </w:rPr>
        <w:t>The former Chief Executive of OT resigned in January 2021.</w:t>
      </w:r>
      <w:r w:rsidRPr="00901394">
        <w:rPr>
          <w:rStyle w:val="FootnoteReference"/>
          <w:rFonts w:cstheme="minorHAnsi"/>
          <w:sz w:val="22"/>
          <w:szCs w:val="22"/>
        </w:rPr>
        <w:footnoteReference w:id="515"/>
      </w:r>
      <w:r w:rsidRPr="00901394">
        <w:rPr>
          <w:rFonts w:cstheme="minorHAnsi"/>
          <w:sz w:val="22"/>
          <w:szCs w:val="22"/>
        </w:rPr>
        <w:t xml:space="preserve"> </w:t>
      </w:r>
      <w:r w:rsidRPr="00901394">
        <w:rPr>
          <w:rStyle w:val="FootnoteReference"/>
          <w:rFonts w:cstheme="minorHAnsi"/>
          <w:sz w:val="22"/>
          <w:szCs w:val="22"/>
        </w:rPr>
        <w:footnoteReference w:id="516"/>
      </w:r>
      <w:r w:rsidRPr="00901394">
        <w:rPr>
          <w:rFonts w:cstheme="minorHAnsi"/>
          <w:sz w:val="22"/>
          <w:szCs w:val="22"/>
        </w:rPr>
        <w:t xml:space="preserve"> That same month, a Ministerial Advisory Board was appointed by the Minister for Children to provide him with advice and assurance across relationships, social </w:t>
      </w:r>
      <w:proofErr w:type="gramStart"/>
      <w:r w:rsidRPr="00901394">
        <w:rPr>
          <w:rFonts w:cstheme="minorHAnsi"/>
          <w:sz w:val="22"/>
          <w:szCs w:val="22"/>
        </w:rPr>
        <w:t>work</w:t>
      </w:r>
      <w:proofErr w:type="gramEnd"/>
      <w:r w:rsidRPr="00901394">
        <w:rPr>
          <w:rFonts w:cstheme="minorHAnsi"/>
          <w:sz w:val="22"/>
          <w:szCs w:val="22"/>
        </w:rPr>
        <w:t xml:space="preserve"> and organisational culture.</w:t>
      </w:r>
      <w:r w:rsidRPr="00901394">
        <w:rPr>
          <w:rStyle w:val="FootnoteReference"/>
          <w:rFonts w:cstheme="minorHAnsi"/>
          <w:sz w:val="22"/>
          <w:szCs w:val="22"/>
        </w:rPr>
        <w:footnoteReference w:id="517"/>
      </w:r>
      <w:r w:rsidRPr="00901394">
        <w:rPr>
          <w:rFonts w:cstheme="minorHAnsi"/>
          <w:sz w:val="22"/>
          <w:szCs w:val="22"/>
        </w:rPr>
        <w:t xml:space="preserve"> The Board’s report </w:t>
      </w:r>
      <w:proofErr w:type="spellStart"/>
      <w:r w:rsidRPr="00901394">
        <w:rPr>
          <w:rFonts w:cstheme="minorHAnsi"/>
          <w:i/>
          <w:iCs/>
          <w:sz w:val="22"/>
          <w:szCs w:val="22"/>
        </w:rPr>
        <w:t>Hipokingia</w:t>
      </w:r>
      <w:proofErr w:type="spellEnd"/>
      <w:r w:rsidRPr="00901394">
        <w:rPr>
          <w:rFonts w:cstheme="minorHAnsi"/>
          <w:i/>
          <w:iCs/>
          <w:sz w:val="22"/>
          <w:szCs w:val="22"/>
        </w:rPr>
        <w:t xml:space="preserve"> ki </w:t>
      </w:r>
      <w:proofErr w:type="spellStart"/>
      <w:r w:rsidRPr="00901394">
        <w:rPr>
          <w:rFonts w:cstheme="minorHAnsi"/>
          <w:i/>
          <w:iCs/>
          <w:sz w:val="22"/>
          <w:szCs w:val="22"/>
        </w:rPr>
        <w:t>te</w:t>
      </w:r>
      <w:proofErr w:type="spellEnd"/>
      <w:r w:rsidRPr="00901394">
        <w:rPr>
          <w:rFonts w:cstheme="minorHAnsi"/>
          <w:i/>
          <w:iCs/>
          <w:sz w:val="22"/>
          <w:szCs w:val="22"/>
        </w:rPr>
        <w:t xml:space="preserve"> Kahu Aroha </w:t>
      </w:r>
      <w:proofErr w:type="spellStart"/>
      <w:r w:rsidRPr="00901394">
        <w:rPr>
          <w:rFonts w:cstheme="minorHAnsi"/>
          <w:i/>
          <w:iCs/>
          <w:sz w:val="22"/>
          <w:szCs w:val="22"/>
        </w:rPr>
        <w:t>Hipkingia</w:t>
      </w:r>
      <w:proofErr w:type="spellEnd"/>
      <w:r w:rsidRPr="00901394">
        <w:rPr>
          <w:rFonts w:cstheme="minorHAnsi"/>
          <w:i/>
          <w:iCs/>
          <w:sz w:val="22"/>
          <w:szCs w:val="22"/>
        </w:rPr>
        <w:t xml:space="preserve"> ki </w:t>
      </w:r>
      <w:proofErr w:type="spellStart"/>
      <w:r w:rsidRPr="00901394">
        <w:rPr>
          <w:rFonts w:cstheme="minorHAnsi"/>
          <w:i/>
          <w:iCs/>
          <w:sz w:val="22"/>
          <w:szCs w:val="22"/>
        </w:rPr>
        <w:t>te</w:t>
      </w:r>
      <w:proofErr w:type="spellEnd"/>
      <w:r w:rsidRPr="00901394">
        <w:rPr>
          <w:rFonts w:cstheme="minorHAnsi"/>
          <w:i/>
          <w:iCs/>
          <w:sz w:val="22"/>
          <w:szCs w:val="22"/>
        </w:rPr>
        <w:t xml:space="preserve"> Katoa</w:t>
      </w:r>
      <w:r w:rsidRPr="00901394">
        <w:rPr>
          <w:rStyle w:val="FootnoteReference"/>
          <w:rFonts w:cstheme="minorHAnsi"/>
          <w:i/>
          <w:iCs/>
          <w:sz w:val="22"/>
          <w:szCs w:val="22"/>
        </w:rPr>
        <w:footnoteReference w:id="518"/>
      </w:r>
      <w:r w:rsidRPr="00901394">
        <w:rPr>
          <w:rFonts w:cstheme="minorHAnsi"/>
          <w:sz w:val="22"/>
          <w:szCs w:val="22"/>
        </w:rPr>
        <w:t xml:space="preserve"> was released in September 2021 and recommended that:</w:t>
      </w:r>
    </w:p>
    <w:p w14:paraId="0B92A217" w14:textId="77777777" w:rsidR="00286439" w:rsidRPr="00901394" w:rsidRDefault="00286439" w:rsidP="00916EA3">
      <w:pPr>
        <w:numPr>
          <w:ilvl w:val="0"/>
          <w:numId w:val="49"/>
        </w:numPr>
        <w:spacing w:before="100" w:beforeAutospacing="1" w:after="100" w:afterAutospacing="1" w:line="240" w:lineRule="auto"/>
        <w:rPr>
          <w:rFonts w:cstheme="minorHAnsi"/>
          <w:color w:val="000000"/>
          <w:sz w:val="22"/>
          <w:szCs w:val="22"/>
        </w:rPr>
      </w:pPr>
      <w:r w:rsidRPr="00901394">
        <w:rPr>
          <w:rFonts w:cstheme="minorHAnsi"/>
          <w:color w:val="000000"/>
          <w:sz w:val="22"/>
          <w:szCs w:val="22"/>
        </w:rPr>
        <w:t xml:space="preserve">Decision making and resources be shifted to communities, with children and </w:t>
      </w:r>
      <w:proofErr w:type="spellStart"/>
      <w:r w:rsidRPr="00901394">
        <w:rPr>
          <w:rFonts w:cstheme="minorHAnsi"/>
          <w:color w:val="000000"/>
          <w:sz w:val="22"/>
          <w:szCs w:val="22"/>
        </w:rPr>
        <w:t>whānau</w:t>
      </w:r>
      <w:proofErr w:type="spellEnd"/>
      <w:r w:rsidRPr="00901394">
        <w:rPr>
          <w:rFonts w:cstheme="minorHAnsi"/>
          <w:color w:val="000000"/>
          <w:sz w:val="22"/>
          <w:szCs w:val="22"/>
        </w:rPr>
        <w:t xml:space="preserve"> at the centre of the system.</w:t>
      </w:r>
    </w:p>
    <w:p w14:paraId="13610AEC" w14:textId="77777777" w:rsidR="00286439" w:rsidRPr="00901394" w:rsidRDefault="00286439" w:rsidP="00916EA3">
      <w:pPr>
        <w:numPr>
          <w:ilvl w:val="0"/>
          <w:numId w:val="49"/>
        </w:numPr>
        <w:spacing w:before="100" w:beforeAutospacing="1" w:after="100" w:afterAutospacing="1" w:line="240" w:lineRule="auto"/>
        <w:rPr>
          <w:rFonts w:cstheme="minorHAnsi"/>
          <w:color w:val="000000"/>
          <w:sz w:val="22"/>
          <w:szCs w:val="22"/>
        </w:rPr>
      </w:pPr>
      <w:r w:rsidRPr="00901394">
        <w:rPr>
          <w:rFonts w:cstheme="minorHAnsi"/>
          <w:color w:val="000000"/>
          <w:sz w:val="22"/>
          <w:szCs w:val="22"/>
        </w:rPr>
        <w:t>A new operating model be formed, with better support and training for social workers.</w:t>
      </w:r>
    </w:p>
    <w:p w14:paraId="0CECCCEA" w14:textId="77777777" w:rsidR="00286439" w:rsidRPr="00901394" w:rsidRDefault="00286439" w:rsidP="00916EA3">
      <w:pPr>
        <w:numPr>
          <w:ilvl w:val="0"/>
          <w:numId w:val="49"/>
        </w:numPr>
        <w:spacing w:before="100" w:beforeAutospacing="1" w:after="100" w:afterAutospacing="1" w:line="240" w:lineRule="auto"/>
        <w:rPr>
          <w:rFonts w:cstheme="minorHAnsi"/>
          <w:color w:val="000000"/>
          <w:sz w:val="22"/>
          <w:szCs w:val="22"/>
        </w:rPr>
      </w:pPr>
      <w:r w:rsidRPr="00901394">
        <w:rPr>
          <w:rFonts w:cstheme="minorHAnsi"/>
          <w:color w:val="000000"/>
          <w:sz w:val="22"/>
          <w:szCs w:val="22"/>
        </w:rPr>
        <w:t xml:space="preserve">The power to remove children from their </w:t>
      </w:r>
      <w:proofErr w:type="spellStart"/>
      <w:r w:rsidRPr="00901394">
        <w:rPr>
          <w:rFonts w:cstheme="minorHAnsi"/>
          <w:color w:val="000000"/>
          <w:sz w:val="22"/>
          <w:szCs w:val="22"/>
        </w:rPr>
        <w:t>whānau</w:t>
      </w:r>
      <w:proofErr w:type="spellEnd"/>
      <w:r w:rsidRPr="00901394">
        <w:rPr>
          <w:rFonts w:cstheme="minorHAnsi"/>
          <w:color w:val="000000"/>
          <w:sz w:val="22"/>
          <w:szCs w:val="22"/>
        </w:rPr>
        <w:t>, should only be utilised in extreme situations and not as a go-to solution for complex circumstances.</w:t>
      </w:r>
    </w:p>
    <w:p w14:paraId="737DE3ED" w14:textId="77777777" w:rsidR="00286439" w:rsidRPr="00901394" w:rsidRDefault="00286439" w:rsidP="00286439">
      <w:pPr>
        <w:pStyle w:val="NoSpacing"/>
        <w:rPr>
          <w:rFonts w:cstheme="minorHAnsi"/>
          <w:sz w:val="22"/>
          <w:szCs w:val="22"/>
        </w:rPr>
      </w:pPr>
      <w:r w:rsidRPr="00901394">
        <w:rPr>
          <w:rFonts w:cstheme="minorHAnsi"/>
          <w:sz w:val="22"/>
          <w:szCs w:val="22"/>
        </w:rPr>
        <w:t xml:space="preserve">While </w:t>
      </w:r>
      <w:proofErr w:type="spellStart"/>
      <w:r w:rsidRPr="00901394">
        <w:rPr>
          <w:rFonts w:cstheme="minorHAnsi"/>
          <w:i/>
          <w:iCs/>
          <w:sz w:val="22"/>
          <w:szCs w:val="22"/>
        </w:rPr>
        <w:t>Te</w:t>
      </w:r>
      <w:proofErr w:type="spellEnd"/>
      <w:r w:rsidRPr="00901394">
        <w:rPr>
          <w:rFonts w:cstheme="minorHAnsi"/>
          <w:i/>
          <w:iCs/>
          <w:sz w:val="22"/>
          <w:szCs w:val="22"/>
        </w:rPr>
        <w:t xml:space="preserve"> Kahu Aroha</w:t>
      </w:r>
      <w:r w:rsidRPr="00901394">
        <w:rPr>
          <w:rFonts w:cstheme="minorHAnsi"/>
          <w:sz w:val="22"/>
          <w:szCs w:val="22"/>
        </w:rPr>
        <w:t xml:space="preserve"> contains many positive recommendations, particularly relating to improving social work practice, it largely ignored the findings of the four external reports mentioned above. This included the Waitangi Tribunal inquiry, which found that Government had breached the principles of the </w:t>
      </w:r>
      <w:proofErr w:type="spellStart"/>
      <w:r w:rsidRPr="00901394">
        <w:rPr>
          <w:rFonts w:cstheme="minorHAnsi"/>
          <w:sz w:val="22"/>
          <w:szCs w:val="22"/>
        </w:rPr>
        <w:t>Te</w:t>
      </w:r>
      <w:proofErr w:type="spellEnd"/>
      <w:r w:rsidRPr="00901394">
        <w:rPr>
          <w:rFonts w:cstheme="minorHAnsi"/>
          <w:sz w:val="22"/>
          <w:szCs w:val="22"/>
        </w:rPr>
        <w:t xml:space="preserve"> </w:t>
      </w:r>
      <w:proofErr w:type="spellStart"/>
      <w:r w:rsidRPr="00901394">
        <w:rPr>
          <w:rFonts w:cstheme="minorHAnsi"/>
          <w:sz w:val="22"/>
          <w:szCs w:val="22"/>
        </w:rPr>
        <w:t>Tiriti</w:t>
      </w:r>
      <w:proofErr w:type="spellEnd"/>
      <w:r w:rsidRPr="00901394">
        <w:rPr>
          <w:rFonts w:cstheme="minorHAnsi"/>
          <w:sz w:val="22"/>
          <w:szCs w:val="22"/>
        </w:rPr>
        <w:t xml:space="preserve"> o Waitangi and, in respect of </w:t>
      </w:r>
      <w:proofErr w:type="spellStart"/>
      <w:r w:rsidRPr="00901394">
        <w:rPr>
          <w:rFonts w:cstheme="minorHAnsi"/>
          <w:sz w:val="22"/>
          <w:szCs w:val="22"/>
        </w:rPr>
        <w:t>tamariki</w:t>
      </w:r>
      <w:proofErr w:type="spellEnd"/>
      <w:r w:rsidRPr="00901394">
        <w:rPr>
          <w:rFonts w:cstheme="minorHAnsi"/>
          <w:sz w:val="22"/>
          <w:szCs w:val="22"/>
        </w:rPr>
        <w:t xml:space="preserve"> and </w:t>
      </w:r>
      <w:proofErr w:type="spellStart"/>
      <w:r w:rsidRPr="00901394">
        <w:rPr>
          <w:rFonts w:cstheme="minorHAnsi"/>
          <w:sz w:val="22"/>
          <w:szCs w:val="22"/>
        </w:rPr>
        <w:t>rangatahi</w:t>
      </w:r>
      <w:proofErr w:type="spellEnd"/>
      <w:r w:rsidRPr="00901394">
        <w:rPr>
          <w:rFonts w:cstheme="minorHAnsi"/>
          <w:sz w:val="22"/>
          <w:szCs w:val="22"/>
        </w:rPr>
        <w:t xml:space="preserve"> Māori, recommended the devolution of the system away from the Crown and towards Māori. This recommendation does not feature in the Government’s response to </w:t>
      </w:r>
      <w:proofErr w:type="spellStart"/>
      <w:r w:rsidRPr="00901394">
        <w:rPr>
          <w:rFonts w:cstheme="minorHAnsi"/>
          <w:i/>
          <w:iCs/>
          <w:sz w:val="22"/>
          <w:szCs w:val="22"/>
        </w:rPr>
        <w:t>Te</w:t>
      </w:r>
      <w:proofErr w:type="spellEnd"/>
      <w:r w:rsidRPr="00901394">
        <w:rPr>
          <w:rFonts w:cstheme="minorHAnsi"/>
          <w:i/>
          <w:iCs/>
          <w:sz w:val="22"/>
          <w:szCs w:val="22"/>
        </w:rPr>
        <w:t xml:space="preserve"> Kahu Aroha</w:t>
      </w:r>
      <w:r w:rsidRPr="00901394">
        <w:rPr>
          <w:rFonts w:cstheme="minorHAnsi"/>
          <w:sz w:val="22"/>
          <w:szCs w:val="22"/>
        </w:rPr>
        <w:t xml:space="preserve">. Nevertheless, Government has accepted all the recommendations of </w:t>
      </w:r>
      <w:proofErr w:type="spellStart"/>
      <w:r w:rsidRPr="00901394">
        <w:rPr>
          <w:rFonts w:cstheme="minorHAnsi"/>
          <w:i/>
          <w:iCs/>
          <w:sz w:val="22"/>
          <w:szCs w:val="22"/>
        </w:rPr>
        <w:t>Te</w:t>
      </w:r>
      <w:proofErr w:type="spellEnd"/>
      <w:r w:rsidRPr="00901394">
        <w:rPr>
          <w:rFonts w:cstheme="minorHAnsi"/>
          <w:i/>
          <w:iCs/>
          <w:sz w:val="22"/>
          <w:szCs w:val="22"/>
        </w:rPr>
        <w:t xml:space="preserve"> Kahu Aroha</w:t>
      </w:r>
      <w:r w:rsidRPr="00901394">
        <w:rPr>
          <w:rFonts w:cstheme="minorHAnsi"/>
          <w:sz w:val="22"/>
          <w:szCs w:val="22"/>
        </w:rPr>
        <w:t xml:space="preserve"> and developed a </w:t>
      </w:r>
      <w:proofErr w:type="gramStart"/>
      <w:r w:rsidRPr="00901394">
        <w:rPr>
          <w:rFonts w:cstheme="minorHAnsi"/>
          <w:sz w:val="22"/>
          <w:szCs w:val="22"/>
        </w:rPr>
        <w:t>plan for the future</w:t>
      </w:r>
      <w:proofErr w:type="gramEnd"/>
      <w:r w:rsidRPr="00901394">
        <w:rPr>
          <w:rFonts w:cstheme="minorHAnsi"/>
          <w:sz w:val="22"/>
          <w:szCs w:val="22"/>
        </w:rPr>
        <w:t xml:space="preserve"> direction of OT.</w:t>
      </w:r>
      <w:r w:rsidRPr="00901394">
        <w:rPr>
          <w:rStyle w:val="FootnoteReference"/>
          <w:rFonts w:cstheme="minorHAnsi"/>
          <w:sz w:val="22"/>
          <w:szCs w:val="22"/>
        </w:rPr>
        <w:footnoteReference w:id="519"/>
      </w:r>
    </w:p>
    <w:p w14:paraId="3F9E00C5" w14:textId="6857CD71" w:rsidR="00286439" w:rsidRPr="00901394" w:rsidRDefault="00286439" w:rsidP="00286439">
      <w:pPr>
        <w:pStyle w:val="NormalWeb"/>
        <w:rPr>
          <w:rFonts w:asciiTheme="minorHAnsi" w:hAnsiTheme="minorHAnsi" w:cstheme="minorHAnsi"/>
          <w:sz w:val="22"/>
          <w:szCs w:val="22"/>
        </w:rPr>
      </w:pPr>
      <w:r w:rsidRPr="00901394">
        <w:rPr>
          <w:rFonts w:asciiTheme="minorHAnsi" w:hAnsiTheme="minorHAnsi" w:cstheme="minorHAnsi"/>
          <w:sz w:val="22"/>
          <w:szCs w:val="22"/>
        </w:rPr>
        <w:t xml:space="preserve">Government, through OT, has begun working in partnership with Māori, </w:t>
      </w:r>
      <w:proofErr w:type="gramStart"/>
      <w:r w:rsidRPr="00901394">
        <w:rPr>
          <w:rFonts w:asciiTheme="minorHAnsi" w:hAnsiTheme="minorHAnsi" w:cstheme="minorHAnsi"/>
          <w:sz w:val="22"/>
          <w:szCs w:val="22"/>
        </w:rPr>
        <w:t>in an effort to</w:t>
      </w:r>
      <w:proofErr w:type="gramEnd"/>
      <w:r w:rsidRPr="00901394">
        <w:rPr>
          <w:rFonts w:asciiTheme="minorHAnsi" w:hAnsiTheme="minorHAnsi" w:cstheme="minorHAnsi"/>
          <w:sz w:val="22"/>
          <w:szCs w:val="22"/>
        </w:rPr>
        <w:t xml:space="preserve"> be consistent with </w:t>
      </w:r>
      <w:proofErr w:type="spellStart"/>
      <w:r w:rsidRPr="00901394">
        <w:rPr>
          <w:rFonts w:asciiTheme="minorHAnsi" w:hAnsiTheme="minorHAnsi" w:cstheme="minorHAnsi"/>
          <w:sz w:val="22"/>
          <w:szCs w:val="22"/>
        </w:rPr>
        <w:t>Te</w:t>
      </w:r>
      <w:proofErr w:type="spellEnd"/>
      <w:r w:rsidRPr="00901394">
        <w:rPr>
          <w:rFonts w:asciiTheme="minorHAnsi" w:hAnsiTheme="minorHAnsi" w:cstheme="minorHAnsi"/>
          <w:sz w:val="22"/>
          <w:szCs w:val="22"/>
        </w:rPr>
        <w:t xml:space="preserve"> </w:t>
      </w:r>
      <w:proofErr w:type="spellStart"/>
      <w:r w:rsidRPr="00901394">
        <w:rPr>
          <w:rFonts w:asciiTheme="minorHAnsi" w:hAnsiTheme="minorHAnsi" w:cstheme="minorHAnsi"/>
          <w:sz w:val="22"/>
          <w:szCs w:val="22"/>
        </w:rPr>
        <w:t>Tiriti</w:t>
      </w:r>
      <w:proofErr w:type="spellEnd"/>
      <w:r w:rsidRPr="00901394">
        <w:rPr>
          <w:rFonts w:asciiTheme="minorHAnsi" w:hAnsiTheme="minorHAnsi" w:cstheme="minorHAnsi"/>
          <w:sz w:val="22"/>
          <w:szCs w:val="22"/>
        </w:rPr>
        <w:t xml:space="preserve"> o Waitangi</w:t>
      </w:r>
      <w:r w:rsidR="006052FF">
        <w:rPr>
          <w:rFonts w:asciiTheme="minorHAnsi" w:hAnsiTheme="minorHAnsi" w:cstheme="minorHAnsi"/>
          <w:sz w:val="22"/>
          <w:szCs w:val="22"/>
        </w:rPr>
        <w:t xml:space="preserve">, </w:t>
      </w:r>
      <w:r w:rsidRPr="00901394">
        <w:rPr>
          <w:rFonts w:asciiTheme="minorHAnsi" w:hAnsiTheme="minorHAnsi" w:cstheme="minorHAnsi"/>
          <w:sz w:val="22"/>
          <w:szCs w:val="22"/>
        </w:rPr>
        <w:t xml:space="preserve">so that </w:t>
      </w:r>
      <w:proofErr w:type="spellStart"/>
      <w:r w:rsidRPr="00901394">
        <w:rPr>
          <w:rFonts w:asciiTheme="minorHAnsi" w:hAnsiTheme="minorHAnsi" w:cstheme="minorHAnsi"/>
          <w:sz w:val="22"/>
          <w:szCs w:val="22"/>
        </w:rPr>
        <w:t>tamariki</w:t>
      </w:r>
      <w:proofErr w:type="spellEnd"/>
      <w:r w:rsidRPr="00901394">
        <w:rPr>
          <w:rFonts w:asciiTheme="minorHAnsi" w:hAnsiTheme="minorHAnsi" w:cstheme="minorHAnsi"/>
          <w:sz w:val="22"/>
          <w:szCs w:val="22"/>
        </w:rPr>
        <w:t xml:space="preserve"> Māori in need of care and protection can be cared for within their </w:t>
      </w:r>
      <w:proofErr w:type="spellStart"/>
      <w:r w:rsidRPr="00901394">
        <w:rPr>
          <w:rFonts w:asciiTheme="minorHAnsi" w:hAnsiTheme="minorHAnsi" w:cstheme="minorHAnsi"/>
          <w:sz w:val="22"/>
          <w:szCs w:val="22"/>
        </w:rPr>
        <w:t>whānau</w:t>
      </w:r>
      <w:proofErr w:type="spellEnd"/>
      <w:r w:rsidRPr="00901394">
        <w:rPr>
          <w:rFonts w:asciiTheme="minorHAnsi" w:hAnsiTheme="minorHAnsi" w:cstheme="minorHAnsi"/>
          <w:sz w:val="22"/>
          <w:szCs w:val="22"/>
        </w:rPr>
        <w:t xml:space="preserve">, </w:t>
      </w:r>
      <w:proofErr w:type="spellStart"/>
      <w:r w:rsidRPr="00901394">
        <w:rPr>
          <w:rFonts w:asciiTheme="minorHAnsi" w:hAnsiTheme="minorHAnsi" w:cstheme="minorHAnsi"/>
          <w:sz w:val="22"/>
          <w:szCs w:val="22"/>
        </w:rPr>
        <w:t>hapū</w:t>
      </w:r>
      <w:proofErr w:type="spellEnd"/>
      <w:r w:rsidRPr="00901394">
        <w:rPr>
          <w:rFonts w:asciiTheme="minorHAnsi" w:hAnsiTheme="minorHAnsi" w:cstheme="minorHAnsi"/>
          <w:sz w:val="22"/>
          <w:szCs w:val="22"/>
        </w:rPr>
        <w:t xml:space="preserve"> and iwi.</w:t>
      </w:r>
      <w:r w:rsidRPr="00901394">
        <w:rPr>
          <w:rStyle w:val="FootnoteReference"/>
          <w:rFonts w:asciiTheme="minorHAnsi" w:eastAsiaTheme="majorEastAsia" w:hAnsiTheme="minorHAnsi" w:cstheme="minorHAnsi"/>
          <w:sz w:val="22"/>
          <w:szCs w:val="22"/>
        </w:rPr>
        <w:footnoteReference w:id="520"/>
      </w:r>
      <w:r w:rsidRPr="00901394">
        <w:rPr>
          <w:rFonts w:asciiTheme="minorHAnsi" w:hAnsiTheme="minorHAnsi" w:cstheme="minorHAnsi"/>
          <w:sz w:val="22"/>
          <w:szCs w:val="22"/>
        </w:rPr>
        <w:t xml:space="preserve"> To date, Government has entered into eight strategic partnerships with Māori.</w:t>
      </w:r>
      <w:r w:rsidRPr="00901394">
        <w:rPr>
          <w:rStyle w:val="FootnoteReference"/>
          <w:rFonts w:asciiTheme="minorHAnsi" w:eastAsiaTheme="majorEastAsia" w:hAnsiTheme="minorHAnsi" w:cstheme="minorHAnsi"/>
          <w:sz w:val="22"/>
          <w:szCs w:val="22"/>
        </w:rPr>
        <w:footnoteReference w:id="521"/>
      </w:r>
      <w:r w:rsidRPr="00901394">
        <w:rPr>
          <w:rFonts w:asciiTheme="minorHAnsi" w:hAnsiTheme="minorHAnsi" w:cstheme="minorHAnsi"/>
          <w:sz w:val="22"/>
          <w:szCs w:val="22"/>
        </w:rPr>
        <w:t xml:space="preserve"> </w:t>
      </w:r>
    </w:p>
    <w:p w14:paraId="2B906135" w14:textId="77777777" w:rsidR="00286439" w:rsidRPr="00901394" w:rsidRDefault="00286439" w:rsidP="00286439">
      <w:pPr>
        <w:pStyle w:val="NormalWeb"/>
        <w:rPr>
          <w:rFonts w:asciiTheme="minorHAnsi" w:hAnsiTheme="minorHAnsi" w:cstheme="minorHAnsi"/>
          <w:sz w:val="22"/>
          <w:szCs w:val="22"/>
        </w:rPr>
      </w:pPr>
      <w:r w:rsidRPr="00901394">
        <w:rPr>
          <w:rFonts w:asciiTheme="minorHAnsi" w:hAnsiTheme="minorHAnsi" w:cstheme="minorHAnsi"/>
          <w:sz w:val="22"/>
          <w:szCs w:val="22"/>
        </w:rPr>
        <w:lastRenderedPageBreak/>
        <w:t xml:space="preserve">The vision for the Royal Commission is </w:t>
      </w:r>
      <w:r w:rsidRPr="00901394">
        <w:rPr>
          <w:rFonts w:asciiTheme="minorHAnsi" w:hAnsiTheme="minorHAnsi" w:cstheme="minorHAnsi"/>
          <w:color w:val="001C2E"/>
          <w:sz w:val="22"/>
          <w:szCs w:val="22"/>
          <w:shd w:val="clear" w:color="auto" w:fill="FFFFFF"/>
        </w:rPr>
        <w:t>“transforming the way we, as a nation, care for children, young people and vulnerable adults in our communities.”</w:t>
      </w:r>
      <w:r w:rsidRPr="00901394">
        <w:rPr>
          <w:rStyle w:val="FootnoteReference"/>
          <w:rFonts w:asciiTheme="minorHAnsi" w:eastAsiaTheme="majorEastAsia" w:hAnsiTheme="minorHAnsi" w:cstheme="minorHAnsi"/>
          <w:color w:val="001C2E"/>
          <w:sz w:val="22"/>
          <w:szCs w:val="22"/>
          <w:shd w:val="clear" w:color="auto" w:fill="FFFFFF"/>
        </w:rPr>
        <w:footnoteReference w:id="522"/>
      </w:r>
      <w:r w:rsidRPr="00901394">
        <w:rPr>
          <w:rFonts w:asciiTheme="minorHAnsi" w:hAnsiTheme="minorHAnsi" w:cstheme="minorHAnsi"/>
          <w:sz w:val="22"/>
          <w:szCs w:val="22"/>
        </w:rPr>
        <w:t xml:space="preserve"> </w:t>
      </w:r>
      <w:r w:rsidRPr="00901394">
        <w:rPr>
          <w:rStyle w:val="FootnoteReference"/>
          <w:rFonts w:asciiTheme="minorHAnsi" w:eastAsiaTheme="majorEastAsia" w:hAnsiTheme="minorHAnsi" w:cstheme="minorHAnsi"/>
          <w:sz w:val="22"/>
          <w:szCs w:val="22"/>
        </w:rPr>
        <w:footnoteReference w:id="523"/>
      </w:r>
      <w:r w:rsidRPr="00901394">
        <w:rPr>
          <w:rFonts w:asciiTheme="minorHAnsi" w:hAnsiTheme="minorHAnsi" w:cstheme="minorHAnsi"/>
          <w:sz w:val="22"/>
          <w:szCs w:val="22"/>
        </w:rPr>
        <w:t xml:space="preserve"> The work and recommendations of the Royal Commission, and the experiences and views of survivors of abuse in state care, and the children who have experienced state care, must be central to shaping change to OT. </w:t>
      </w:r>
    </w:p>
    <w:p w14:paraId="5CEDE759" w14:textId="77777777" w:rsidR="00286439" w:rsidRDefault="00286439" w:rsidP="00901394">
      <w:pPr>
        <w:pStyle w:val="Heading2"/>
      </w:pPr>
      <w:bookmarkStart w:id="94" w:name="_Toc111407702"/>
      <w:bookmarkStart w:id="95" w:name="_Toc111449487"/>
      <w:bookmarkStart w:id="96" w:name="_Toc111485510"/>
      <w:r>
        <w:t>Conclusion</w:t>
      </w:r>
      <w:bookmarkEnd w:id="94"/>
      <w:bookmarkEnd w:id="95"/>
      <w:bookmarkEnd w:id="96"/>
    </w:p>
    <w:p w14:paraId="2DD12AE8" w14:textId="77777777" w:rsidR="00286439" w:rsidRPr="00901394" w:rsidRDefault="00286439" w:rsidP="00286439">
      <w:pPr>
        <w:pStyle w:val="NormalWeb"/>
        <w:rPr>
          <w:rFonts w:asciiTheme="minorHAnsi" w:hAnsiTheme="minorHAnsi" w:cstheme="minorHAnsi"/>
          <w:sz w:val="22"/>
          <w:szCs w:val="22"/>
        </w:rPr>
      </w:pPr>
      <w:r w:rsidRPr="00901394">
        <w:rPr>
          <w:rFonts w:asciiTheme="minorHAnsi" w:hAnsiTheme="minorHAnsi" w:cstheme="minorHAnsi"/>
          <w:sz w:val="22"/>
          <w:szCs w:val="22"/>
        </w:rPr>
        <w:t xml:space="preserve">The Oversight Bill 2021 raises a myriad of issues to do with the rights and wellbeing of children. This period in the evolution of Aotearoa’s care, protection and youth justice systems has revealed crucial questions about the adequacy of successive government efforts to understand and address the underlying social and economic determinants of risk leading to child abuse, neglect and youth offending, and the tendency of governments and the public service to see themselves at the heart of solving social problems. This fails to recognise the critical role of </w:t>
      </w:r>
      <w:proofErr w:type="spellStart"/>
      <w:r w:rsidRPr="00901394">
        <w:rPr>
          <w:rFonts w:asciiTheme="minorHAnsi" w:hAnsiTheme="minorHAnsi" w:cstheme="minorHAnsi"/>
          <w:color w:val="000000"/>
          <w:sz w:val="22"/>
          <w:szCs w:val="22"/>
        </w:rPr>
        <w:t>whānau</w:t>
      </w:r>
      <w:proofErr w:type="spellEnd"/>
      <w:r w:rsidRPr="00901394">
        <w:rPr>
          <w:rFonts w:asciiTheme="minorHAnsi" w:hAnsiTheme="minorHAnsi" w:cstheme="minorHAnsi"/>
          <w:sz w:val="22"/>
          <w:szCs w:val="22"/>
        </w:rPr>
        <w:t xml:space="preserve">, </w:t>
      </w:r>
      <w:proofErr w:type="spellStart"/>
      <w:r w:rsidRPr="00901394">
        <w:rPr>
          <w:rFonts w:asciiTheme="minorHAnsi" w:hAnsiTheme="minorHAnsi" w:cstheme="minorHAnsi"/>
          <w:color w:val="000000"/>
          <w:sz w:val="22"/>
          <w:szCs w:val="22"/>
        </w:rPr>
        <w:t>hapū</w:t>
      </w:r>
      <w:proofErr w:type="spellEnd"/>
      <w:r w:rsidRPr="00901394">
        <w:rPr>
          <w:rFonts w:asciiTheme="minorHAnsi" w:hAnsiTheme="minorHAnsi" w:cstheme="minorHAnsi"/>
          <w:sz w:val="22"/>
          <w:szCs w:val="22"/>
        </w:rPr>
        <w:t xml:space="preserve"> and iwi, and of families and communities themselves, taking the lead in shaping solutions that uphold their rights.</w:t>
      </w:r>
      <w:r w:rsidRPr="00901394">
        <w:rPr>
          <w:rStyle w:val="FootnoteReference"/>
          <w:rFonts w:asciiTheme="minorHAnsi" w:eastAsiaTheme="majorEastAsia" w:hAnsiTheme="minorHAnsi" w:cstheme="minorHAnsi"/>
          <w:sz w:val="22"/>
          <w:szCs w:val="22"/>
        </w:rPr>
        <w:footnoteReference w:id="524"/>
      </w:r>
      <w:r w:rsidRPr="00901394">
        <w:rPr>
          <w:rFonts w:asciiTheme="minorHAnsi" w:hAnsiTheme="minorHAnsi" w:cstheme="minorHAnsi"/>
          <w:sz w:val="22"/>
          <w:szCs w:val="22"/>
        </w:rPr>
        <w:t xml:space="preserve"> </w:t>
      </w:r>
    </w:p>
    <w:p w14:paraId="4C67DD7F" w14:textId="28A52745" w:rsidR="00286439" w:rsidRPr="00901394" w:rsidRDefault="00286439" w:rsidP="00286439">
      <w:pPr>
        <w:pStyle w:val="NormalWeb"/>
        <w:rPr>
          <w:rFonts w:asciiTheme="minorHAnsi" w:hAnsiTheme="minorHAnsi" w:cstheme="minorHAnsi"/>
          <w:sz w:val="22"/>
          <w:szCs w:val="22"/>
        </w:rPr>
      </w:pPr>
      <w:r w:rsidRPr="00901394">
        <w:rPr>
          <w:rFonts w:asciiTheme="minorHAnsi" w:hAnsiTheme="minorHAnsi" w:cstheme="minorHAnsi"/>
          <w:sz w:val="22"/>
          <w:szCs w:val="22"/>
        </w:rPr>
        <w:t xml:space="preserve">Giving effect to the statutory requirement to take children’s rights into account in decision-making in OT will require strong, respectful relationships, collaboration and a collective approach between Government, </w:t>
      </w:r>
      <w:proofErr w:type="gramStart"/>
      <w:r w:rsidRPr="00901394">
        <w:rPr>
          <w:rFonts w:asciiTheme="minorHAnsi" w:hAnsiTheme="minorHAnsi" w:cstheme="minorHAnsi"/>
          <w:sz w:val="22"/>
          <w:szCs w:val="22"/>
        </w:rPr>
        <w:t>Māori</w:t>
      </w:r>
      <w:proofErr w:type="gramEnd"/>
      <w:r w:rsidRPr="00901394">
        <w:rPr>
          <w:rFonts w:asciiTheme="minorHAnsi" w:hAnsiTheme="minorHAnsi" w:cstheme="minorHAnsi"/>
          <w:sz w:val="22"/>
          <w:szCs w:val="22"/>
        </w:rPr>
        <w:t xml:space="preserve"> and community organisations. This needs to be based on a shared understanding of children’s rights and </w:t>
      </w:r>
      <w:proofErr w:type="gramStart"/>
      <w:r w:rsidRPr="00901394">
        <w:rPr>
          <w:rFonts w:asciiTheme="minorHAnsi" w:hAnsiTheme="minorHAnsi" w:cstheme="minorHAnsi"/>
          <w:sz w:val="22"/>
          <w:szCs w:val="22"/>
        </w:rPr>
        <w:t>an</w:t>
      </w:r>
      <w:proofErr w:type="gramEnd"/>
      <w:r w:rsidRPr="00901394">
        <w:rPr>
          <w:rFonts w:asciiTheme="minorHAnsi" w:hAnsiTheme="minorHAnsi" w:cstheme="minorHAnsi"/>
          <w:sz w:val="22"/>
          <w:szCs w:val="22"/>
        </w:rPr>
        <w:t xml:space="preserve"> holistic approach when embedding children’s rights in OT practice, to strike a balance between protection, provision and participation rights. For </w:t>
      </w:r>
      <w:proofErr w:type="spellStart"/>
      <w:r w:rsidRPr="00901394">
        <w:rPr>
          <w:rFonts w:asciiTheme="minorHAnsi" w:hAnsiTheme="minorHAnsi" w:cstheme="minorHAnsi"/>
          <w:sz w:val="22"/>
          <w:szCs w:val="22"/>
        </w:rPr>
        <w:t>tamariki</w:t>
      </w:r>
      <w:proofErr w:type="spellEnd"/>
      <w:r w:rsidRPr="00901394">
        <w:rPr>
          <w:rFonts w:asciiTheme="minorHAnsi" w:hAnsiTheme="minorHAnsi" w:cstheme="minorHAnsi"/>
          <w:sz w:val="22"/>
          <w:szCs w:val="22"/>
        </w:rPr>
        <w:t xml:space="preserve"> Māori and their </w:t>
      </w:r>
      <w:proofErr w:type="spellStart"/>
      <w:r w:rsidRPr="00901394">
        <w:rPr>
          <w:rFonts w:asciiTheme="minorHAnsi" w:hAnsiTheme="minorHAnsi" w:cstheme="minorHAnsi"/>
          <w:sz w:val="22"/>
          <w:szCs w:val="22"/>
        </w:rPr>
        <w:t>whānau</w:t>
      </w:r>
      <w:proofErr w:type="spellEnd"/>
      <w:r w:rsidRPr="00901394">
        <w:rPr>
          <w:rFonts w:asciiTheme="minorHAnsi" w:hAnsiTheme="minorHAnsi" w:cstheme="minorHAnsi"/>
          <w:sz w:val="22"/>
          <w:szCs w:val="22"/>
        </w:rPr>
        <w:t xml:space="preserve">, this needs to include active implementation of both children’s rights (under the CRC and UNDRIP, among other international instruments) and </w:t>
      </w:r>
      <w:proofErr w:type="spellStart"/>
      <w:r w:rsidRPr="00901394">
        <w:rPr>
          <w:rFonts w:asciiTheme="minorHAnsi" w:hAnsiTheme="minorHAnsi" w:cstheme="minorHAnsi"/>
          <w:sz w:val="22"/>
          <w:szCs w:val="22"/>
        </w:rPr>
        <w:t>Te</w:t>
      </w:r>
      <w:proofErr w:type="spellEnd"/>
      <w:r w:rsidRPr="00901394">
        <w:rPr>
          <w:rFonts w:asciiTheme="minorHAnsi" w:hAnsiTheme="minorHAnsi" w:cstheme="minorHAnsi"/>
          <w:sz w:val="22"/>
          <w:szCs w:val="22"/>
        </w:rPr>
        <w:t xml:space="preserve"> </w:t>
      </w:r>
      <w:proofErr w:type="spellStart"/>
      <w:r w:rsidRPr="00901394">
        <w:rPr>
          <w:rFonts w:asciiTheme="minorHAnsi" w:hAnsiTheme="minorHAnsi" w:cstheme="minorHAnsi"/>
          <w:sz w:val="22"/>
          <w:szCs w:val="22"/>
        </w:rPr>
        <w:t>Tiriti</w:t>
      </w:r>
      <w:proofErr w:type="spellEnd"/>
      <w:r w:rsidRPr="00901394">
        <w:rPr>
          <w:rFonts w:asciiTheme="minorHAnsi" w:hAnsiTheme="minorHAnsi" w:cstheme="minorHAnsi"/>
          <w:sz w:val="22"/>
          <w:szCs w:val="22"/>
        </w:rPr>
        <w:t xml:space="preserve"> o Waitangi. In its seventh report </w:t>
      </w:r>
      <w:r w:rsidRPr="00901394">
        <w:rPr>
          <w:rFonts w:asciiTheme="minorHAnsi" w:hAnsiTheme="minorHAnsi" w:cstheme="minorHAnsi"/>
          <w:i/>
          <w:iCs/>
          <w:sz w:val="22"/>
          <w:szCs w:val="22"/>
        </w:rPr>
        <w:t xml:space="preserve">A duty to care: me </w:t>
      </w:r>
      <w:proofErr w:type="spellStart"/>
      <w:r w:rsidRPr="00901394">
        <w:rPr>
          <w:rFonts w:asciiTheme="minorHAnsi" w:hAnsiTheme="minorHAnsi" w:cstheme="minorHAnsi"/>
          <w:i/>
          <w:iCs/>
          <w:sz w:val="22"/>
          <w:szCs w:val="22"/>
        </w:rPr>
        <w:t>manaaki</w:t>
      </w:r>
      <w:proofErr w:type="spellEnd"/>
      <w:r w:rsidRPr="00901394">
        <w:rPr>
          <w:rFonts w:asciiTheme="minorHAnsi" w:hAnsiTheme="minorHAnsi" w:cstheme="minorHAnsi"/>
          <w:i/>
          <w:iCs/>
          <w:sz w:val="22"/>
          <w:szCs w:val="22"/>
        </w:rPr>
        <w:t xml:space="preserve"> </w:t>
      </w:r>
      <w:proofErr w:type="spellStart"/>
      <w:r w:rsidRPr="00901394">
        <w:rPr>
          <w:rFonts w:asciiTheme="minorHAnsi" w:hAnsiTheme="minorHAnsi" w:cstheme="minorHAnsi"/>
          <w:i/>
          <w:iCs/>
          <w:sz w:val="22"/>
          <w:szCs w:val="22"/>
        </w:rPr>
        <w:t>te</w:t>
      </w:r>
      <w:proofErr w:type="spellEnd"/>
      <w:r w:rsidRPr="00901394">
        <w:rPr>
          <w:rFonts w:asciiTheme="minorHAnsi" w:hAnsiTheme="minorHAnsi" w:cstheme="minorHAnsi"/>
          <w:i/>
          <w:iCs/>
          <w:sz w:val="22"/>
          <w:szCs w:val="22"/>
        </w:rPr>
        <w:t xml:space="preserve"> </w:t>
      </w:r>
      <w:proofErr w:type="spellStart"/>
      <w:r w:rsidRPr="00901394">
        <w:rPr>
          <w:rFonts w:asciiTheme="minorHAnsi" w:hAnsiTheme="minorHAnsi" w:cstheme="minorHAnsi"/>
          <w:i/>
          <w:iCs/>
          <w:sz w:val="22"/>
          <w:szCs w:val="22"/>
        </w:rPr>
        <w:t>tangata</w:t>
      </w:r>
      <w:proofErr w:type="spellEnd"/>
      <w:r w:rsidRPr="00901394">
        <w:rPr>
          <w:rFonts w:asciiTheme="minorHAnsi" w:hAnsiTheme="minorHAnsi" w:cstheme="minorHAnsi"/>
          <w:sz w:val="22"/>
          <w:szCs w:val="22"/>
        </w:rPr>
        <w:t xml:space="preserve">, the Family Violence Death Review Committee (FVDRC) explored the factors that have pushed Aotearoa away from caring for people who experience family violence. The FVDRC posed a series of reflective questions for government agencies seeking to work as </w:t>
      </w:r>
      <w:r w:rsidRPr="00901394">
        <w:rPr>
          <w:rFonts w:asciiTheme="minorHAnsi" w:hAnsiTheme="minorHAnsi" w:cstheme="minorHAnsi"/>
          <w:sz w:val="22"/>
          <w:szCs w:val="22"/>
        </w:rPr>
        <w:lastRenderedPageBreak/>
        <w:t xml:space="preserve">good partners with </w:t>
      </w:r>
      <w:proofErr w:type="spellStart"/>
      <w:r w:rsidRPr="00901394">
        <w:rPr>
          <w:rFonts w:asciiTheme="minorHAnsi" w:hAnsiTheme="minorHAnsi" w:cstheme="minorHAnsi"/>
          <w:sz w:val="22"/>
          <w:szCs w:val="22"/>
        </w:rPr>
        <w:t>hapori</w:t>
      </w:r>
      <w:proofErr w:type="spellEnd"/>
      <w:r w:rsidRPr="00901394">
        <w:rPr>
          <w:rFonts w:asciiTheme="minorHAnsi" w:hAnsiTheme="minorHAnsi" w:cstheme="minorHAnsi"/>
          <w:sz w:val="22"/>
          <w:szCs w:val="22"/>
        </w:rPr>
        <w:t>/community.</w:t>
      </w:r>
      <w:r w:rsidRPr="00901394">
        <w:rPr>
          <w:rStyle w:val="FootnoteReference"/>
          <w:rFonts w:asciiTheme="minorHAnsi" w:eastAsiaTheme="majorEastAsia" w:hAnsiTheme="minorHAnsi" w:cstheme="minorHAnsi"/>
          <w:sz w:val="22"/>
          <w:szCs w:val="22"/>
        </w:rPr>
        <w:footnoteReference w:id="525"/>
      </w:r>
      <w:r w:rsidRPr="00901394">
        <w:rPr>
          <w:rFonts w:asciiTheme="minorHAnsi" w:hAnsiTheme="minorHAnsi" w:cstheme="minorHAnsi"/>
          <w:sz w:val="22"/>
          <w:szCs w:val="22"/>
        </w:rPr>
        <w:t xml:space="preserve"> These questions should underpin the development of OT policy and practice development.</w:t>
      </w:r>
    </w:p>
    <w:p w14:paraId="425AEE0A" w14:textId="0CB71F98" w:rsidR="00286439" w:rsidRPr="00901394" w:rsidRDefault="00286439" w:rsidP="00286439">
      <w:pPr>
        <w:rPr>
          <w:rFonts w:cstheme="minorHAnsi"/>
          <w:sz w:val="22"/>
          <w:szCs w:val="22"/>
          <w:lang w:val="en-US"/>
        </w:rPr>
      </w:pPr>
      <w:r w:rsidRPr="00901394">
        <w:rPr>
          <w:rFonts w:cstheme="minorHAnsi"/>
          <w:sz w:val="22"/>
          <w:szCs w:val="22"/>
          <w:lang w:val="en-US"/>
        </w:rPr>
        <w:t xml:space="preserve">The Bill has also, unfortunately, been a missed opportunity to strengthen the Children’s Commissioner’s Office so that it continues to be an effective, authoritative and independent voice for all children in Aotearoa, grounded in evidence, research and </w:t>
      </w:r>
      <w:proofErr w:type="spellStart"/>
      <w:r w:rsidRPr="00901394">
        <w:rPr>
          <w:rFonts w:cstheme="minorHAnsi"/>
          <w:sz w:val="22"/>
          <w:szCs w:val="22"/>
          <w:lang w:val="en-US"/>
        </w:rPr>
        <w:t>maatauranga</w:t>
      </w:r>
      <w:proofErr w:type="spellEnd"/>
      <w:r w:rsidRPr="00901394">
        <w:rPr>
          <w:rFonts w:cstheme="minorHAnsi"/>
          <w:sz w:val="22"/>
          <w:szCs w:val="22"/>
          <w:lang w:val="en-US"/>
        </w:rPr>
        <w:t xml:space="preserve"> about children and their lives, and with the </w:t>
      </w:r>
      <w:r w:rsidRPr="00901394">
        <w:rPr>
          <w:rFonts w:eastAsia="Calibri" w:cstheme="minorHAnsi"/>
          <w:bCs/>
          <w:sz w:val="22"/>
          <w:szCs w:val="22"/>
        </w:rPr>
        <w:t>independence, mandate and resources needed to effectively monitor, protect and promote children’s rights in accordance with the Committee’s General Comment No. 2 and previous recommendations.</w:t>
      </w:r>
      <w:r w:rsidRPr="00901394">
        <w:rPr>
          <w:rStyle w:val="FootnoteReference"/>
          <w:rFonts w:eastAsia="Calibri" w:cstheme="minorHAnsi"/>
          <w:sz w:val="22"/>
          <w:szCs w:val="22"/>
        </w:rPr>
        <w:footnoteReference w:id="526"/>
      </w:r>
      <w:r w:rsidRPr="00901394">
        <w:rPr>
          <w:rFonts w:cstheme="minorHAnsi"/>
          <w:sz w:val="22"/>
          <w:szCs w:val="22"/>
          <w:lang w:val="en-US"/>
        </w:rPr>
        <w:t xml:space="preserve"> </w:t>
      </w:r>
    </w:p>
    <w:p w14:paraId="214AFD71" w14:textId="474A7FFC" w:rsidR="00066A06" w:rsidRDefault="00286439" w:rsidP="00286439">
      <w:pPr>
        <w:rPr>
          <w:rFonts w:cstheme="minorHAnsi"/>
          <w:lang w:val="en-US"/>
        </w:rPr>
        <w:sectPr w:rsidR="00066A06" w:rsidSect="00066A06">
          <w:footnotePr>
            <w:numRestart w:val="eachSect"/>
          </w:footnotePr>
          <w:type w:val="continuous"/>
          <w:pgSz w:w="11906" w:h="16838"/>
          <w:pgMar w:top="1650" w:right="1021" w:bottom="2126" w:left="1440" w:header="709" w:footer="11" w:gutter="0"/>
          <w:cols w:space="708"/>
          <w:titlePg/>
          <w:docGrid w:linePitch="360"/>
        </w:sectPr>
      </w:pPr>
      <w:r w:rsidRPr="00901394">
        <w:rPr>
          <w:rFonts w:cstheme="minorHAnsi"/>
          <w:sz w:val="22"/>
          <w:szCs w:val="22"/>
          <w:lang w:val="en-US"/>
        </w:rPr>
        <w:t xml:space="preserve">We hope that when the legislation comes up for review over the next three years, the opportunity is seized to design, in consultation with children, a Children’s Commissioner’s Office with the structure and functions to be a true champion for all children in Aotearoa, and all their rights, in all circumstances, now and into the </w:t>
      </w:r>
      <w:r w:rsidR="00066A06" w:rsidRPr="00901394">
        <w:rPr>
          <w:rFonts w:cstheme="minorHAnsi"/>
          <w:sz w:val="22"/>
          <w:szCs w:val="22"/>
          <w:lang w:val="en-US"/>
        </w:rPr>
        <w:t>futur</w:t>
      </w:r>
      <w:r w:rsidR="00901394">
        <w:rPr>
          <w:rFonts w:cstheme="minorHAnsi"/>
          <w:sz w:val="22"/>
          <w:szCs w:val="22"/>
          <w:lang w:val="en-US"/>
        </w:rPr>
        <w:t>e.</w:t>
      </w:r>
    </w:p>
    <w:p w14:paraId="50797AAE" w14:textId="50F4B6A1" w:rsidR="003B6211" w:rsidRDefault="003B6211">
      <w:pPr>
        <w:rPr>
          <w:rFonts w:asciiTheme="majorHAnsi" w:eastAsiaTheme="majorEastAsia" w:hAnsiTheme="majorHAnsi" w:cstheme="majorBidi"/>
          <w:b/>
          <w:bCs/>
          <w:color w:val="25409A" w:themeColor="text2"/>
          <w:sz w:val="28"/>
          <w:szCs w:val="28"/>
        </w:rPr>
      </w:pPr>
      <w:r>
        <w:br w:type="page"/>
      </w:r>
    </w:p>
    <w:p w14:paraId="570F2D02" w14:textId="77777777" w:rsidR="001970E8" w:rsidRDefault="001970E8" w:rsidP="003B6211">
      <w:pPr>
        <w:pStyle w:val="Heading1"/>
      </w:pPr>
    </w:p>
    <w:p w14:paraId="461B95D1" w14:textId="77777777" w:rsidR="00B74340" w:rsidRDefault="00B74340" w:rsidP="00B74340">
      <w:pPr>
        <w:jc w:val="center"/>
      </w:pPr>
    </w:p>
    <w:p w14:paraId="1B3858C7" w14:textId="77777777" w:rsidR="00B74340" w:rsidRDefault="00B74340" w:rsidP="00B74340">
      <w:pPr>
        <w:jc w:val="center"/>
      </w:pPr>
    </w:p>
    <w:p w14:paraId="68D208C6" w14:textId="77777777" w:rsidR="00B74340" w:rsidRDefault="00B74340" w:rsidP="00B74340">
      <w:pPr>
        <w:jc w:val="center"/>
      </w:pPr>
    </w:p>
    <w:p w14:paraId="1E9DEB11" w14:textId="77777777" w:rsidR="00B74340" w:rsidRDefault="00B74340" w:rsidP="00B74340">
      <w:pPr>
        <w:jc w:val="center"/>
      </w:pPr>
    </w:p>
    <w:p w14:paraId="2C7FD08F" w14:textId="77777777" w:rsidR="00B74340" w:rsidRDefault="00B74340" w:rsidP="00B74340">
      <w:pPr>
        <w:jc w:val="center"/>
      </w:pPr>
    </w:p>
    <w:p w14:paraId="09D9B4A5" w14:textId="77777777" w:rsidR="00B74340" w:rsidRDefault="00B74340" w:rsidP="00B74340">
      <w:pPr>
        <w:jc w:val="center"/>
      </w:pPr>
    </w:p>
    <w:p w14:paraId="487EFE7D" w14:textId="77777777" w:rsidR="00B74340" w:rsidRDefault="00B74340" w:rsidP="00B74340">
      <w:pPr>
        <w:jc w:val="center"/>
      </w:pPr>
    </w:p>
    <w:p w14:paraId="5C48F365" w14:textId="2D8FB484" w:rsidR="00B74340" w:rsidRPr="00B74340" w:rsidRDefault="00B74340" w:rsidP="00B74340">
      <w:pPr>
        <w:jc w:val="center"/>
      </w:pPr>
      <w:r>
        <w:rPr>
          <w:noProof/>
        </w:rPr>
        <w:drawing>
          <wp:inline distT="0" distB="0" distL="0" distR="0" wp14:anchorId="41DFA142" wp14:editId="7AF37E26">
            <wp:extent cx="5158740" cy="17062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58740" cy="1706245"/>
                    </a:xfrm>
                    <a:prstGeom prst="rect">
                      <a:avLst/>
                    </a:prstGeom>
                    <a:noFill/>
                    <a:ln>
                      <a:noFill/>
                    </a:ln>
                  </pic:spPr>
                </pic:pic>
              </a:graphicData>
            </a:graphic>
          </wp:inline>
        </w:drawing>
      </w:r>
    </w:p>
    <w:p w14:paraId="75AE55F6" w14:textId="51078950" w:rsidR="00B74340" w:rsidRDefault="00B74340" w:rsidP="00B74340">
      <w:pPr>
        <w:jc w:val="center"/>
        <w:rPr>
          <w:b/>
          <w:sz w:val="40"/>
          <w:szCs w:val="40"/>
        </w:rPr>
      </w:pPr>
    </w:p>
    <w:p w14:paraId="292BA99D" w14:textId="77777777" w:rsidR="00B74340" w:rsidRPr="00B74340" w:rsidRDefault="00B74340" w:rsidP="00B74340">
      <w:pPr>
        <w:jc w:val="center"/>
        <w:rPr>
          <w:b/>
          <w:bCs/>
          <w:sz w:val="40"/>
          <w:szCs w:val="40"/>
        </w:rPr>
      </w:pPr>
    </w:p>
    <w:p w14:paraId="6C03F269" w14:textId="0B16C6ED" w:rsidR="00B74340" w:rsidRDefault="00B74340" w:rsidP="00B74340">
      <w:pPr>
        <w:ind w:left="720"/>
        <w:rPr>
          <w:sz w:val="30"/>
          <w:szCs w:val="30"/>
        </w:rPr>
      </w:pPr>
      <w:r w:rsidRPr="00B74340">
        <w:rPr>
          <w:b/>
          <w:bCs/>
          <w:sz w:val="30"/>
          <w:szCs w:val="30"/>
        </w:rPr>
        <w:t>W:</w:t>
      </w:r>
      <w:r w:rsidRPr="00B74340">
        <w:rPr>
          <w:b/>
          <w:bCs/>
          <w:sz w:val="30"/>
          <w:szCs w:val="30"/>
        </w:rPr>
        <w:tab/>
      </w:r>
      <w:hyperlink r:id="rId19" w:history="1">
        <w:r w:rsidRPr="00B74340">
          <w:rPr>
            <w:rStyle w:val="Hyperlink"/>
            <w:sz w:val="30"/>
            <w:szCs w:val="30"/>
          </w:rPr>
          <w:t>https://www.childrensrightsalliance.org.nz/</w:t>
        </w:r>
      </w:hyperlink>
    </w:p>
    <w:p w14:paraId="03DA323E" w14:textId="77777777" w:rsidR="00B74340" w:rsidRPr="00B74340" w:rsidRDefault="00B74340" w:rsidP="00B74340">
      <w:pPr>
        <w:ind w:left="720"/>
        <w:rPr>
          <w:b/>
          <w:bCs/>
          <w:sz w:val="30"/>
          <w:szCs w:val="30"/>
        </w:rPr>
      </w:pPr>
    </w:p>
    <w:p w14:paraId="65A4BBC2" w14:textId="7E7840A4" w:rsidR="00B74340" w:rsidRPr="00B74340" w:rsidRDefault="00B74340" w:rsidP="00B74340">
      <w:pPr>
        <w:ind w:left="720"/>
        <w:rPr>
          <w:sz w:val="30"/>
          <w:szCs w:val="30"/>
        </w:rPr>
      </w:pPr>
      <w:r w:rsidRPr="00B74340">
        <w:rPr>
          <w:b/>
          <w:bCs/>
          <w:sz w:val="30"/>
          <w:szCs w:val="30"/>
        </w:rPr>
        <w:t xml:space="preserve">E: </w:t>
      </w:r>
      <w:r w:rsidRPr="00B74340">
        <w:rPr>
          <w:b/>
          <w:bCs/>
          <w:sz w:val="30"/>
          <w:szCs w:val="30"/>
        </w:rPr>
        <w:tab/>
      </w:r>
      <w:hyperlink r:id="rId20" w:history="1">
        <w:r w:rsidRPr="00B74340">
          <w:rPr>
            <w:rStyle w:val="Hyperlink"/>
            <w:sz w:val="30"/>
            <w:szCs w:val="30"/>
          </w:rPr>
          <w:t>info@childrensrightsalliance.org.nz</w:t>
        </w:r>
      </w:hyperlink>
      <w:r w:rsidRPr="00B74340">
        <w:rPr>
          <w:sz w:val="30"/>
          <w:szCs w:val="30"/>
        </w:rPr>
        <w:t xml:space="preserve">  </w:t>
      </w:r>
    </w:p>
    <w:p w14:paraId="58BE010B" w14:textId="77777777" w:rsidR="009F7466" w:rsidRPr="0098120F" w:rsidRDefault="009F7466" w:rsidP="009F7466">
      <w:pPr>
        <w:rPr>
          <w:sz w:val="22"/>
          <w:szCs w:val="22"/>
        </w:rPr>
      </w:pPr>
    </w:p>
    <w:sectPr w:rsidR="009F7466" w:rsidRPr="0098120F" w:rsidSect="00066A06">
      <w:type w:val="continuous"/>
      <w:pgSz w:w="11906" w:h="16838"/>
      <w:pgMar w:top="1650" w:right="1021" w:bottom="2126" w:left="1440" w:header="709" w:footer="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EF9C" w14:textId="77777777" w:rsidR="00E827E3" w:rsidRDefault="00E827E3" w:rsidP="008310B1">
      <w:r>
        <w:separator/>
      </w:r>
    </w:p>
  </w:endnote>
  <w:endnote w:type="continuationSeparator" w:id="0">
    <w:p w14:paraId="7D2425F0" w14:textId="77777777" w:rsidR="00E827E3" w:rsidRDefault="00E827E3" w:rsidP="0083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4123838"/>
      <w:docPartObj>
        <w:docPartGallery w:val="Page Numbers (Bottom of Page)"/>
        <w:docPartUnique/>
      </w:docPartObj>
    </w:sdtPr>
    <w:sdtContent>
      <w:p w14:paraId="1EA8EF13" w14:textId="5AF61A07" w:rsidR="00357EBA" w:rsidRDefault="00357EBA" w:rsidP="00373F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2B2149" w14:textId="77777777" w:rsidR="00357EBA" w:rsidRDefault="00357EBA" w:rsidP="00357E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C14C" w14:textId="4F80E7B1" w:rsidR="00D7491E" w:rsidRDefault="00D7491E" w:rsidP="00D7491E">
    <w:pPr>
      <w:pStyle w:val="Header"/>
      <w:ind w:hanging="709"/>
    </w:pPr>
    <w:r w:rsidRPr="00A81F3E">
      <w:rPr>
        <w:noProof/>
      </w:rPr>
      <w:drawing>
        <wp:inline distT="0" distB="0" distL="0" distR="0" wp14:anchorId="275ED681" wp14:editId="7C57CDD4">
          <wp:extent cx="1599886" cy="528041"/>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54033" cy="545912"/>
                  </a:xfrm>
                  <a:prstGeom prst="rect">
                    <a:avLst/>
                  </a:prstGeom>
                </pic:spPr>
              </pic:pic>
            </a:graphicData>
          </a:graphic>
        </wp:inline>
      </w:drawing>
    </w:r>
    <w:r>
      <w:t xml:space="preserve">    </w:t>
    </w:r>
    <w:r>
      <w:rPr>
        <w:noProof/>
      </w:rPr>
      <w:drawing>
        <wp:inline distT="0" distB="0" distL="0" distR="0" wp14:anchorId="3C8D2F71" wp14:editId="1B4973E3">
          <wp:extent cx="1846943" cy="628198"/>
          <wp:effectExtent l="0" t="0" r="1270" b="63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6999" cy="652026"/>
                  </a:xfrm>
                  <a:prstGeom prst="rect">
                    <a:avLst/>
                  </a:prstGeom>
                </pic:spPr>
              </pic:pic>
            </a:graphicData>
          </a:graphic>
        </wp:inline>
      </w:drawing>
    </w:r>
    <w:r>
      <w:t xml:space="preserve">  </w:t>
    </w:r>
    <w:r w:rsidR="0026356A">
      <w:tab/>
    </w:r>
    <w:r w:rsidR="0026356A">
      <w:rPr>
        <w:rStyle w:val="PageNumber"/>
        <w:sz w:val="16"/>
        <w:szCs w:val="16"/>
      </w:rPr>
      <w:fldChar w:fldCharType="begin"/>
    </w:r>
    <w:r w:rsidR="0026356A">
      <w:rPr>
        <w:rStyle w:val="PageNumber"/>
        <w:sz w:val="16"/>
        <w:szCs w:val="16"/>
      </w:rPr>
      <w:instrText xml:space="preserve"> PAGE </w:instrText>
    </w:r>
    <w:r w:rsidR="0026356A">
      <w:rPr>
        <w:rStyle w:val="PageNumber"/>
        <w:sz w:val="16"/>
        <w:szCs w:val="16"/>
      </w:rPr>
      <w:fldChar w:fldCharType="separate"/>
    </w:r>
    <w:r w:rsidR="0026356A">
      <w:rPr>
        <w:rStyle w:val="PageNumber"/>
        <w:noProof/>
        <w:sz w:val="16"/>
        <w:szCs w:val="16"/>
      </w:rPr>
      <w:t>2</w:t>
    </w:r>
    <w:r w:rsidR="0026356A">
      <w:rPr>
        <w:rStyle w:val="PageNumber"/>
        <w:sz w:val="16"/>
        <w:szCs w:val="16"/>
      </w:rPr>
      <w:fldChar w:fldCharType="end"/>
    </w:r>
  </w:p>
  <w:p w14:paraId="15BA4AB3" w14:textId="1AA3E1E5" w:rsidR="00D7491E" w:rsidRDefault="00D7491E">
    <w:pPr>
      <w:pStyle w:val="Footer"/>
    </w:pPr>
  </w:p>
  <w:p w14:paraId="48715500" w14:textId="77777777" w:rsidR="00357EBA" w:rsidRDefault="00357EBA" w:rsidP="00357E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54B5" w14:textId="77777777" w:rsidR="00E827E3" w:rsidRDefault="00E827E3" w:rsidP="008310B1">
      <w:r>
        <w:separator/>
      </w:r>
    </w:p>
  </w:footnote>
  <w:footnote w:type="continuationSeparator" w:id="0">
    <w:p w14:paraId="29602D75" w14:textId="77777777" w:rsidR="00E827E3" w:rsidRDefault="00E827E3" w:rsidP="008310B1">
      <w:r>
        <w:continuationSeparator/>
      </w:r>
    </w:p>
  </w:footnote>
  <w:footnote w:id="1">
    <w:p w14:paraId="3AD8A641" w14:textId="0AEC917D" w:rsidR="000860B3" w:rsidRPr="00E7687D" w:rsidRDefault="000860B3" w:rsidP="00E20FF1">
      <w:pPr>
        <w:spacing w:after="0" w:line="240" w:lineRule="auto"/>
        <w:rPr>
          <w:rFonts w:cstheme="minorHAnsi"/>
          <w:lang w:val="mi-NZ"/>
        </w:rPr>
      </w:pPr>
      <w:r w:rsidRPr="00E7687D">
        <w:rPr>
          <w:rStyle w:val="FootnoteReference"/>
          <w:rFonts w:cstheme="minorHAnsi"/>
        </w:rPr>
        <w:footnoteRef/>
      </w:r>
      <w:r w:rsidRPr="00E7687D">
        <w:rPr>
          <w:rFonts w:cstheme="minorHAnsi"/>
        </w:rPr>
        <w:t xml:space="preserve"> </w:t>
      </w:r>
      <w:r w:rsidRPr="00E7687D">
        <w:rPr>
          <w:rFonts w:cstheme="minorHAnsi"/>
          <w:lang w:val="mi-NZ"/>
        </w:rPr>
        <w:t>There are approximately 1,124,000 children under 18 in Aotearoa</w:t>
      </w:r>
      <w:r>
        <w:rPr>
          <w:rFonts w:cstheme="minorHAnsi"/>
          <w:lang w:val="mi-NZ"/>
        </w:rPr>
        <w:t>, accounting for</w:t>
      </w:r>
      <w:r w:rsidRPr="00E7687D">
        <w:rPr>
          <w:rFonts w:cstheme="minorHAnsi"/>
          <w:lang w:val="mi-NZ"/>
        </w:rPr>
        <w:t xml:space="preserve"> 23% of the population. The child population is diverse</w:t>
      </w:r>
      <w:r w:rsidR="007B7B48">
        <w:rPr>
          <w:rFonts w:cstheme="minorHAnsi"/>
          <w:lang w:val="mi-NZ"/>
        </w:rPr>
        <w:t xml:space="preserve">, and as a result, Aotearoa’s </w:t>
      </w:r>
      <w:r w:rsidRPr="00E7687D">
        <w:rPr>
          <w:rFonts w:cstheme="minorHAnsi"/>
          <w:lang w:val="mi-NZ"/>
        </w:rPr>
        <w:t>children live in diverse circumstances and have diverse childhood and adolescent experiences.</w:t>
      </w:r>
    </w:p>
  </w:footnote>
  <w:footnote w:id="2">
    <w:p w14:paraId="246EE6A7" w14:textId="77777777" w:rsidR="000860B3" w:rsidRPr="00E7687D" w:rsidRDefault="000860B3"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Pr="00E7687D">
        <w:rPr>
          <w:rFonts w:asciiTheme="minorHAnsi" w:hAnsiTheme="minorHAnsi" w:cstheme="minorHAnsi"/>
          <w:lang w:val="mi-NZ"/>
        </w:rPr>
        <w:t xml:space="preserve">In this </w:t>
      </w:r>
      <w:r>
        <w:rPr>
          <w:rFonts w:asciiTheme="minorHAnsi" w:hAnsiTheme="minorHAnsi" w:cstheme="minorHAnsi"/>
          <w:lang w:val="mi-NZ"/>
        </w:rPr>
        <w:t>R</w:t>
      </w:r>
      <w:r w:rsidRPr="00E7687D">
        <w:rPr>
          <w:rFonts w:asciiTheme="minorHAnsi" w:hAnsiTheme="minorHAnsi" w:cstheme="minorHAnsi"/>
          <w:lang w:val="mi-NZ"/>
        </w:rPr>
        <w:t>eport, we use the term ‘children’ to refer to all those aged under 18. We recognise this classification encompasses many different ages and diverse circumstances, and that many young people do not regard themselves as children. We also use the Māori words pēpē, tamariki and rangatahi which roughly translate to baby, child and youth. Refer to the Glossary for a fuller explanation of the meaning of these terms.</w:t>
      </w:r>
    </w:p>
  </w:footnote>
  <w:footnote w:id="3">
    <w:p w14:paraId="4D9362BE" w14:textId="43F0224E" w:rsidR="000860B3" w:rsidRPr="00E7687D" w:rsidRDefault="000860B3" w:rsidP="00E20FF1">
      <w:pPr>
        <w:pStyle w:val="FootnoteText"/>
        <w:rPr>
          <w:rFonts w:asciiTheme="minorHAnsi" w:hAnsiTheme="minorHAnsi" w:cstheme="minorHAnsi"/>
          <w:lang w:val="en-US"/>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00A05D47" w:rsidRPr="00A05D47">
        <w:rPr>
          <w:rFonts w:asciiTheme="minorHAnsi" w:hAnsiTheme="minorHAnsi" w:cstheme="minorHAnsi"/>
          <w:lang w:val="en-US"/>
        </w:rPr>
        <w:t>In 2020, the Tick for Kids coalition wrote to the Government asking for children to be given priority in the COVID-19 crisis and recovery.</w:t>
      </w:r>
      <w:r w:rsidR="00A05D47" w:rsidRPr="00A05D47">
        <w:t xml:space="preserve"> </w:t>
      </w:r>
      <w:hyperlink r:id="rId1" w:history="1">
        <w:r w:rsidR="00A05D47" w:rsidRPr="00F06804">
          <w:rPr>
            <w:rStyle w:val="Hyperlink"/>
            <w:rFonts w:asciiTheme="minorHAnsi" w:hAnsiTheme="minorHAnsi" w:cstheme="minorHAnsi"/>
            <w:lang w:val="en-US"/>
          </w:rPr>
          <w:t>https://www.scoop.co.nz/stories/AK2005/S00043/tick-for-kids-calls-for-greater-visibility-of-children-in-governments-response-to-covid-19-crisis.htm</w:t>
        </w:r>
      </w:hyperlink>
      <w:r w:rsidR="00A05D47">
        <w:rPr>
          <w:rFonts w:asciiTheme="minorHAnsi" w:hAnsiTheme="minorHAnsi" w:cstheme="minorHAnsi"/>
          <w:lang w:val="en-US"/>
        </w:rPr>
        <w:t xml:space="preserve"> </w:t>
      </w:r>
    </w:p>
  </w:footnote>
  <w:footnote w:id="4">
    <w:p w14:paraId="2A3FF734" w14:textId="3F480769" w:rsidR="000860B3" w:rsidRPr="00E7687D" w:rsidRDefault="000860B3"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00A05D47" w:rsidRPr="00480677">
        <w:rPr>
          <w:rFonts w:asciiTheme="minorHAnsi" w:hAnsiTheme="minorHAnsi" w:cstheme="minorHAnsi"/>
          <w:lang w:val="mi-NZ"/>
        </w:rPr>
        <w:t xml:space="preserve">Children’s Rights Alliance Aotearoa New Zealand </w:t>
      </w:r>
      <w:hyperlink r:id="rId2" w:history="1">
        <w:r w:rsidR="00A05D47" w:rsidRPr="00480677">
          <w:rPr>
            <w:rStyle w:val="Hyperlink"/>
            <w:rFonts w:asciiTheme="minorHAnsi" w:hAnsiTheme="minorHAnsi" w:cstheme="minorHAnsi"/>
            <w:i/>
            <w:iCs/>
            <w:color w:val="25409A" w:themeColor="text2"/>
            <w:lang w:val="mi-NZ"/>
          </w:rPr>
          <w:t>Supplementary Report on the impact of COVID-19 on children’s rights in Aotearoa New Zealand</w:t>
        </w:r>
      </w:hyperlink>
      <w:r w:rsidR="00A05D47" w:rsidRPr="00480677">
        <w:rPr>
          <w:rFonts w:asciiTheme="minorHAnsi" w:hAnsiTheme="minorHAnsi" w:cstheme="minorHAnsi"/>
          <w:lang w:val="mi-NZ"/>
        </w:rPr>
        <w:t xml:space="preserve"> (June 2020); </w:t>
      </w:r>
      <w:r>
        <w:fldChar w:fldCharType="begin"/>
      </w:r>
      <w:r>
        <w:instrText xml:space="preserve"> HYPERLINK "https://www.occ.org.nz/publications/reports/childrens-rights-in-covid19/" </w:instrText>
      </w:r>
      <w:r>
        <w:fldChar w:fldCharType="separate"/>
      </w:r>
      <w:r w:rsidR="00A05D47" w:rsidRPr="00480677">
        <w:rPr>
          <w:rStyle w:val="Hyperlink"/>
          <w:rFonts w:asciiTheme="minorHAnsi" w:hAnsiTheme="minorHAnsi" w:cstheme="minorHAnsi"/>
          <w:i/>
          <w:iCs/>
          <w:lang w:val="mi-NZ"/>
        </w:rPr>
        <w:t>Children’s Convention Monitoring Group Getting it Right: Children’s rights in the COVID-19 response</w:t>
      </w:r>
      <w:r>
        <w:rPr>
          <w:rStyle w:val="Hyperlink"/>
          <w:rFonts w:asciiTheme="minorHAnsi" w:hAnsiTheme="minorHAnsi" w:cstheme="minorHAnsi"/>
          <w:i/>
          <w:iCs/>
          <w:lang w:val="mi-NZ"/>
        </w:rPr>
        <w:fldChar w:fldCharType="end"/>
      </w:r>
      <w:r w:rsidR="00A05D47" w:rsidRPr="00480677">
        <w:rPr>
          <w:rFonts w:asciiTheme="minorHAnsi" w:hAnsiTheme="minorHAnsi" w:cstheme="minorHAnsi"/>
          <w:lang w:val="mi-NZ"/>
        </w:rPr>
        <w:t xml:space="preserve"> (March 2021)</w:t>
      </w:r>
    </w:p>
  </w:footnote>
  <w:footnote w:id="5">
    <w:p w14:paraId="72FB5A1B" w14:textId="77777777" w:rsidR="000860B3" w:rsidRPr="00E7687D" w:rsidRDefault="000860B3" w:rsidP="00E20FF1">
      <w:pPr>
        <w:pStyle w:val="FootnoteText"/>
        <w:rPr>
          <w:rFonts w:asciiTheme="minorHAnsi" w:hAnsiTheme="minorHAnsi" w:cstheme="minorHAnsi"/>
          <w:lang w:val="en-US"/>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Pr="00E7687D">
        <w:rPr>
          <w:rFonts w:asciiTheme="minorHAnsi" w:hAnsiTheme="minorHAnsi" w:cstheme="minorHAnsi"/>
          <w:lang w:val="en-US"/>
        </w:rPr>
        <w:t xml:space="preserve">See, for example, </w:t>
      </w:r>
      <w:hyperlink r:id="rId3" w:history="1">
        <w:r w:rsidRPr="00E7687D">
          <w:rPr>
            <w:rStyle w:val="Hyperlink"/>
            <w:rFonts w:asciiTheme="minorHAnsi" w:hAnsiTheme="minorHAnsi" w:cstheme="minorHAnsi"/>
            <w:lang w:val="en-US"/>
          </w:rPr>
          <w:t>https://www.rnz.co.nz/news/national/453509/need-for-food-parcels-doubled-in-level-4-auckland-city-mission</w:t>
        </w:r>
      </w:hyperlink>
      <w:r w:rsidRPr="00E7687D">
        <w:rPr>
          <w:rFonts w:asciiTheme="minorHAnsi" w:hAnsiTheme="minorHAnsi" w:cstheme="minorHAnsi"/>
          <w:lang w:val="en-US"/>
        </w:rPr>
        <w:t xml:space="preserve"> </w:t>
      </w:r>
    </w:p>
  </w:footnote>
  <w:footnote w:id="6">
    <w:p w14:paraId="2FBCC44E" w14:textId="77777777" w:rsidR="000860B3" w:rsidRPr="00E7687D" w:rsidRDefault="000860B3"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Pr="00E7687D">
        <w:rPr>
          <w:rFonts w:asciiTheme="minorHAnsi" w:hAnsiTheme="minorHAnsi" w:cstheme="minorHAnsi"/>
          <w:lang w:val="mi-NZ"/>
        </w:rPr>
        <w:t>People of the land or first peoples.</w:t>
      </w:r>
    </w:p>
  </w:footnote>
  <w:footnote w:id="7">
    <w:p w14:paraId="77C3BFF8" w14:textId="77777777" w:rsidR="000860B3" w:rsidRPr="00E7687D" w:rsidRDefault="000860B3"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Pr="00E7687D">
        <w:rPr>
          <w:rFonts w:asciiTheme="minorHAnsi" w:hAnsiTheme="minorHAnsi" w:cstheme="minorHAnsi"/>
          <w:lang w:val="mi-NZ"/>
        </w:rPr>
        <w:t>The Māori world view.</w:t>
      </w:r>
    </w:p>
  </w:footnote>
  <w:footnote w:id="8">
    <w:p w14:paraId="2BA892EB" w14:textId="77777777" w:rsidR="000860B3" w:rsidRPr="00E7687D" w:rsidRDefault="000860B3"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Pr="00E7687D">
        <w:rPr>
          <w:rFonts w:asciiTheme="minorHAnsi" w:hAnsiTheme="minorHAnsi" w:cstheme="minorHAnsi"/>
          <w:lang w:val="mi-NZ"/>
        </w:rPr>
        <w:t>Māori laws and customs.</w:t>
      </w:r>
    </w:p>
  </w:footnote>
  <w:footnote w:id="9">
    <w:p w14:paraId="7D1904BA" w14:textId="77777777" w:rsidR="000860B3" w:rsidRPr="00E7687D" w:rsidRDefault="000860B3"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Pr="00E7687D">
        <w:rPr>
          <w:rFonts w:asciiTheme="minorHAnsi" w:hAnsiTheme="minorHAnsi" w:cstheme="minorHAnsi"/>
          <w:lang w:val="mi-NZ"/>
        </w:rPr>
        <w:t>Te Tiriti.</w:t>
      </w:r>
    </w:p>
  </w:footnote>
  <w:footnote w:id="10">
    <w:p w14:paraId="43D75F16" w14:textId="6B8D4B1A" w:rsidR="000860B3" w:rsidRPr="00E7687D" w:rsidRDefault="000860B3" w:rsidP="00E20FF1">
      <w:pPr>
        <w:spacing w:after="0" w:line="240" w:lineRule="auto"/>
        <w:jc w:val="both"/>
        <w:rPr>
          <w:rFonts w:cstheme="minorHAnsi"/>
        </w:rPr>
      </w:pPr>
      <w:r w:rsidRPr="00E7687D">
        <w:rPr>
          <w:rStyle w:val="FootnoteReference"/>
          <w:rFonts w:eastAsiaTheme="majorEastAsia" w:cstheme="minorHAnsi"/>
        </w:rPr>
        <w:footnoteRef/>
      </w:r>
      <w:r w:rsidR="00044573">
        <w:rPr>
          <w:rFonts w:cstheme="minorHAnsi"/>
        </w:rPr>
        <w:t xml:space="preserve"> </w:t>
      </w:r>
      <w:proofErr w:type="spellStart"/>
      <w:r w:rsidRPr="00E7687D">
        <w:rPr>
          <w:rFonts w:cstheme="minorHAnsi"/>
        </w:rPr>
        <w:t>Te</w:t>
      </w:r>
      <w:proofErr w:type="spellEnd"/>
      <w:r w:rsidR="00C52D88">
        <w:rPr>
          <w:rFonts w:cstheme="minorHAnsi"/>
        </w:rPr>
        <w:t xml:space="preserve"> </w:t>
      </w:r>
      <w:proofErr w:type="spellStart"/>
      <w:r w:rsidRPr="00E7687D">
        <w:rPr>
          <w:rFonts w:cstheme="minorHAnsi"/>
        </w:rPr>
        <w:t>Tiriti</w:t>
      </w:r>
      <w:proofErr w:type="spellEnd"/>
      <w:r w:rsidRPr="00E7687D">
        <w:rPr>
          <w:rFonts w:cstheme="minorHAnsi"/>
        </w:rPr>
        <w:t xml:space="preserve"> </w:t>
      </w:r>
      <w:proofErr w:type="gramStart"/>
      <w:r w:rsidRPr="00E7687D">
        <w:rPr>
          <w:rFonts w:cstheme="minorHAnsi"/>
        </w:rPr>
        <w:t>is considered to be</w:t>
      </w:r>
      <w:proofErr w:type="gramEnd"/>
      <w:r w:rsidRPr="00E7687D">
        <w:rPr>
          <w:rFonts w:cstheme="minorHAnsi"/>
        </w:rPr>
        <w:t xml:space="preserve"> Aotearoa’s founding document and a key source of Crown obligations towards Māori.</w:t>
      </w:r>
    </w:p>
  </w:footnote>
  <w:footnote w:id="11">
    <w:p w14:paraId="3867B139" w14:textId="77777777" w:rsidR="000860B3" w:rsidRPr="00E7687D" w:rsidRDefault="000860B3"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Pr="00A05D47">
        <w:rPr>
          <w:rFonts w:asciiTheme="minorHAnsi" w:hAnsiTheme="minorHAnsi" w:cstheme="minorHAnsi"/>
          <w:lang w:val="mi-NZ"/>
        </w:rPr>
        <w:t xml:space="preserve">For detailed analysis and explanation of the rights of tamariki Māori, see the Rights of Tamariki Māori in Aotearoa New Zealand Thematic Report submitted by </w:t>
      </w:r>
      <w:proofErr w:type="spellStart"/>
      <w:r w:rsidRPr="00A05D47">
        <w:rPr>
          <w:rFonts w:asciiTheme="minorHAnsi" w:hAnsiTheme="minorHAnsi" w:cstheme="minorHAnsi"/>
        </w:rPr>
        <w:t>Te</w:t>
      </w:r>
      <w:proofErr w:type="spellEnd"/>
      <w:r w:rsidRPr="00A05D47">
        <w:rPr>
          <w:rFonts w:asciiTheme="minorHAnsi" w:hAnsiTheme="minorHAnsi" w:cstheme="minorHAnsi"/>
        </w:rPr>
        <w:t xml:space="preserve"> Puna </w:t>
      </w:r>
      <w:proofErr w:type="spellStart"/>
      <w:r w:rsidRPr="00A05D47">
        <w:rPr>
          <w:rFonts w:asciiTheme="minorHAnsi" w:hAnsiTheme="minorHAnsi" w:cstheme="minorHAnsi"/>
        </w:rPr>
        <w:t>Rangahau</w:t>
      </w:r>
      <w:proofErr w:type="spellEnd"/>
      <w:r w:rsidRPr="00A05D47">
        <w:rPr>
          <w:rFonts w:asciiTheme="minorHAnsi" w:hAnsiTheme="minorHAnsi" w:cstheme="minorHAnsi"/>
        </w:rPr>
        <w:t xml:space="preserve"> o </w:t>
      </w:r>
      <w:proofErr w:type="spellStart"/>
      <w:r w:rsidRPr="00A05D47">
        <w:rPr>
          <w:rFonts w:asciiTheme="minorHAnsi" w:hAnsiTheme="minorHAnsi" w:cstheme="minorHAnsi"/>
        </w:rPr>
        <w:t>Te</w:t>
      </w:r>
      <w:proofErr w:type="spellEnd"/>
      <w:r w:rsidRPr="00A05D47">
        <w:rPr>
          <w:rFonts w:asciiTheme="minorHAnsi" w:hAnsiTheme="minorHAnsi" w:cstheme="minorHAnsi"/>
        </w:rPr>
        <w:t xml:space="preserve"> Wai Ariki | Aotearoa New Zealand Centre for Indigenous Peoples and the Law</w:t>
      </w:r>
      <w:r w:rsidRPr="00A05D47">
        <w:rPr>
          <w:rFonts w:asciiTheme="minorHAnsi" w:hAnsiTheme="minorHAnsi" w:cstheme="minorHAnsi"/>
          <w:lang w:val="mi-NZ"/>
        </w:rPr>
        <w:t>.</w:t>
      </w:r>
      <w:r w:rsidRPr="00E7687D">
        <w:rPr>
          <w:rFonts w:asciiTheme="minorHAnsi" w:hAnsiTheme="minorHAnsi" w:cstheme="minorHAnsi"/>
          <w:lang w:val="mi-NZ"/>
        </w:rPr>
        <w:t xml:space="preserve"> </w:t>
      </w:r>
    </w:p>
  </w:footnote>
  <w:footnote w:id="12">
    <w:p w14:paraId="7D06B690" w14:textId="0FDF7AEF" w:rsidR="000860B3" w:rsidRPr="00E7687D" w:rsidRDefault="000860B3"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00A05D47">
        <w:rPr>
          <w:rFonts w:asciiTheme="minorHAnsi" w:hAnsiTheme="minorHAnsi" w:cstheme="minorHAnsi"/>
          <w:lang w:val="mi-NZ"/>
        </w:rPr>
        <w:t>Ibid.</w:t>
      </w:r>
      <w:r w:rsidRPr="00E7687D">
        <w:rPr>
          <w:rFonts w:asciiTheme="minorHAnsi" w:hAnsiTheme="minorHAnsi" w:cstheme="minorHAnsi"/>
          <w:lang w:val="mi-NZ"/>
        </w:rPr>
        <w:t xml:space="preserve"> </w:t>
      </w:r>
    </w:p>
  </w:footnote>
  <w:footnote w:id="13">
    <w:p w14:paraId="0596B0DF" w14:textId="77777777" w:rsidR="000860B3" w:rsidRPr="00E7687D" w:rsidRDefault="000860B3"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Pr="00E7687D">
        <w:rPr>
          <w:rFonts w:asciiTheme="minorHAnsi" w:hAnsiTheme="minorHAnsi" w:cstheme="minorHAnsi"/>
          <w:lang w:val="mi-NZ"/>
        </w:rPr>
        <w:t>CRC/C/NZL/CO/5, para 4.</w:t>
      </w:r>
    </w:p>
  </w:footnote>
  <w:footnote w:id="14">
    <w:p w14:paraId="010C068D" w14:textId="14247C02" w:rsidR="000860B3" w:rsidRPr="0004293F" w:rsidRDefault="000860B3" w:rsidP="00E20FF1">
      <w:pPr>
        <w:spacing w:after="0" w:line="240" w:lineRule="auto"/>
        <w:rPr>
          <w:rFonts w:cstheme="minorHAnsi"/>
          <w:lang w:val="mi-NZ"/>
        </w:rPr>
      </w:pPr>
      <w:r>
        <w:rPr>
          <w:rStyle w:val="FootnoteReference"/>
        </w:rPr>
        <w:footnoteRef/>
      </w:r>
      <w:r>
        <w:t xml:space="preserve"> </w:t>
      </w:r>
      <w:r w:rsidR="0004293F" w:rsidRPr="0004293F">
        <w:rPr>
          <w:rFonts w:cstheme="minorHAnsi"/>
          <w:color w:val="000000"/>
        </w:rPr>
        <w:t xml:space="preserve">For a comprehensive explanation of their rights, see the </w:t>
      </w:r>
      <w:r w:rsidR="0004293F" w:rsidRPr="0004293F">
        <w:rPr>
          <w:rFonts w:cstheme="minorHAnsi"/>
          <w:lang w:val="mi-NZ"/>
        </w:rPr>
        <w:t xml:space="preserve">Rights of Tamariki Māori in Aotearoa New Zealand Thematic Report, submitted by </w:t>
      </w:r>
      <w:proofErr w:type="spellStart"/>
      <w:r w:rsidR="0004293F" w:rsidRPr="0004293F">
        <w:rPr>
          <w:rFonts w:cstheme="minorHAnsi"/>
        </w:rPr>
        <w:t>Te</w:t>
      </w:r>
      <w:proofErr w:type="spellEnd"/>
      <w:r w:rsidR="0004293F" w:rsidRPr="0004293F">
        <w:rPr>
          <w:rFonts w:cstheme="minorHAnsi"/>
        </w:rPr>
        <w:t xml:space="preserve"> Puna </w:t>
      </w:r>
      <w:proofErr w:type="spellStart"/>
      <w:r w:rsidR="0004293F" w:rsidRPr="0004293F">
        <w:rPr>
          <w:rFonts w:cstheme="minorHAnsi"/>
        </w:rPr>
        <w:t>Rangahau</w:t>
      </w:r>
      <w:proofErr w:type="spellEnd"/>
      <w:r w:rsidR="0004293F" w:rsidRPr="0004293F">
        <w:rPr>
          <w:rFonts w:cstheme="minorHAnsi"/>
        </w:rPr>
        <w:t xml:space="preserve"> o </w:t>
      </w:r>
      <w:proofErr w:type="spellStart"/>
      <w:r w:rsidR="0004293F" w:rsidRPr="0004293F">
        <w:rPr>
          <w:rFonts w:cstheme="minorHAnsi"/>
        </w:rPr>
        <w:t>Te</w:t>
      </w:r>
      <w:proofErr w:type="spellEnd"/>
      <w:r w:rsidR="0004293F" w:rsidRPr="0004293F">
        <w:rPr>
          <w:rFonts w:cstheme="minorHAnsi"/>
        </w:rPr>
        <w:t xml:space="preserve"> Wai Ariki | Aotearoa New Zealand Centre for Indigenous Peoples and the Law</w:t>
      </w:r>
      <w:r w:rsidR="0004293F" w:rsidRPr="0004293F">
        <w:rPr>
          <w:rFonts w:cstheme="minorHAnsi"/>
          <w:lang w:val="mi-NZ"/>
        </w:rPr>
        <w:t>.</w:t>
      </w:r>
    </w:p>
  </w:footnote>
  <w:footnote w:id="15">
    <w:p w14:paraId="4563F0CA" w14:textId="1B36A7B2" w:rsidR="000860B3" w:rsidRPr="00BC1FE1" w:rsidRDefault="000860B3" w:rsidP="00E20FF1">
      <w:pPr>
        <w:spacing w:after="0" w:line="240" w:lineRule="auto"/>
        <w:rPr>
          <w:rFonts w:cstheme="minorHAnsi"/>
        </w:rPr>
      </w:pPr>
      <w:r>
        <w:rPr>
          <w:rStyle w:val="FootnoteReference"/>
        </w:rPr>
        <w:footnoteRef/>
      </w:r>
      <w:r>
        <w:t xml:space="preserve"> </w:t>
      </w:r>
      <w:r w:rsidRPr="00BC1FE1">
        <w:rPr>
          <w:rFonts w:cstheme="minorHAnsi"/>
        </w:rPr>
        <w:t>See also</w:t>
      </w:r>
      <w:r w:rsidRPr="00BC1FE1">
        <w:t xml:space="preserve"> </w:t>
      </w:r>
      <w:r w:rsidRPr="00BC1FE1">
        <w:rPr>
          <w:rFonts w:cstheme="minorHAnsi"/>
        </w:rPr>
        <w:t xml:space="preserve">PT </w:t>
      </w:r>
      <w:r w:rsidRPr="00BC1FE1">
        <w:rPr>
          <w:rFonts w:cstheme="minorHAnsi"/>
          <w:lang w:val="mi-NZ"/>
        </w:rPr>
        <w:t>King</w:t>
      </w:r>
      <w:r w:rsidR="00044573">
        <w:rPr>
          <w:rFonts w:cstheme="minorHAnsi"/>
          <w:lang w:val="mi-NZ"/>
        </w:rPr>
        <w:t xml:space="preserve"> (2021)</w:t>
      </w:r>
      <w:r w:rsidRPr="00BC1FE1">
        <w:rPr>
          <w:rFonts w:cstheme="minorHAnsi"/>
          <w:lang w:val="mi-NZ"/>
        </w:rPr>
        <w:t xml:space="preserve"> </w:t>
      </w:r>
      <w:r w:rsidRPr="00BC1FE1">
        <w:rPr>
          <w:rFonts w:cstheme="minorHAnsi"/>
          <w:i/>
          <w:iCs/>
          <w:lang w:val="mi-NZ"/>
        </w:rPr>
        <w:t>Oranga Mokopuna</w:t>
      </w:r>
      <w:r w:rsidR="00044573">
        <w:rPr>
          <w:rFonts w:cstheme="minorHAnsi"/>
          <w:i/>
          <w:iCs/>
          <w:lang w:val="mi-NZ"/>
        </w:rPr>
        <w:t>:</w:t>
      </w:r>
      <w:r w:rsidRPr="00BC1FE1">
        <w:rPr>
          <w:rFonts w:cstheme="minorHAnsi"/>
          <w:i/>
          <w:iCs/>
          <w:lang w:val="mi-NZ"/>
        </w:rPr>
        <w:t xml:space="preserve"> Ethical co-designing for the pluriverse</w:t>
      </w:r>
      <w:r w:rsidR="00044573">
        <w:rPr>
          <w:rFonts w:cstheme="minorHAnsi"/>
          <w:lang w:val="mi-NZ"/>
        </w:rPr>
        <w:t>, PhD</w:t>
      </w:r>
      <w:r w:rsidRPr="00BC1FE1">
        <w:rPr>
          <w:rFonts w:cstheme="minorHAnsi"/>
          <w:lang w:val="mi-NZ"/>
        </w:rPr>
        <w:t xml:space="preserve"> Thesis,</w:t>
      </w:r>
      <w:r w:rsidR="00044573">
        <w:rPr>
          <w:rFonts w:cstheme="minorHAnsi"/>
          <w:lang w:val="mi-NZ"/>
        </w:rPr>
        <w:t xml:space="preserve"> </w:t>
      </w:r>
      <w:r w:rsidRPr="00BC1FE1">
        <w:rPr>
          <w:rFonts w:cstheme="minorHAnsi"/>
          <w:lang w:val="mi-NZ"/>
        </w:rPr>
        <w:t>University of Otago</w:t>
      </w:r>
      <w:r w:rsidR="00044573">
        <w:rPr>
          <w:rFonts w:cstheme="minorHAnsi"/>
          <w:lang w:val="mi-NZ"/>
        </w:rPr>
        <w:t xml:space="preserve">, New Zealand, </w:t>
      </w:r>
      <w:r w:rsidR="00044573" w:rsidRPr="00BC1FE1">
        <w:rPr>
          <w:rFonts w:cstheme="minorHAnsi"/>
        </w:rPr>
        <w:t>p</w:t>
      </w:r>
      <w:r w:rsidR="00044573">
        <w:rPr>
          <w:rFonts w:cstheme="minorHAnsi"/>
        </w:rPr>
        <w:t xml:space="preserve">. </w:t>
      </w:r>
      <w:r w:rsidR="00044573" w:rsidRPr="00BC1FE1">
        <w:rPr>
          <w:rFonts w:cstheme="minorHAnsi"/>
        </w:rPr>
        <w:t>209</w:t>
      </w:r>
      <w:r w:rsidR="00DE6877">
        <w:rPr>
          <w:rFonts w:cstheme="minorHAnsi"/>
          <w:lang w:val="mi-NZ"/>
        </w:rPr>
        <w:t>:</w:t>
      </w:r>
      <w:r w:rsidRPr="00BC1FE1">
        <w:rPr>
          <w:rFonts w:cstheme="minorHAnsi"/>
          <w:lang w:val="mi-NZ"/>
        </w:rPr>
        <w:t xml:space="preserve"> </w:t>
      </w:r>
      <w:hyperlink r:id="rId4" w:history="1">
        <w:r w:rsidRPr="00BC1FE1">
          <w:rPr>
            <w:rStyle w:val="Hyperlink"/>
            <w:rFonts w:eastAsiaTheme="majorEastAsia" w:cstheme="minorHAnsi"/>
            <w:color w:val="416EBF"/>
          </w:rPr>
          <w:t>http://hdl.handle.net/10523/12111</w:t>
        </w:r>
      </w:hyperlink>
      <w:r w:rsidRPr="00BC1FE1">
        <w:rPr>
          <w:rStyle w:val="Hyperlink"/>
          <w:rFonts w:eastAsiaTheme="majorEastAsia" w:cstheme="minorHAnsi"/>
          <w:color w:val="416EBF"/>
        </w:rPr>
        <w:t xml:space="preserve"> </w:t>
      </w:r>
      <w:r w:rsidRPr="00BC1FE1">
        <w:rPr>
          <w:rFonts w:cstheme="minorHAnsi"/>
          <w:color w:val="000000" w:themeColor="text1"/>
          <w:lang w:val="en-AU"/>
        </w:rPr>
        <w:t>The Oranga Mokopuna model</w:t>
      </w:r>
      <w:r>
        <w:rPr>
          <w:rFonts w:cstheme="minorHAnsi"/>
          <w:color w:val="000000" w:themeColor="text1"/>
          <w:lang w:val="en-AU"/>
        </w:rPr>
        <w:t xml:space="preserve"> </w:t>
      </w:r>
      <w:r w:rsidRPr="00BC1FE1">
        <w:rPr>
          <w:rFonts w:cstheme="minorHAnsi"/>
          <w:color w:val="000000" w:themeColor="text1"/>
          <w:lang w:val="en-AU"/>
        </w:rPr>
        <w:t xml:space="preserve">provides a conceptual frame of reference within </w:t>
      </w:r>
      <w:proofErr w:type="spellStart"/>
      <w:r w:rsidRPr="00BC1FE1">
        <w:rPr>
          <w:rFonts w:cstheme="minorHAnsi"/>
          <w:color w:val="000000" w:themeColor="text1"/>
          <w:lang w:val="en-AU"/>
        </w:rPr>
        <w:t>Te</w:t>
      </w:r>
      <w:proofErr w:type="spellEnd"/>
      <w:r w:rsidRPr="00BC1FE1">
        <w:rPr>
          <w:rFonts w:cstheme="minorHAnsi"/>
          <w:color w:val="000000" w:themeColor="text1"/>
          <w:lang w:val="en-AU"/>
        </w:rPr>
        <w:t xml:space="preserve"> </w:t>
      </w:r>
      <w:proofErr w:type="spellStart"/>
      <w:r w:rsidRPr="00BC1FE1">
        <w:rPr>
          <w:rFonts w:cstheme="minorHAnsi"/>
          <w:color w:val="000000" w:themeColor="text1"/>
          <w:lang w:val="en-AU"/>
        </w:rPr>
        <w:t>Ao</w:t>
      </w:r>
      <w:proofErr w:type="spellEnd"/>
      <w:r w:rsidRPr="00BC1FE1">
        <w:rPr>
          <w:rFonts w:cstheme="minorHAnsi"/>
          <w:color w:val="000000" w:themeColor="text1"/>
          <w:lang w:val="en-AU"/>
        </w:rPr>
        <w:t xml:space="preserve"> Māori for the realisation of </w:t>
      </w:r>
      <w:proofErr w:type="spellStart"/>
      <w:r w:rsidRPr="00BC1FE1">
        <w:rPr>
          <w:rFonts w:cstheme="minorHAnsi"/>
        </w:rPr>
        <w:t>tamariki</w:t>
      </w:r>
      <w:proofErr w:type="spellEnd"/>
      <w:r w:rsidRPr="00BC1FE1">
        <w:rPr>
          <w:rFonts w:cstheme="minorHAnsi"/>
        </w:rPr>
        <w:t xml:space="preserve"> Māori rights.</w:t>
      </w:r>
    </w:p>
  </w:footnote>
  <w:footnote w:id="16">
    <w:p w14:paraId="26195D9C" w14:textId="16C83F72" w:rsidR="000860B3" w:rsidRPr="00E7687D" w:rsidRDefault="000860B3" w:rsidP="00E20FF1">
      <w:pPr>
        <w:spacing w:after="0" w:line="240" w:lineRule="auto"/>
        <w:rPr>
          <w:rFonts w:cstheme="minorHAnsi"/>
          <w:color w:val="000000" w:themeColor="text1"/>
          <w:u w:val="single"/>
          <w:shd w:val="clear" w:color="auto" w:fill="FFFFFF"/>
        </w:rPr>
      </w:pPr>
      <w:r w:rsidRPr="00E7687D">
        <w:rPr>
          <w:rStyle w:val="FootnoteReference"/>
          <w:rFonts w:eastAsiaTheme="majorEastAsia" w:cstheme="minorHAnsi"/>
          <w:color w:val="000000" w:themeColor="text1"/>
        </w:rPr>
        <w:footnoteRef/>
      </w:r>
      <w:r w:rsidRPr="00E7687D">
        <w:rPr>
          <w:rFonts w:cstheme="minorHAnsi"/>
          <w:color w:val="000000" w:themeColor="text1"/>
        </w:rPr>
        <w:t xml:space="preserve"> </w:t>
      </w:r>
      <w:r>
        <w:rPr>
          <w:rFonts w:cstheme="minorHAnsi"/>
          <w:color w:val="000000" w:themeColor="text1"/>
        </w:rPr>
        <w:t xml:space="preserve">J </w:t>
      </w:r>
      <w:r w:rsidRPr="00E7687D">
        <w:rPr>
          <w:rFonts w:cstheme="minorHAnsi"/>
          <w:color w:val="000000" w:themeColor="text1"/>
          <w:shd w:val="clear" w:color="auto" w:fill="FFFFFF"/>
        </w:rPr>
        <w:t xml:space="preserve">Simpson, </w:t>
      </w:r>
      <w:r>
        <w:rPr>
          <w:rFonts w:cstheme="minorHAnsi"/>
          <w:color w:val="000000" w:themeColor="text1"/>
          <w:shd w:val="clear" w:color="auto" w:fill="FFFFFF"/>
        </w:rPr>
        <w:t xml:space="preserve">M </w:t>
      </w:r>
      <w:r w:rsidRPr="00E7687D">
        <w:rPr>
          <w:rFonts w:cstheme="minorHAnsi"/>
          <w:color w:val="000000" w:themeColor="text1"/>
          <w:shd w:val="clear" w:color="auto" w:fill="FFFFFF"/>
        </w:rPr>
        <w:t xml:space="preserve">Duncanson, </w:t>
      </w:r>
      <w:r>
        <w:rPr>
          <w:rFonts w:cstheme="minorHAnsi"/>
          <w:color w:val="000000" w:themeColor="text1"/>
          <w:shd w:val="clear" w:color="auto" w:fill="FFFFFF"/>
        </w:rPr>
        <w:t xml:space="preserve">G </w:t>
      </w:r>
      <w:proofErr w:type="spellStart"/>
      <w:r w:rsidRPr="00E7687D">
        <w:rPr>
          <w:rFonts w:cstheme="minorHAnsi"/>
          <w:color w:val="000000" w:themeColor="text1"/>
          <w:shd w:val="clear" w:color="auto" w:fill="FFFFFF"/>
        </w:rPr>
        <w:t>Oben</w:t>
      </w:r>
      <w:proofErr w:type="spellEnd"/>
      <w:r w:rsidRPr="00E7687D">
        <w:rPr>
          <w:rFonts w:cstheme="minorHAnsi"/>
          <w:color w:val="000000" w:themeColor="text1"/>
          <w:shd w:val="clear" w:color="auto" w:fill="FFFFFF"/>
        </w:rPr>
        <w:t xml:space="preserve">, </w:t>
      </w:r>
      <w:r>
        <w:rPr>
          <w:rFonts w:cstheme="minorHAnsi"/>
          <w:color w:val="000000" w:themeColor="text1"/>
          <w:shd w:val="clear" w:color="auto" w:fill="FFFFFF"/>
        </w:rPr>
        <w:t xml:space="preserve">J </w:t>
      </w:r>
      <w:r w:rsidRPr="00E7687D">
        <w:rPr>
          <w:rFonts w:cstheme="minorHAnsi"/>
          <w:color w:val="000000" w:themeColor="text1"/>
          <w:shd w:val="clear" w:color="auto" w:fill="FFFFFF"/>
        </w:rPr>
        <w:t xml:space="preserve">Adams, </w:t>
      </w:r>
      <w:r>
        <w:rPr>
          <w:rFonts w:cstheme="minorHAnsi"/>
          <w:color w:val="000000" w:themeColor="text1"/>
          <w:shd w:val="clear" w:color="auto" w:fill="FFFFFF"/>
        </w:rPr>
        <w:t xml:space="preserve">A </w:t>
      </w:r>
      <w:proofErr w:type="spellStart"/>
      <w:r w:rsidRPr="00E7687D">
        <w:rPr>
          <w:rFonts w:cstheme="minorHAnsi"/>
          <w:color w:val="000000" w:themeColor="text1"/>
          <w:shd w:val="clear" w:color="auto" w:fill="FFFFFF"/>
        </w:rPr>
        <w:t>Wicken</w:t>
      </w:r>
      <w:proofErr w:type="spellEnd"/>
      <w:r w:rsidRPr="00E7687D">
        <w:rPr>
          <w:rFonts w:cstheme="minorHAnsi"/>
          <w:color w:val="000000" w:themeColor="text1"/>
          <w:shd w:val="clear" w:color="auto" w:fill="FFFFFF"/>
        </w:rPr>
        <w:t xml:space="preserve">, </w:t>
      </w:r>
      <w:r>
        <w:rPr>
          <w:rFonts w:cstheme="minorHAnsi"/>
          <w:color w:val="000000" w:themeColor="text1"/>
          <w:shd w:val="clear" w:color="auto" w:fill="FFFFFF"/>
        </w:rPr>
        <w:t xml:space="preserve">M </w:t>
      </w:r>
      <w:r w:rsidRPr="00E7687D">
        <w:rPr>
          <w:rFonts w:cstheme="minorHAnsi"/>
          <w:color w:val="000000" w:themeColor="text1"/>
          <w:shd w:val="clear" w:color="auto" w:fill="FFFFFF"/>
        </w:rPr>
        <w:t xml:space="preserve">Pierson … </w:t>
      </w:r>
      <w:r>
        <w:rPr>
          <w:rFonts w:cstheme="minorHAnsi"/>
          <w:color w:val="000000" w:themeColor="text1"/>
          <w:shd w:val="clear" w:color="auto" w:fill="FFFFFF"/>
        </w:rPr>
        <w:t xml:space="preserve">S </w:t>
      </w:r>
      <w:r w:rsidRPr="00E7687D">
        <w:rPr>
          <w:rFonts w:cstheme="minorHAnsi"/>
          <w:color w:val="000000" w:themeColor="text1"/>
          <w:shd w:val="clear" w:color="auto" w:fill="FFFFFF"/>
        </w:rPr>
        <w:t>Gallagher</w:t>
      </w:r>
      <w:r>
        <w:rPr>
          <w:rFonts w:cstheme="minorHAnsi"/>
          <w:color w:val="000000" w:themeColor="text1"/>
          <w:shd w:val="clear" w:color="auto" w:fill="FFFFFF"/>
        </w:rPr>
        <w:t xml:space="preserve"> </w:t>
      </w:r>
      <w:r w:rsidRPr="00E7687D">
        <w:rPr>
          <w:rFonts w:cstheme="minorHAnsi"/>
          <w:color w:val="000000" w:themeColor="text1"/>
          <w:shd w:val="clear" w:color="auto" w:fill="FFFFFF"/>
        </w:rPr>
        <w:t>(2017</w:t>
      </w:r>
      <w:r>
        <w:rPr>
          <w:rFonts w:cstheme="minorHAnsi"/>
          <w:color w:val="000000" w:themeColor="text1"/>
          <w:shd w:val="clear" w:color="auto" w:fill="FFFFFF"/>
        </w:rPr>
        <w:t>)</w:t>
      </w:r>
      <w:r w:rsidRPr="00E7687D">
        <w:rPr>
          <w:rFonts w:cstheme="minorHAnsi"/>
          <w:color w:val="000000" w:themeColor="text1"/>
          <w:shd w:val="clear" w:color="auto" w:fill="FFFFFF"/>
        </w:rPr>
        <w:t xml:space="preserve"> </w:t>
      </w:r>
      <w:proofErr w:type="spellStart"/>
      <w:r w:rsidRPr="0066154B">
        <w:rPr>
          <w:rFonts w:cstheme="minorHAnsi"/>
          <w:i/>
          <w:iCs/>
          <w:color w:val="000000" w:themeColor="text1"/>
          <w:shd w:val="clear" w:color="auto" w:fill="FFFFFF"/>
        </w:rPr>
        <w:t>Te</w:t>
      </w:r>
      <w:proofErr w:type="spellEnd"/>
      <w:r w:rsidRPr="0066154B">
        <w:rPr>
          <w:rFonts w:cstheme="minorHAnsi"/>
          <w:i/>
          <w:iCs/>
          <w:color w:val="000000" w:themeColor="text1"/>
          <w:shd w:val="clear" w:color="auto" w:fill="FFFFFF"/>
        </w:rPr>
        <w:t xml:space="preserve"> </w:t>
      </w:r>
      <w:proofErr w:type="spellStart"/>
      <w:r w:rsidRPr="0066154B">
        <w:rPr>
          <w:rFonts w:cstheme="minorHAnsi"/>
          <w:i/>
          <w:iCs/>
          <w:color w:val="000000" w:themeColor="text1"/>
          <w:shd w:val="clear" w:color="auto" w:fill="FFFFFF"/>
        </w:rPr>
        <w:t>Ohonga</w:t>
      </w:r>
      <w:proofErr w:type="spellEnd"/>
      <w:r w:rsidRPr="0066154B">
        <w:rPr>
          <w:rFonts w:cstheme="minorHAnsi"/>
          <w:i/>
          <w:iCs/>
          <w:color w:val="000000" w:themeColor="text1"/>
          <w:shd w:val="clear" w:color="auto" w:fill="FFFFFF"/>
        </w:rPr>
        <w:t xml:space="preserve"> Ake The Health Status of Māori Children and Young People in New Zealand Series Two </w:t>
      </w:r>
      <w:r w:rsidRPr="00E7687D">
        <w:rPr>
          <w:rFonts w:cstheme="minorHAnsi"/>
          <w:color w:val="000000" w:themeColor="text1"/>
          <w:shd w:val="clear" w:color="auto" w:fill="FFFFFF"/>
        </w:rPr>
        <w:t>(Health Status of Children and Young People)</w:t>
      </w:r>
      <w:r>
        <w:rPr>
          <w:rFonts w:cstheme="minorHAnsi"/>
          <w:color w:val="000000" w:themeColor="text1"/>
          <w:shd w:val="clear" w:color="auto" w:fill="FFFFFF"/>
        </w:rPr>
        <w:t>,</w:t>
      </w:r>
      <w:r w:rsidRPr="00E7687D">
        <w:rPr>
          <w:rFonts w:cstheme="minorHAnsi"/>
          <w:color w:val="000000" w:themeColor="text1"/>
          <w:shd w:val="clear" w:color="auto" w:fill="FFFFFF"/>
        </w:rPr>
        <w:t xml:space="preserve"> New Zealand Child and Youth Epidemiology Service</w:t>
      </w:r>
      <w:r w:rsidR="00DE6877">
        <w:rPr>
          <w:rFonts w:cstheme="minorHAnsi"/>
          <w:color w:val="000000" w:themeColor="text1"/>
          <w:shd w:val="clear" w:color="auto" w:fill="FFFFFF"/>
        </w:rPr>
        <w:t>:</w:t>
      </w:r>
      <w:r w:rsidRPr="00E7687D">
        <w:rPr>
          <w:rFonts w:cstheme="minorHAnsi"/>
          <w:color w:val="000000" w:themeColor="text1"/>
          <w:shd w:val="clear" w:color="auto" w:fill="FFFFFF"/>
        </w:rPr>
        <w:t xml:space="preserve"> </w:t>
      </w:r>
      <w:hyperlink r:id="rId5" w:history="1">
        <w:r w:rsidRPr="00D417AE">
          <w:rPr>
            <w:rStyle w:val="Hyperlink"/>
            <w:rFonts w:eastAsiaTheme="majorEastAsia" w:cstheme="minorHAnsi"/>
            <w:color w:val="416EBF"/>
          </w:rPr>
          <w:t>http://hdl.handle.net/10523/7390</w:t>
        </w:r>
      </w:hyperlink>
    </w:p>
  </w:footnote>
  <w:footnote w:id="17">
    <w:p w14:paraId="36290203" w14:textId="77777777" w:rsidR="000860B3" w:rsidRPr="00E7687D" w:rsidRDefault="000860B3" w:rsidP="00E20FF1">
      <w:pPr>
        <w:pStyle w:val="FootnoteText"/>
        <w:rPr>
          <w:rFonts w:asciiTheme="minorHAnsi" w:hAnsiTheme="minorHAnsi" w:cstheme="minorHAnsi"/>
          <w:lang w:val="mi-NZ"/>
        </w:rPr>
      </w:pPr>
      <w:r w:rsidRPr="00E7687D">
        <w:rPr>
          <w:rStyle w:val="FootnoteReference"/>
          <w:rFonts w:asciiTheme="minorHAnsi" w:eastAsiaTheme="majorEastAsia" w:hAnsiTheme="minorHAnsi" w:cstheme="minorHAnsi"/>
        </w:rPr>
        <w:footnoteRef/>
      </w:r>
      <w:r w:rsidRPr="00E7687D">
        <w:rPr>
          <w:rFonts w:asciiTheme="minorHAnsi" w:hAnsiTheme="minorHAnsi" w:cstheme="minorHAnsi"/>
        </w:rPr>
        <w:t xml:space="preserve"> </w:t>
      </w:r>
      <w:r>
        <w:rPr>
          <w:rFonts w:asciiTheme="minorHAnsi" w:hAnsiTheme="minorHAnsi" w:cstheme="minorHAnsi"/>
        </w:rPr>
        <w:t xml:space="preserve">CP </w:t>
      </w:r>
      <w:r w:rsidRPr="00E7687D">
        <w:rPr>
          <w:rFonts w:asciiTheme="minorHAnsi" w:hAnsiTheme="minorHAnsi" w:cstheme="minorHAnsi"/>
        </w:rPr>
        <w:t xml:space="preserve">Jones </w:t>
      </w:r>
      <w:r>
        <w:rPr>
          <w:rFonts w:asciiTheme="minorHAnsi" w:hAnsiTheme="minorHAnsi" w:cstheme="minorHAnsi"/>
        </w:rPr>
        <w:t xml:space="preserve">(2014) </w:t>
      </w:r>
      <w:r w:rsidRPr="00E7687D">
        <w:rPr>
          <w:rFonts w:asciiTheme="minorHAnsi" w:hAnsiTheme="minorHAnsi" w:cstheme="minorHAnsi"/>
        </w:rPr>
        <w:t xml:space="preserve">Systems of power, axes of inequity: </w:t>
      </w:r>
      <w:r>
        <w:rPr>
          <w:rFonts w:asciiTheme="minorHAnsi" w:hAnsiTheme="minorHAnsi" w:cstheme="minorHAnsi"/>
        </w:rPr>
        <w:t>P</w:t>
      </w:r>
      <w:r w:rsidRPr="00E7687D">
        <w:rPr>
          <w:rFonts w:asciiTheme="minorHAnsi" w:hAnsiTheme="minorHAnsi" w:cstheme="minorHAnsi"/>
        </w:rPr>
        <w:t>arallels, intersections, braiding the strands</w:t>
      </w:r>
      <w:r>
        <w:rPr>
          <w:rFonts w:asciiTheme="minorHAnsi" w:hAnsiTheme="minorHAnsi" w:cstheme="minorHAnsi"/>
        </w:rPr>
        <w:t>,</w:t>
      </w:r>
      <w:r w:rsidRPr="00E7687D">
        <w:rPr>
          <w:rFonts w:asciiTheme="minorHAnsi" w:hAnsiTheme="minorHAnsi" w:cstheme="minorHAnsi"/>
        </w:rPr>
        <w:t xml:space="preserve"> </w:t>
      </w:r>
      <w:r w:rsidRPr="002E3F80">
        <w:rPr>
          <w:rFonts w:asciiTheme="minorHAnsi" w:hAnsiTheme="minorHAnsi" w:cstheme="minorHAnsi"/>
          <w:i/>
          <w:iCs/>
        </w:rPr>
        <w:t>Med Care</w:t>
      </w:r>
      <w:r>
        <w:rPr>
          <w:rFonts w:asciiTheme="minorHAnsi" w:hAnsiTheme="minorHAnsi" w:cstheme="minorHAnsi"/>
        </w:rPr>
        <w:t xml:space="preserve">, </w:t>
      </w:r>
      <w:r w:rsidRPr="00E7687D">
        <w:rPr>
          <w:rFonts w:asciiTheme="minorHAnsi" w:hAnsiTheme="minorHAnsi" w:cstheme="minorHAnsi"/>
        </w:rPr>
        <w:t>52(10 Suppl 3)</w:t>
      </w:r>
      <w:r>
        <w:rPr>
          <w:rFonts w:asciiTheme="minorHAnsi" w:hAnsiTheme="minorHAnsi" w:cstheme="minorHAnsi"/>
        </w:rPr>
        <w:t xml:space="preserve">, </w:t>
      </w:r>
      <w:r w:rsidRPr="00E7687D">
        <w:rPr>
          <w:rFonts w:asciiTheme="minorHAnsi" w:hAnsiTheme="minorHAnsi" w:cstheme="minorHAnsi"/>
        </w:rPr>
        <w:t>S71-</w:t>
      </w:r>
      <w:r>
        <w:rPr>
          <w:rFonts w:asciiTheme="minorHAnsi" w:hAnsiTheme="minorHAnsi" w:cstheme="minorHAnsi"/>
        </w:rPr>
        <w:t>57</w:t>
      </w:r>
      <w:r w:rsidRPr="00E7687D">
        <w:rPr>
          <w:rFonts w:asciiTheme="minorHAnsi" w:hAnsiTheme="minorHAnsi" w:cstheme="minorHAnsi"/>
        </w:rPr>
        <w:t>5.</w:t>
      </w:r>
    </w:p>
  </w:footnote>
  <w:footnote w:id="18">
    <w:p w14:paraId="5E3F0CD9" w14:textId="77777777" w:rsidR="000860B3" w:rsidRPr="00E7687D" w:rsidRDefault="000860B3" w:rsidP="00E20FF1">
      <w:pPr>
        <w:pStyle w:val="FootnoteText"/>
        <w:rPr>
          <w:rFonts w:asciiTheme="minorHAnsi" w:hAnsiTheme="minorHAnsi" w:cstheme="minorHAnsi"/>
          <w:lang w:val="mi-NZ"/>
        </w:rPr>
      </w:pPr>
      <w:r w:rsidRPr="00E7687D">
        <w:rPr>
          <w:rStyle w:val="FootnoteReference"/>
          <w:rFonts w:asciiTheme="minorHAnsi" w:eastAsiaTheme="majorEastAsia" w:hAnsiTheme="minorHAnsi" w:cstheme="minorHAnsi"/>
        </w:rPr>
        <w:footnoteRef/>
      </w:r>
      <w:r w:rsidRPr="00E7687D">
        <w:rPr>
          <w:rFonts w:asciiTheme="minorHAnsi" w:hAnsiTheme="minorHAnsi" w:cstheme="minorHAnsi"/>
        </w:rPr>
        <w:t xml:space="preserve"> </w:t>
      </w:r>
      <w:r>
        <w:rPr>
          <w:rFonts w:asciiTheme="minorHAnsi" w:hAnsiTheme="minorHAnsi" w:cstheme="minorHAnsi"/>
        </w:rPr>
        <w:t xml:space="preserve">B </w:t>
      </w:r>
      <w:r w:rsidRPr="00E7687D">
        <w:rPr>
          <w:rFonts w:asciiTheme="minorHAnsi" w:hAnsiTheme="minorHAnsi" w:cstheme="minorHAnsi"/>
          <w:noProof/>
        </w:rPr>
        <w:t>Robson</w:t>
      </w:r>
      <w:r>
        <w:rPr>
          <w:rFonts w:asciiTheme="minorHAnsi" w:hAnsiTheme="minorHAnsi" w:cstheme="minorHAnsi"/>
          <w:noProof/>
        </w:rPr>
        <w:t xml:space="preserve"> </w:t>
      </w:r>
      <w:r w:rsidRPr="00E7687D">
        <w:rPr>
          <w:rFonts w:asciiTheme="minorHAnsi" w:hAnsiTheme="minorHAnsi" w:cstheme="minorHAnsi"/>
          <w:noProof/>
        </w:rPr>
        <w:t xml:space="preserve">&amp; </w:t>
      </w:r>
      <w:r>
        <w:rPr>
          <w:rFonts w:asciiTheme="minorHAnsi" w:hAnsiTheme="minorHAnsi" w:cstheme="minorHAnsi"/>
          <w:noProof/>
        </w:rPr>
        <w:t xml:space="preserve">R </w:t>
      </w:r>
      <w:r w:rsidRPr="00E7687D">
        <w:rPr>
          <w:rFonts w:asciiTheme="minorHAnsi" w:hAnsiTheme="minorHAnsi" w:cstheme="minorHAnsi"/>
          <w:noProof/>
        </w:rPr>
        <w:t>Harris</w:t>
      </w:r>
      <w:r>
        <w:rPr>
          <w:rFonts w:asciiTheme="minorHAnsi" w:hAnsiTheme="minorHAnsi" w:cstheme="minorHAnsi"/>
          <w:noProof/>
        </w:rPr>
        <w:t xml:space="preserve"> </w:t>
      </w:r>
      <w:r w:rsidRPr="00E7687D">
        <w:rPr>
          <w:rFonts w:asciiTheme="minorHAnsi" w:hAnsiTheme="minorHAnsi" w:cstheme="minorHAnsi"/>
          <w:noProof/>
        </w:rPr>
        <w:t xml:space="preserve">(Eds) (2007) </w:t>
      </w:r>
      <w:r w:rsidRPr="00E7687D">
        <w:rPr>
          <w:rFonts w:asciiTheme="minorHAnsi" w:hAnsiTheme="minorHAnsi" w:cstheme="minorHAnsi"/>
          <w:i/>
          <w:noProof/>
        </w:rPr>
        <w:t>Hauora: Māori Standards of Health IV. A study of the years 2000-2005</w:t>
      </w:r>
      <w:r>
        <w:rPr>
          <w:rFonts w:asciiTheme="minorHAnsi" w:hAnsiTheme="minorHAnsi" w:cstheme="minorHAnsi"/>
          <w:noProof/>
        </w:rPr>
        <w:t>,</w:t>
      </w:r>
      <w:r w:rsidRPr="00E7687D">
        <w:rPr>
          <w:rFonts w:asciiTheme="minorHAnsi" w:hAnsiTheme="minorHAnsi" w:cstheme="minorHAnsi"/>
          <w:noProof/>
        </w:rPr>
        <w:t xml:space="preserve"> Te Rōpū Rangahau Hauora a Eru Pōmare, University of Otag</w:t>
      </w:r>
      <w:r>
        <w:rPr>
          <w:rFonts w:asciiTheme="minorHAnsi" w:hAnsiTheme="minorHAnsi" w:cstheme="minorHAnsi"/>
          <w:noProof/>
        </w:rPr>
        <w:t>o</w:t>
      </w:r>
      <w:r w:rsidRPr="00E7687D">
        <w:rPr>
          <w:rFonts w:asciiTheme="minorHAnsi" w:hAnsiTheme="minorHAnsi" w:cstheme="minorHAnsi"/>
          <w:noProof/>
        </w:rPr>
        <w:t xml:space="preserve"> Wellington.</w:t>
      </w:r>
    </w:p>
  </w:footnote>
  <w:footnote w:id="19">
    <w:p w14:paraId="33DCBFEB" w14:textId="77777777" w:rsidR="000860B3" w:rsidRPr="00E7687D" w:rsidRDefault="000860B3" w:rsidP="00E20FF1">
      <w:pPr>
        <w:pStyle w:val="EndNoteBibliography"/>
        <w:rPr>
          <w:rFonts w:asciiTheme="minorHAnsi" w:hAnsiTheme="minorHAnsi" w:cstheme="minorHAnsi"/>
          <w:noProof/>
          <w:sz w:val="20"/>
          <w:szCs w:val="20"/>
        </w:rPr>
      </w:pPr>
      <w:r w:rsidRPr="00E7687D">
        <w:rPr>
          <w:rStyle w:val="FootnoteReference"/>
          <w:rFonts w:asciiTheme="minorHAnsi" w:eastAsiaTheme="majorEastAsia" w:hAnsiTheme="minorHAnsi" w:cstheme="minorHAnsi"/>
          <w:sz w:val="20"/>
          <w:szCs w:val="20"/>
        </w:rPr>
        <w:footnoteRef/>
      </w:r>
      <w:r w:rsidRPr="00E7687D">
        <w:rPr>
          <w:rFonts w:asciiTheme="minorHAnsi" w:hAnsiTheme="minorHAnsi" w:cstheme="minorHAnsi"/>
          <w:sz w:val="20"/>
          <w:szCs w:val="20"/>
        </w:rPr>
        <w:t xml:space="preserve"> </w:t>
      </w:r>
      <w:r>
        <w:rPr>
          <w:rFonts w:asciiTheme="minorHAnsi" w:hAnsiTheme="minorHAnsi" w:cstheme="minorHAnsi"/>
          <w:sz w:val="20"/>
          <w:szCs w:val="20"/>
        </w:rPr>
        <w:t xml:space="preserve">R </w:t>
      </w:r>
      <w:r w:rsidRPr="00E7687D">
        <w:rPr>
          <w:rFonts w:asciiTheme="minorHAnsi" w:hAnsiTheme="minorHAnsi" w:cstheme="minorHAnsi"/>
          <w:noProof/>
          <w:sz w:val="20"/>
          <w:szCs w:val="20"/>
        </w:rPr>
        <w:t>Grosfoguel (2011) Decolonizing Post-Colonial Studies and Paradigms of Political-Economy: Transmodernity, Decolonial Thinking, and Global Coloniality</w:t>
      </w:r>
      <w:r>
        <w:rPr>
          <w:rFonts w:asciiTheme="minorHAnsi" w:hAnsiTheme="minorHAnsi" w:cstheme="minorHAnsi"/>
          <w:noProof/>
          <w:sz w:val="20"/>
          <w:szCs w:val="20"/>
        </w:rPr>
        <w:t>,</w:t>
      </w:r>
      <w:r w:rsidRPr="00E7687D">
        <w:rPr>
          <w:rFonts w:asciiTheme="minorHAnsi" w:hAnsiTheme="minorHAnsi" w:cstheme="minorHAnsi"/>
          <w:noProof/>
          <w:sz w:val="20"/>
          <w:szCs w:val="20"/>
        </w:rPr>
        <w:t xml:space="preserve"> </w:t>
      </w:r>
      <w:r w:rsidRPr="00E7687D">
        <w:rPr>
          <w:rFonts w:asciiTheme="minorHAnsi" w:hAnsiTheme="minorHAnsi" w:cstheme="minorHAnsi"/>
          <w:i/>
          <w:noProof/>
          <w:sz w:val="20"/>
          <w:szCs w:val="20"/>
        </w:rPr>
        <w:t>TRANSMODERNITY: Journal of Peripheral Cultural Production of the Luso-Hispanic World,1</w:t>
      </w:r>
      <w:r w:rsidRPr="00E7687D">
        <w:rPr>
          <w:rFonts w:asciiTheme="minorHAnsi" w:hAnsiTheme="minorHAnsi" w:cstheme="minorHAnsi"/>
          <w:noProof/>
          <w:sz w:val="20"/>
          <w:szCs w:val="20"/>
        </w:rPr>
        <w:t>(1)</w:t>
      </w:r>
      <w:r>
        <w:rPr>
          <w:rFonts w:asciiTheme="minorHAnsi" w:hAnsiTheme="minorHAnsi" w:cstheme="minorHAnsi"/>
          <w:noProof/>
          <w:sz w:val="20"/>
          <w:szCs w:val="20"/>
        </w:rPr>
        <w:t xml:space="preserve">, </w:t>
      </w:r>
      <w:r w:rsidRPr="00E7687D">
        <w:rPr>
          <w:rFonts w:asciiTheme="minorHAnsi" w:hAnsiTheme="minorHAnsi" w:cstheme="minorHAnsi"/>
          <w:noProof/>
          <w:sz w:val="20"/>
          <w:szCs w:val="20"/>
        </w:rPr>
        <w:t xml:space="preserve">1-38. </w:t>
      </w:r>
    </w:p>
  </w:footnote>
  <w:footnote w:id="20">
    <w:p w14:paraId="36BB611B" w14:textId="77777777" w:rsidR="000860B3" w:rsidRPr="00E7687D" w:rsidRDefault="000860B3" w:rsidP="00E20FF1">
      <w:pPr>
        <w:pStyle w:val="FootnoteText"/>
        <w:rPr>
          <w:rFonts w:asciiTheme="minorHAnsi" w:hAnsiTheme="minorHAnsi" w:cstheme="minorHAnsi"/>
          <w:lang w:val="mi-NZ"/>
        </w:rPr>
      </w:pPr>
      <w:r w:rsidRPr="00E7687D">
        <w:rPr>
          <w:rStyle w:val="FootnoteReference"/>
          <w:rFonts w:asciiTheme="minorHAnsi" w:eastAsiaTheme="majorEastAsia" w:hAnsiTheme="minorHAnsi" w:cstheme="minorHAnsi"/>
        </w:rPr>
        <w:footnoteRef/>
      </w:r>
      <w:r w:rsidRPr="00E7687D">
        <w:rPr>
          <w:rFonts w:asciiTheme="minorHAnsi" w:hAnsiTheme="minorHAnsi" w:cstheme="minorHAnsi"/>
        </w:rPr>
        <w:t xml:space="preserve"> </w:t>
      </w:r>
      <w:r>
        <w:rPr>
          <w:rFonts w:asciiTheme="minorHAnsi" w:hAnsiTheme="minorHAnsi" w:cstheme="minorHAnsi"/>
        </w:rPr>
        <w:t xml:space="preserve">RB </w:t>
      </w:r>
      <w:r w:rsidRPr="00E7687D">
        <w:rPr>
          <w:rFonts w:asciiTheme="minorHAnsi" w:hAnsiTheme="minorHAnsi" w:cstheme="minorHAnsi"/>
        </w:rPr>
        <w:t>Harris</w:t>
      </w:r>
      <w:r>
        <w:rPr>
          <w:rFonts w:asciiTheme="minorHAnsi" w:hAnsiTheme="minorHAnsi" w:cstheme="minorHAnsi"/>
        </w:rPr>
        <w:t xml:space="preserve">, J </w:t>
      </w:r>
      <w:r w:rsidRPr="00E7687D">
        <w:rPr>
          <w:rFonts w:asciiTheme="minorHAnsi" w:hAnsiTheme="minorHAnsi" w:cstheme="minorHAnsi"/>
        </w:rPr>
        <w:t xml:space="preserve">Stanley &amp; </w:t>
      </w:r>
      <w:r>
        <w:rPr>
          <w:rFonts w:asciiTheme="minorHAnsi" w:hAnsiTheme="minorHAnsi" w:cstheme="minorHAnsi"/>
        </w:rPr>
        <w:t xml:space="preserve">DM </w:t>
      </w:r>
      <w:r w:rsidRPr="00E7687D">
        <w:rPr>
          <w:rFonts w:asciiTheme="minorHAnsi" w:hAnsiTheme="minorHAnsi" w:cstheme="minorHAnsi"/>
        </w:rPr>
        <w:t>Cormack</w:t>
      </w:r>
      <w:r>
        <w:rPr>
          <w:rFonts w:asciiTheme="minorHAnsi" w:hAnsiTheme="minorHAnsi" w:cstheme="minorHAnsi"/>
        </w:rPr>
        <w:t xml:space="preserve"> (2018)</w:t>
      </w:r>
      <w:r w:rsidRPr="00E7687D">
        <w:rPr>
          <w:rFonts w:asciiTheme="minorHAnsi" w:hAnsiTheme="minorHAnsi" w:cstheme="minorHAnsi"/>
        </w:rPr>
        <w:t xml:space="preserve"> Racism and health in New Zealand: Prevalence over time and associations between recent experience of racism and health and wellbeing measures using national survey data</w:t>
      </w:r>
      <w:r>
        <w:rPr>
          <w:rFonts w:asciiTheme="minorHAnsi" w:hAnsiTheme="minorHAnsi" w:cstheme="minorHAnsi"/>
        </w:rPr>
        <w:t>,</w:t>
      </w:r>
      <w:r w:rsidRPr="00E7687D">
        <w:rPr>
          <w:rFonts w:asciiTheme="minorHAnsi" w:hAnsiTheme="minorHAnsi" w:cstheme="minorHAnsi"/>
        </w:rPr>
        <w:t xml:space="preserve"> </w:t>
      </w:r>
      <w:r w:rsidRPr="002E3F80">
        <w:rPr>
          <w:rFonts w:asciiTheme="minorHAnsi" w:hAnsiTheme="minorHAnsi" w:cstheme="minorHAnsi"/>
          <w:i/>
          <w:iCs/>
        </w:rPr>
        <w:t>PLOS ONE</w:t>
      </w:r>
      <w:r>
        <w:rPr>
          <w:rFonts w:asciiTheme="minorHAnsi" w:hAnsiTheme="minorHAnsi" w:cstheme="minorHAnsi"/>
        </w:rPr>
        <w:t xml:space="preserve">, </w:t>
      </w:r>
      <w:r w:rsidRPr="00E7687D">
        <w:rPr>
          <w:rFonts w:asciiTheme="minorHAnsi" w:hAnsiTheme="minorHAnsi" w:cstheme="minorHAnsi"/>
        </w:rPr>
        <w:t>13(5)</w:t>
      </w:r>
      <w:r>
        <w:rPr>
          <w:rFonts w:asciiTheme="minorHAnsi" w:hAnsiTheme="minorHAnsi" w:cstheme="minorHAnsi"/>
        </w:rPr>
        <w:t xml:space="preserve">, </w:t>
      </w:r>
      <w:r w:rsidRPr="00E7687D">
        <w:rPr>
          <w:rFonts w:asciiTheme="minorHAnsi" w:hAnsiTheme="minorHAnsi" w:cstheme="minorHAnsi"/>
        </w:rPr>
        <w:t>e0196476.</w:t>
      </w:r>
    </w:p>
  </w:footnote>
  <w:footnote w:id="21">
    <w:p w14:paraId="4D890E44" w14:textId="77777777" w:rsidR="000860B3" w:rsidRPr="00E7687D" w:rsidRDefault="000860B3" w:rsidP="00E20FF1">
      <w:pPr>
        <w:pStyle w:val="EndNoteBibliography"/>
        <w:rPr>
          <w:rFonts w:asciiTheme="minorHAnsi" w:hAnsiTheme="minorHAnsi" w:cstheme="minorHAnsi"/>
          <w:noProof/>
          <w:sz w:val="20"/>
          <w:szCs w:val="20"/>
        </w:rPr>
      </w:pPr>
      <w:r w:rsidRPr="00E7687D">
        <w:rPr>
          <w:rStyle w:val="FootnoteReference"/>
          <w:rFonts w:asciiTheme="minorHAnsi" w:eastAsiaTheme="majorEastAsia" w:hAnsiTheme="minorHAnsi" w:cstheme="minorHAnsi"/>
          <w:sz w:val="20"/>
          <w:szCs w:val="20"/>
        </w:rPr>
        <w:footnoteRef/>
      </w:r>
      <w:r w:rsidRPr="00E7687D">
        <w:rPr>
          <w:rFonts w:asciiTheme="minorHAnsi" w:hAnsiTheme="minorHAnsi" w:cstheme="minorHAnsi"/>
          <w:sz w:val="20"/>
          <w:szCs w:val="20"/>
        </w:rPr>
        <w:t xml:space="preserve"> </w:t>
      </w:r>
      <w:r>
        <w:rPr>
          <w:rFonts w:asciiTheme="minorHAnsi" w:hAnsiTheme="minorHAnsi" w:cstheme="minorHAnsi"/>
          <w:sz w:val="20"/>
          <w:szCs w:val="20"/>
        </w:rPr>
        <w:t xml:space="preserve">P </w:t>
      </w:r>
      <w:r w:rsidRPr="00E7687D">
        <w:rPr>
          <w:rFonts w:asciiTheme="minorHAnsi" w:hAnsiTheme="minorHAnsi" w:cstheme="minorHAnsi"/>
          <w:noProof/>
          <w:sz w:val="20"/>
          <w:szCs w:val="20"/>
        </w:rPr>
        <w:t>Reid</w:t>
      </w:r>
      <w:r>
        <w:rPr>
          <w:rFonts w:asciiTheme="minorHAnsi" w:hAnsiTheme="minorHAnsi" w:cstheme="minorHAnsi"/>
          <w:noProof/>
          <w:sz w:val="20"/>
          <w:szCs w:val="20"/>
        </w:rPr>
        <w:t xml:space="preserve"> </w:t>
      </w:r>
      <w:r w:rsidRPr="00E7687D">
        <w:rPr>
          <w:rFonts w:asciiTheme="minorHAnsi" w:hAnsiTheme="minorHAnsi" w:cstheme="minorHAnsi"/>
          <w:noProof/>
          <w:sz w:val="20"/>
          <w:szCs w:val="20"/>
        </w:rPr>
        <w:t xml:space="preserve">&amp; </w:t>
      </w:r>
      <w:r>
        <w:rPr>
          <w:rFonts w:asciiTheme="minorHAnsi" w:hAnsiTheme="minorHAnsi" w:cstheme="minorHAnsi"/>
          <w:noProof/>
          <w:sz w:val="20"/>
          <w:szCs w:val="20"/>
        </w:rPr>
        <w:t xml:space="preserve">B </w:t>
      </w:r>
      <w:r w:rsidRPr="00E7687D">
        <w:rPr>
          <w:rFonts w:asciiTheme="minorHAnsi" w:hAnsiTheme="minorHAnsi" w:cstheme="minorHAnsi"/>
          <w:noProof/>
          <w:sz w:val="20"/>
          <w:szCs w:val="20"/>
        </w:rPr>
        <w:t xml:space="preserve">Robson (2007) Understanding </w:t>
      </w:r>
      <w:r>
        <w:rPr>
          <w:rFonts w:asciiTheme="minorHAnsi" w:hAnsiTheme="minorHAnsi" w:cstheme="minorHAnsi"/>
          <w:noProof/>
          <w:sz w:val="20"/>
          <w:szCs w:val="20"/>
        </w:rPr>
        <w:t>h</w:t>
      </w:r>
      <w:r w:rsidRPr="00E7687D">
        <w:rPr>
          <w:rFonts w:asciiTheme="minorHAnsi" w:hAnsiTheme="minorHAnsi" w:cstheme="minorHAnsi"/>
          <w:noProof/>
          <w:sz w:val="20"/>
          <w:szCs w:val="20"/>
        </w:rPr>
        <w:t xml:space="preserve">ealth </w:t>
      </w:r>
      <w:r>
        <w:rPr>
          <w:rFonts w:asciiTheme="minorHAnsi" w:hAnsiTheme="minorHAnsi" w:cstheme="minorHAnsi"/>
          <w:noProof/>
          <w:sz w:val="20"/>
          <w:szCs w:val="20"/>
        </w:rPr>
        <w:t>i</w:t>
      </w:r>
      <w:r w:rsidRPr="00E7687D">
        <w:rPr>
          <w:rFonts w:asciiTheme="minorHAnsi" w:hAnsiTheme="minorHAnsi" w:cstheme="minorHAnsi"/>
          <w:noProof/>
          <w:sz w:val="20"/>
          <w:szCs w:val="20"/>
        </w:rPr>
        <w:t>nequities</w:t>
      </w:r>
      <w:r>
        <w:rPr>
          <w:rFonts w:asciiTheme="minorHAnsi" w:hAnsiTheme="minorHAnsi" w:cstheme="minorHAnsi"/>
          <w:noProof/>
          <w:sz w:val="20"/>
          <w:szCs w:val="20"/>
        </w:rPr>
        <w:t>,</w:t>
      </w:r>
      <w:r w:rsidRPr="00E7687D">
        <w:rPr>
          <w:rFonts w:asciiTheme="minorHAnsi" w:hAnsiTheme="minorHAnsi" w:cstheme="minorHAnsi"/>
          <w:noProof/>
          <w:sz w:val="20"/>
          <w:szCs w:val="20"/>
        </w:rPr>
        <w:t xml:space="preserve"> In B Robson &amp; R Harris (Eds)</w:t>
      </w:r>
      <w:r>
        <w:rPr>
          <w:rFonts w:asciiTheme="minorHAnsi" w:hAnsiTheme="minorHAnsi" w:cstheme="minorHAnsi"/>
          <w:noProof/>
          <w:sz w:val="20"/>
          <w:szCs w:val="20"/>
        </w:rPr>
        <w:t xml:space="preserve"> </w:t>
      </w:r>
      <w:r w:rsidRPr="00E7687D">
        <w:rPr>
          <w:rFonts w:asciiTheme="minorHAnsi" w:hAnsiTheme="minorHAnsi" w:cstheme="minorHAnsi"/>
          <w:i/>
          <w:noProof/>
          <w:sz w:val="20"/>
          <w:szCs w:val="20"/>
        </w:rPr>
        <w:t>Hauora Māori Standards of Health IV:</w:t>
      </w:r>
      <w:r>
        <w:rPr>
          <w:rFonts w:asciiTheme="minorHAnsi" w:hAnsiTheme="minorHAnsi" w:cstheme="minorHAnsi"/>
          <w:i/>
          <w:noProof/>
          <w:sz w:val="20"/>
          <w:szCs w:val="20"/>
        </w:rPr>
        <w:t xml:space="preserve"> </w:t>
      </w:r>
      <w:r w:rsidRPr="00E7687D">
        <w:rPr>
          <w:rFonts w:asciiTheme="minorHAnsi" w:hAnsiTheme="minorHAnsi" w:cstheme="minorHAnsi"/>
          <w:i/>
          <w:noProof/>
          <w:sz w:val="20"/>
          <w:szCs w:val="20"/>
        </w:rPr>
        <w:t>A study of the years 2000-2005</w:t>
      </w:r>
      <w:r w:rsidRPr="00E7687D">
        <w:rPr>
          <w:rFonts w:asciiTheme="minorHAnsi" w:hAnsiTheme="minorHAnsi" w:cstheme="minorHAnsi"/>
          <w:noProof/>
          <w:sz w:val="20"/>
          <w:szCs w:val="20"/>
        </w:rPr>
        <w:t xml:space="preserve"> (pp.</w:t>
      </w:r>
      <w:r>
        <w:rPr>
          <w:rFonts w:asciiTheme="minorHAnsi" w:hAnsiTheme="minorHAnsi" w:cstheme="minorHAnsi"/>
          <w:noProof/>
          <w:sz w:val="20"/>
          <w:szCs w:val="20"/>
        </w:rPr>
        <w:t xml:space="preserve"> </w:t>
      </w:r>
      <w:r w:rsidRPr="00E7687D">
        <w:rPr>
          <w:rFonts w:asciiTheme="minorHAnsi" w:hAnsiTheme="minorHAnsi" w:cstheme="minorHAnsi"/>
          <w:noProof/>
          <w:sz w:val="20"/>
          <w:szCs w:val="20"/>
        </w:rPr>
        <w:t>3-10)</w:t>
      </w:r>
      <w:r>
        <w:rPr>
          <w:rFonts w:asciiTheme="minorHAnsi" w:hAnsiTheme="minorHAnsi" w:cstheme="minorHAnsi"/>
          <w:noProof/>
          <w:sz w:val="20"/>
          <w:szCs w:val="20"/>
        </w:rPr>
        <w:t xml:space="preserve">, </w:t>
      </w:r>
      <w:r w:rsidRPr="00E7687D">
        <w:rPr>
          <w:rFonts w:asciiTheme="minorHAnsi" w:hAnsiTheme="minorHAnsi" w:cstheme="minorHAnsi"/>
          <w:noProof/>
          <w:sz w:val="20"/>
          <w:szCs w:val="20"/>
        </w:rPr>
        <w:t>Te Rōpū Rangahau Hauora A Eru Pōmare, University of Otago</w:t>
      </w:r>
      <w:r w:rsidRPr="0087231B">
        <w:rPr>
          <w:rFonts w:asciiTheme="minorHAnsi" w:hAnsiTheme="minorHAnsi" w:cstheme="minorHAnsi"/>
          <w:noProof/>
          <w:sz w:val="20"/>
          <w:szCs w:val="20"/>
        </w:rPr>
        <w:t xml:space="preserve"> </w:t>
      </w:r>
      <w:r w:rsidRPr="00E7687D">
        <w:rPr>
          <w:rFonts w:asciiTheme="minorHAnsi" w:hAnsiTheme="minorHAnsi" w:cstheme="minorHAnsi"/>
          <w:noProof/>
          <w:sz w:val="20"/>
          <w:szCs w:val="20"/>
        </w:rPr>
        <w:t>Wellington</w:t>
      </w:r>
      <w:r>
        <w:rPr>
          <w:rFonts w:asciiTheme="minorHAnsi" w:hAnsiTheme="minorHAnsi" w:cstheme="minorHAnsi"/>
          <w:noProof/>
          <w:sz w:val="20"/>
          <w:szCs w:val="20"/>
        </w:rPr>
        <w:t>.</w:t>
      </w:r>
    </w:p>
  </w:footnote>
  <w:footnote w:id="22">
    <w:p w14:paraId="1DF52F28" w14:textId="77777777" w:rsidR="000860B3" w:rsidRPr="00E7687D" w:rsidRDefault="000860B3" w:rsidP="00E20FF1">
      <w:pPr>
        <w:pStyle w:val="FootnoteText"/>
        <w:rPr>
          <w:rFonts w:asciiTheme="minorHAnsi" w:hAnsiTheme="minorHAnsi" w:cstheme="minorHAnsi"/>
        </w:rPr>
      </w:pPr>
      <w:r w:rsidRPr="00E7687D">
        <w:rPr>
          <w:rStyle w:val="FootnoteReference"/>
          <w:rFonts w:asciiTheme="minorHAnsi" w:eastAsiaTheme="majorEastAsia" w:hAnsiTheme="minorHAnsi" w:cstheme="minorHAnsi"/>
        </w:rPr>
        <w:footnoteRef/>
      </w:r>
      <w:r w:rsidRPr="00E7687D">
        <w:rPr>
          <w:rFonts w:asciiTheme="minorHAnsi" w:hAnsiTheme="minorHAnsi" w:cstheme="minorHAnsi"/>
        </w:rPr>
        <w:t xml:space="preserve"> Foreign.</w:t>
      </w:r>
    </w:p>
  </w:footnote>
  <w:footnote w:id="23">
    <w:p w14:paraId="621ECCF3" w14:textId="127C5C07" w:rsidR="000860B3" w:rsidRPr="00E7687D" w:rsidRDefault="000860B3" w:rsidP="00E20FF1">
      <w:pPr>
        <w:spacing w:after="0" w:line="240" w:lineRule="auto"/>
        <w:rPr>
          <w:rFonts w:cstheme="minorHAnsi"/>
          <w:color w:val="000000" w:themeColor="text1"/>
          <w:u w:val="single"/>
          <w:shd w:val="clear" w:color="auto" w:fill="FFFFFF"/>
        </w:rPr>
      </w:pPr>
      <w:r w:rsidRPr="00E7687D">
        <w:rPr>
          <w:rStyle w:val="FootnoteReference"/>
          <w:rFonts w:eastAsiaTheme="majorEastAsia" w:cstheme="minorHAnsi"/>
          <w:color w:val="000000" w:themeColor="text1"/>
        </w:rPr>
        <w:footnoteRef/>
      </w:r>
      <w:r w:rsidRPr="00E7687D">
        <w:rPr>
          <w:rFonts w:cstheme="minorHAnsi"/>
          <w:color w:val="000000" w:themeColor="text1"/>
        </w:rPr>
        <w:t xml:space="preserve"> </w:t>
      </w:r>
      <w:r>
        <w:rPr>
          <w:rFonts w:cstheme="minorHAnsi"/>
          <w:color w:val="000000" w:themeColor="text1"/>
        </w:rPr>
        <w:t xml:space="preserve">J </w:t>
      </w:r>
      <w:r w:rsidRPr="00E7687D">
        <w:rPr>
          <w:rFonts w:cstheme="minorHAnsi"/>
          <w:color w:val="000000" w:themeColor="text1"/>
          <w:shd w:val="clear" w:color="auto" w:fill="FFFFFF"/>
        </w:rPr>
        <w:t xml:space="preserve">Simpson, </w:t>
      </w:r>
      <w:r>
        <w:rPr>
          <w:rFonts w:cstheme="minorHAnsi"/>
          <w:color w:val="000000" w:themeColor="text1"/>
          <w:shd w:val="clear" w:color="auto" w:fill="FFFFFF"/>
        </w:rPr>
        <w:t xml:space="preserve">J </w:t>
      </w:r>
      <w:r w:rsidRPr="00E7687D">
        <w:rPr>
          <w:rFonts w:cstheme="minorHAnsi"/>
          <w:color w:val="000000" w:themeColor="text1"/>
          <w:shd w:val="clear" w:color="auto" w:fill="FFFFFF"/>
        </w:rPr>
        <w:t xml:space="preserve">Adams, </w:t>
      </w:r>
      <w:r>
        <w:rPr>
          <w:rFonts w:cstheme="minorHAnsi"/>
          <w:color w:val="000000" w:themeColor="text1"/>
          <w:shd w:val="clear" w:color="auto" w:fill="FFFFFF"/>
        </w:rPr>
        <w:t xml:space="preserve">G </w:t>
      </w:r>
      <w:proofErr w:type="spellStart"/>
      <w:r w:rsidRPr="00E7687D">
        <w:rPr>
          <w:rFonts w:cstheme="minorHAnsi"/>
          <w:color w:val="000000" w:themeColor="text1"/>
          <w:shd w:val="clear" w:color="auto" w:fill="FFFFFF"/>
        </w:rPr>
        <w:t>Oben</w:t>
      </w:r>
      <w:proofErr w:type="spellEnd"/>
      <w:r w:rsidRPr="00E7687D">
        <w:rPr>
          <w:rFonts w:cstheme="minorHAnsi"/>
          <w:color w:val="000000" w:themeColor="text1"/>
          <w:shd w:val="clear" w:color="auto" w:fill="FFFFFF"/>
        </w:rPr>
        <w:t xml:space="preserve">, </w:t>
      </w:r>
      <w:r>
        <w:rPr>
          <w:rFonts w:cstheme="minorHAnsi"/>
          <w:color w:val="000000" w:themeColor="text1"/>
          <w:shd w:val="clear" w:color="auto" w:fill="FFFFFF"/>
        </w:rPr>
        <w:t xml:space="preserve">A </w:t>
      </w:r>
      <w:proofErr w:type="spellStart"/>
      <w:r w:rsidRPr="00E7687D">
        <w:rPr>
          <w:rFonts w:cstheme="minorHAnsi"/>
          <w:color w:val="000000" w:themeColor="text1"/>
          <w:shd w:val="clear" w:color="auto" w:fill="FFFFFF"/>
        </w:rPr>
        <w:t>Wicken</w:t>
      </w:r>
      <w:proofErr w:type="spellEnd"/>
      <w:r>
        <w:rPr>
          <w:rFonts w:cstheme="minorHAnsi"/>
          <w:color w:val="000000" w:themeColor="text1"/>
          <w:shd w:val="clear" w:color="auto" w:fill="FFFFFF"/>
        </w:rPr>
        <w:t xml:space="preserve"> </w:t>
      </w:r>
      <w:r w:rsidRPr="00E7687D">
        <w:rPr>
          <w:rFonts w:cstheme="minorHAnsi"/>
          <w:color w:val="000000" w:themeColor="text1"/>
          <w:shd w:val="clear" w:color="auto" w:fill="FFFFFF"/>
        </w:rPr>
        <w:t xml:space="preserve">&amp; </w:t>
      </w:r>
      <w:r>
        <w:rPr>
          <w:rFonts w:cstheme="minorHAnsi"/>
          <w:color w:val="000000" w:themeColor="text1"/>
          <w:shd w:val="clear" w:color="auto" w:fill="FFFFFF"/>
        </w:rPr>
        <w:t xml:space="preserve">M </w:t>
      </w:r>
      <w:r w:rsidRPr="00E7687D">
        <w:rPr>
          <w:rFonts w:cstheme="minorHAnsi"/>
          <w:color w:val="000000" w:themeColor="text1"/>
          <w:shd w:val="clear" w:color="auto" w:fill="FFFFFF"/>
        </w:rPr>
        <w:t xml:space="preserve">Duncanson (2016) </w:t>
      </w:r>
      <w:r w:rsidRPr="000B7D2B">
        <w:rPr>
          <w:rFonts w:cstheme="minorHAnsi"/>
          <w:i/>
          <w:iCs/>
          <w:color w:val="000000" w:themeColor="text1"/>
          <w:shd w:val="clear" w:color="auto" w:fill="FFFFFF"/>
        </w:rPr>
        <w:t xml:space="preserve">The Determinants of Health for Māori Children and Young People in New Zealand </w:t>
      </w:r>
      <w:r w:rsidRPr="00E7687D">
        <w:rPr>
          <w:rFonts w:cstheme="minorHAnsi"/>
          <w:color w:val="000000" w:themeColor="text1"/>
          <w:shd w:val="clear" w:color="auto" w:fill="FFFFFF"/>
        </w:rPr>
        <w:t>(Determinants of Health for Children and Young People No. 2)</w:t>
      </w:r>
      <w:r>
        <w:rPr>
          <w:rFonts w:cstheme="minorHAnsi"/>
          <w:color w:val="000000" w:themeColor="text1"/>
          <w:shd w:val="clear" w:color="auto" w:fill="FFFFFF"/>
        </w:rPr>
        <w:t>,</w:t>
      </w:r>
      <w:r w:rsidRPr="00E7687D">
        <w:rPr>
          <w:rFonts w:cstheme="minorHAnsi"/>
          <w:color w:val="000000" w:themeColor="text1"/>
          <w:shd w:val="clear" w:color="auto" w:fill="FFFFFF"/>
        </w:rPr>
        <w:t xml:space="preserve"> New Zealand Child and Youth Epidemiology Service</w:t>
      </w:r>
      <w:r w:rsidR="00C836CE">
        <w:rPr>
          <w:rFonts w:cstheme="minorHAnsi"/>
          <w:color w:val="000000" w:themeColor="text1"/>
          <w:shd w:val="clear" w:color="auto" w:fill="FFFFFF"/>
        </w:rPr>
        <w:t xml:space="preserve">: </w:t>
      </w:r>
      <w:r w:rsidRPr="00E7687D">
        <w:rPr>
          <w:rFonts w:cstheme="minorHAnsi"/>
          <w:color w:val="000000" w:themeColor="text1"/>
          <w:shd w:val="clear" w:color="auto" w:fill="FFFFFF"/>
        </w:rPr>
        <w:t xml:space="preserve"> </w:t>
      </w:r>
      <w:hyperlink r:id="rId6" w:history="1">
        <w:r w:rsidRPr="00D417AE">
          <w:rPr>
            <w:rStyle w:val="Hyperlink"/>
            <w:rFonts w:eastAsiaTheme="majorEastAsia" w:cstheme="minorHAnsi"/>
            <w:color w:val="25409A" w:themeColor="text2"/>
            <w:shd w:val="clear" w:color="auto" w:fill="FFFFFF"/>
          </w:rPr>
          <w:t>http://hdl.handle.net/10523/6384</w:t>
        </w:r>
      </w:hyperlink>
    </w:p>
  </w:footnote>
  <w:footnote w:id="24">
    <w:p w14:paraId="52A961B0" w14:textId="4975EFA6" w:rsidR="000860B3" w:rsidRPr="00E7687D" w:rsidRDefault="000860B3" w:rsidP="00E20FF1">
      <w:pPr>
        <w:pStyle w:val="FootnoteText"/>
        <w:rPr>
          <w:rFonts w:asciiTheme="minorHAnsi" w:hAnsiTheme="minorHAnsi" w:cstheme="minorHAnsi"/>
          <w:lang w:val="mi-NZ"/>
        </w:rPr>
      </w:pPr>
      <w:r w:rsidRPr="00E7687D">
        <w:rPr>
          <w:rStyle w:val="FootnoteReference"/>
          <w:rFonts w:asciiTheme="minorHAnsi" w:eastAsiaTheme="majorEastAsia" w:hAnsiTheme="minorHAnsi" w:cstheme="minorHAnsi"/>
        </w:rPr>
        <w:footnoteRef/>
      </w:r>
      <w:r w:rsidRPr="00E7687D">
        <w:rPr>
          <w:rFonts w:asciiTheme="minorHAnsi" w:hAnsiTheme="minorHAnsi" w:cstheme="minorHAnsi"/>
        </w:rPr>
        <w:t xml:space="preserve"> </w:t>
      </w:r>
      <w:r w:rsidR="0004293F" w:rsidRPr="0004293F">
        <w:rPr>
          <w:rFonts w:asciiTheme="minorHAnsi" w:hAnsiTheme="minorHAnsi" w:cstheme="minorHAnsi"/>
          <w:lang w:val="mi-NZ"/>
        </w:rPr>
        <w:t xml:space="preserve">Waitangi Tribunal </w:t>
      </w:r>
      <w:r w:rsidR="00C836CE">
        <w:rPr>
          <w:rFonts w:asciiTheme="minorHAnsi" w:hAnsiTheme="minorHAnsi" w:cstheme="minorHAnsi"/>
          <w:lang w:val="mi-NZ"/>
        </w:rPr>
        <w:t xml:space="preserve">(2021) </w:t>
      </w:r>
      <w:r w:rsidR="0004293F" w:rsidRPr="004A69C9">
        <w:rPr>
          <w:rFonts w:asciiTheme="minorHAnsi" w:hAnsiTheme="minorHAnsi" w:cstheme="minorHAnsi"/>
          <w:i/>
          <w:iCs/>
          <w:lang w:val="mi-NZ"/>
        </w:rPr>
        <w:t>He Pāharakeke, He Rito Whakakīkinga Whāruarua:Oranga Tamariki Urgent Inquiry</w:t>
      </w:r>
      <w:r w:rsidR="0004293F" w:rsidRPr="0004293F">
        <w:rPr>
          <w:rFonts w:asciiTheme="minorHAnsi" w:hAnsiTheme="minorHAnsi" w:cstheme="minorHAnsi"/>
          <w:lang w:val="mi-NZ"/>
        </w:rPr>
        <w:t>, Wai 2915</w:t>
      </w:r>
      <w:r w:rsidR="00C836CE">
        <w:rPr>
          <w:rFonts w:asciiTheme="minorHAnsi" w:hAnsiTheme="minorHAnsi" w:cstheme="minorHAnsi"/>
          <w:lang w:val="mi-NZ"/>
        </w:rPr>
        <w:t>:</w:t>
      </w:r>
      <w:r w:rsidR="0004293F" w:rsidRPr="0004293F">
        <w:rPr>
          <w:rFonts w:asciiTheme="minorHAnsi" w:hAnsiTheme="minorHAnsi" w:cstheme="minorHAnsi"/>
          <w:lang w:val="mi-NZ"/>
        </w:rPr>
        <w:t xml:space="preserve"> </w:t>
      </w:r>
      <w:hyperlink r:id="rId7" w:history="1">
        <w:r w:rsidR="0004293F" w:rsidRPr="0004293F">
          <w:rPr>
            <w:rStyle w:val="Hyperlink"/>
            <w:rFonts w:asciiTheme="minorHAnsi" w:hAnsiTheme="minorHAnsi" w:cstheme="minorHAnsi"/>
            <w:lang w:val="mi-NZ"/>
          </w:rPr>
          <w:t>https://waitangitribunal.govt.nz/news/tribunal-releases-report-on-oranga-tamariki/</w:t>
        </w:r>
      </w:hyperlink>
    </w:p>
  </w:footnote>
  <w:footnote w:id="25">
    <w:p w14:paraId="47158DDB" w14:textId="7894848E" w:rsidR="000860B3" w:rsidRPr="00644CC6" w:rsidRDefault="000860B3" w:rsidP="00644CC6">
      <w:pPr>
        <w:pStyle w:val="Heading4"/>
        <w:rPr>
          <w:rFonts w:ascii="Calibri Light" w:hAnsi="Calibri Light" w:cs="Calibri Light"/>
          <w:color w:val="2F5496"/>
        </w:rPr>
      </w:pPr>
      <w:r w:rsidRPr="00D417AE">
        <w:rPr>
          <w:rStyle w:val="FootnoteReference"/>
          <w:rFonts w:asciiTheme="minorHAnsi" w:hAnsiTheme="minorHAnsi" w:cstheme="minorHAnsi"/>
          <w:i w:val="0"/>
          <w:iCs w:val="0"/>
          <w:color w:val="auto"/>
          <w:lang w:val="en-AU" w:eastAsia="en-GB"/>
        </w:rPr>
        <w:footnoteRef/>
      </w:r>
      <w:r w:rsidRPr="00D417AE">
        <w:rPr>
          <w:rStyle w:val="FootnoteReference"/>
          <w:i w:val="0"/>
          <w:iCs w:val="0"/>
          <w:color w:val="auto"/>
          <w:lang w:val="en-AU" w:eastAsia="en-GB"/>
        </w:rPr>
        <w:t xml:space="preserve"> </w:t>
      </w:r>
      <w:r w:rsidRPr="00644CC6">
        <w:rPr>
          <w:rFonts w:asciiTheme="minorHAnsi" w:hAnsiTheme="minorHAnsi" w:cstheme="minorHAnsi"/>
          <w:i w:val="0"/>
          <w:iCs w:val="0"/>
          <w:color w:val="000000" w:themeColor="text1"/>
        </w:rPr>
        <w:t xml:space="preserve">For example, in the context of care and protection, where unwarranted surveillance and Māori racial profiling has been seen to occur and which can be interpreted as interpersonal racism due to unwarranted and inherited child surveillance (see </w:t>
      </w:r>
      <w:r w:rsidR="00644CC6" w:rsidRPr="00D417AE">
        <w:rPr>
          <w:rFonts w:asciiTheme="minorHAnsi" w:hAnsiTheme="minorHAnsi" w:cstheme="minorHAnsi"/>
          <w:i w:val="0"/>
          <w:iCs w:val="0"/>
          <w:color w:val="000000" w:themeColor="text1"/>
        </w:rPr>
        <w:t xml:space="preserve">A M Barnes, K </w:t>
      </w:r>
      <w:proofErr w:type="spellStart"/>
      <w:r w:rsidR="00644CC6" w:rsidRPr="00D417AE">
        <w:rPr>
          <w:rFonts w:asciiTheme="minorHAnsi" w:hAnsiTheme="minorHAnsi" w:cstheme="minorHAnsi"/>
          <w:i w:val="0"/>
          <w:iCs w:val="0"/>
          <w:color w:val="000000" w:themeColor="text1"/>
        </w:rPr>
        <w:t>Taiapa</w:t>
      </w:r>
      <w:proofErr w:type="spellEnd"/>
      <w:r w:rsidR="00644CC6" w:rsidRPr="00D417AE">
        <w:rPr>
          <w:rFonts w:asciiTheme="minorHAnsi" w:hAnsiTheme="minorHAnsi" w:cstheme="minorHAnsi"/>
          <w:i w:val="0"/>
          <w:iCs w:val="0"/>
          <w:color w:val="000000" w:themeColor="text1"/>
        </w:rPr>
        <w:t xml:space="preserve">, B </w:t>
      </w:r>
      <w:proofErr w:type="spellStart"/>
      <w:r w:rsidR="00644CC6" w:rsidRPr="00D417AE">
        <w:rPr>
          <w:rFonts w:asciiTheme="minorHAnsi" w:hAnsiTheme="minorHAnsi" w:cstheme="minorHAnsi"/>
          <w:i w:val="0"/>
          <w:iCs w:val="0"/>
          <w:color w:val="000000" w:themeColor="text1"/>
        </w:rPr>
        <w:t>Borell</w:t>
      </w:r>
      <w:proofErr w:type="spellEnd"/>
      <w:r w:rsidR="00644CC6" w:rsidRPr="00D417AE">
        <w:rPr>
          <w:rFonts w:asciiTheme="minorHAnsi" w:hAnsiTheme="minorHAnsi" w:cstheme="minorHAnsi"/>
          <w:i w:val="0"/>
          <w:iCs w:val="0"/>
          <w:color w:val="000000" w:themeColor="text1"/>
        </w:rPr>
        <w:t xml:space="preserve">, T </w:t>
      </w:r>
      <w:proofErr w:type="spellStart"/>
      <w:r w:rsidR="00644CC6" w:rsidRPr="00D417AE">
        <w:rPr>
          <w:rFonts w:asciiTheme="minorHAnsi" w:hAnsiTheme="minorHAnsi" w:cstheme="minorHAnsi"/>
          <w:i w:val="0"/>
          <w:iCs w:val="0"/>
          <w:color w:val="000000" w:themeColor="text1"/>
        </w:rPr>
        <w:t>McCreanor</w:t>
      </w:r>
      <w:proofErr w:type="spellEnd"/>
      <w:r w:rsidR="00644CC6" w:rsidRPr="00D417AE">
        <w:rPr>
          <w:rFonts w:asciiTheme="minorHAnsi" w:hAnsiTheme="minorHAnsi" w:cstheme="minorHAnsi"/>
          <w:i w:val="0"/>
          <w:iCs w:val="0"/>
          <w:color w:val="000000" w:themeColor="text1"/>
        </w:rPr>
        <w:t> – (2013)</w:t>
      </w:r>
      <w:r w:rsidR="00644CC6" w:rsidRPr="00644CC6">
        <w:rPr>
          <w:rStyle w:val="apple-converted-space"/>
          <w:rFonts w:ascii="Arial" w:hAnsi="Arial" w:cs="Arial"/>
          <w:b/>
          <w:bCs/>
          <w:i w:val="0"/>
          <w:iCs w:val="0"/>
          <w:color w:val="000000" w:themeColor="text1"/>
          <w:shd w:val="clear" w:color="auto" w:fill="FFFFFF"/>
          <w:lang w:val="mi-NZ"/>
        </w:rPr>
        <w:t> </w:t>
      </w:r>
      <w:r>
        <w:fldChar w:fldCharType="begin"/>
      </w:r>
      <w:r>
        <w:instrText xml:space="preserve"> HYPERLINK "http://journal.mai.ac.nz/sites/default/files/MAI%20Journal%20Vol.2_2%20pages%2063-77%20Moewaka%20Barnes%20et%20al..pdf" \o "http://journal.mai.ac.nz/sites/default/files/MAI%20Journal%20Vol.2_2%20pages%2063-77%20Moewaka%20Barnes%20et%20al..pdf" </w:instrText>
      </w:r>
      <w:r>
        <w:fldChar w:fldCharType="separate"/>
      </w:r>
      <w:r w:rsidR="00644CC6" w:rsidRPr="00D417AE">
        <w:rPr>
          <w:rStyle w:val="Hyperlink"/>
          <w:rFonts w:asciiTheme="minorHAnsi" w:hAnsiTheme="minorHAnsi" w:cs="Arial"/>
          <w:i w:val="0"/>
          <w:iCs w:val="0"/>
          <w:color w:val="25409A" w:themeColor="text2"/>
          <w:lang w:val="mi-NZ"/>
        </w:rPr>
        <w:t>Maori experiences and responses to racism in Aotearoa New Zealand</w:t>
      </w:r>
      <w:r>
        <w:rPr>
          <w:rStyle w:val="Hyperlink"/>
          <w:rFonts w:asciiTheme="minorHAnsi" w:hAnsiTheme="minorHAnsi" w:cs="Arial"/>
          <w:i w:val="0"/>
          <w:iCs w:val="0"/>
          <w:color w:val="25409A" w:themeColor="text2"/>
          <w:lang w:val="mi-NZ"/>
        </w:rPr>
        <w:fldChar w:fldCharType="end"/>
      </w:r>
      <w:r w:rsidR="00644CC6" w:rsidRPr="00644CC6">
        <w:rPr>
          <w:rStyle w:val="apple-converted-space"/>
          <w:rFonts w:ascii="Arial" w:hAnsi="Arial" w:cs="Arial"/>
          <w:i w:val="0"/>
          <w:iCs w:val="0"/>
          <w:color w:val="000000" w:themeColor="text1"/>
          <w:lang w:val="mi-NZ"/>
        </w:rPr>
        <w:t> </w:t>
      </w:r>
      <w:r w:rsidR="00644CC6" w:rsidRPr="00D417AE">
        <w:rPr>
          <w:rFonts w:asciiTheme="minorHAnsi" w:hAnsiTheme="minorHAnsi" w:cstheme="minorHAnsi"/>
          <w:i w:val="0"/>
          <w:iCs w:val="0"/>
          <w:color w:val="000000" w:themeColor="text1"/>
        </w:rPr>
        <w:t>Mai Journal</w:t>
      </w:r>
      <w:r w:rsidRPr="00D417AE">
        <w:rPr>
          <w:rFonts w:asciiTheme="minorHAnsi" w:hAnsiTheme="minorHAnsi" w:cstheme="minorHAnsi"/>
          <w:i w:val="0"/>
          <w:iCs w:val="0"/>
          <w:color w:val="000000" w:themeColor="text1"/>
        </w:rPr>
        <w:t>).</w:t>
      </w:r>
      <w:r w:rsidRPr="00644CC6">
        <w:rPr>
          <w:rFonts w:asciiTheme="minorHAnsi" w:hAnsiTheme="minorHAnsi" w:cstheme="minorHAnsi"/>
          <w:color w:val="000000" w:themeColor="text1"/>
        </w:rPr>
        <w:t xml:space="preserve"> </w:t>
      </w:r>
    </w:p>
  </w:footnote>
  <w:footnote w:id="26">
    <w:p w14:paraId="20EFDA22" w14:textId="77777777" w:rsidR="000860B3" w:rsidRPr="00E7687D" w:rsidRDefault="000860B3" w:rsidP="00E20FF1">
      <w:pPr>
        <w:pStyle w:val="NoSpacing"/>
        <w:rPr>
          <w:rFonts w:cstheme="minorHAnsi"/>
          <w:color w:val="1B2F73" w:themeColor="text2" w:themeShade="BF"/>
          <w:highlight w:val="yellow"/>
        </w:rPr>
      </w:pPr>
      <w:r w:rsidRPr="00E7687D">
        <w:rPr>
          <w:rStyle w:val="FootnoteReference"/>
          <w:rFonts w:cstheme="minorHAnsi"/>
        </w:rPr>
        <w:footnoteRef/>
      </w:r>
      <w:r w:rsidRPr="00E7687D">
        <w:rPr>
          <w:rFonts w:cstheme="minorHAnsi"/>
        </w:rPr>
        <w:t xml:space="preserve"> See </w:t>
      </w:r>
      <w:r>
        <w:rPr>
          <w:rFonts w:cstheme="minorHAnsi"/>
        </w:rPr>
        <w:t xml:space="preserve">P </w:t>
      </w:r>
      <w:r w:rsidRPr="00E7687D">
        <w:rPr>
          <w:rFonts w:cstheme="minorHAnsi"/>
        </w:rPr>
        <w:t xml:space="preserve">King, </w:t>
      </w:r>
      <w:r>
        <w:rPr>
          <w:rFonts w:cstheme="minorHAnsi"/>
        </w:rPr>
        <w:t xml:space="preserve">D </w:t>
      </w:r>
      <w:r w:rsidRPr="00E7687D">
        <w:rPr>
          <w:rFonts w:cstheme="minorHAnsi"/>
        </w:rPr>
        <w:t xml:space="preserve">Cormack &amp; </w:t>
      </w:r>
      <w:r>
        <w:rPr>
          <w:rFonts w:cstheme="minorHAnsi"/>
        </w:rPr>
        <w:t xml:space="preserve">M </w:t>
      </w:r>
      <w:proofErr w:type="spellStart"/>
      <w:r w:rsidRPr="00E7687D">
        <w:rPr>
          <w:rFonts w:cstheme="minorHAnsi"/>
        </w:rPr>
        <w:t>Kōpua</w:t>
      </w:r>
      <w:proofErr w:type="spellEnd"/>
      <w:r w:rsidRPr="00E7687D">
        <w:rPr>
          <w:rFonts w:cstheme="minorHAnsi"/>
        </w:rPr>
        <w:t xml:space="preserve"> (2017)</w:t>
      </w:r>
      <w:r w:rsidRPr="00E7687D">
        <w:rPr>
          <w:rFonts w:cstheme="minorHAnsi"/>
          <w:color w:val="1B2F73" w:themeColor="text2" w:themeShade="BF"/>
        </w:rPr>
        <w:t xml:space="preserve"> </w:t>
      </w:r>
      <w:hyperlink r:id="rId8" w:history="1">
        <w:proofErr w:type="spellStart"/>
        <w:r w:rsidRPr="00E7687D">
          <w:rPr>
            <w:rStyle w:val="Hyperlink"/>
            <w:rFonts w:cstheme="minorHAnsi"/>
            <w:color w:val="1B2F73" w:themeColor="text2" w:themeShade="BF"/>
          </w:rPr>
          <w:t>Oranga</w:t>
        </w:r>
        <w:proofErr w:type="spellEnd"/>
        <w:r w:rsidRPr="00E7687D">
          <w:rPr>
            <w:rStyle w:val="Hyperlink"/>
            <w:rFonts w:cstheme="minorHAnsi"/>
            <w:color w:val="1B2F73" w:themeColor="text2" w:themeShade="BF"/>
          </w:rPr>
          <w:t xml:space="preserve"> Mokopuna: A </w:t>
        </w:r>
        <w:proofErr w:type="spellStart"/>
        <w:r w:rsidRPr="00E7687D">
          <w:rPr>
            <w:rStyle w:val="Hyperlink"/>
            <w:rFonts w:cstheme="minorHAnsi"/>
            <w:color w:val="1B2F73" w:themeColor="text2" w:themeShade="BF"/>
          </w:rPr>
          <w:t>tāngata</w:t>
        </w:r>
        <w:proofErr w:type="spellEnd"/>
        <w:r w:rsidRPr="00E7687D">
          <w:rPr>
            <w:rStyle w:val="Hyperlink"/>
            <w:rFonts w:cstheme="minorHAnsi"/>
            <w:color w:val="1B2F73" w:themeColor="text2" w:themeShade="BF"/>
          </w:rPr>
          <w:t xml:space="preserve"> whenua rights-based approach to health and wellbeing</w:t>
        </w:r>
      </w:hyperlink>
      <w:r w:rsidRPr="00E7687D">
        <w:rPr>
          <w:rFonts w:cstheme="minorHAnsi"/>
          <w:color w:val="1B2F73" w:themeColor="text2" w:themeShade="BF"/>
        </w:rPr>
        <w:t>.</w:t>
      </w:r>
    </w:p>
  </w:footnote>
  <w:footnote w:id="27">
    <w:p w14:paraId="2C902072" w14:textId="77777777" w:rsidR="000860B3" w:rsidRPr="00E7687D" w:rsidRDefault="000860B3" w:rsidP="00E20FF1">
      <w:pPr>
        <w:pStyle w:val="NoSpacing"/>
        <w:rPr>
          <w:rFonts w:cstheme="minorHAnsi"/>
          <w:lang w:val="mi-NZ"/>
        </w:rPr>
      </w:pPr>
      <w:r w:rsidRPr="00E7687D">
        <w:rPr>
          <w:rStyle w:val="FootnoteReference"/>
          <w:rFonts w:cstheme="minorHAnsi"/>
        </w:rPr>
        <w:footnoteRef/>
      </w:r>
      <w:r w:rsidRPr="00E7687D">
        <w:rPr>
          <w:rFonts w:cstheme="minorHAnsi"/>
        </w:rPr>
        <w:t xml:space="preserve"> </w:t>
      </w:r>
      <w:r w:rsidRPr="00D417AE">
        <w:rPr>
          <w:rFonts w:cstheme="minorHAnsi"/>
        </w:rPr>
        <w:t>UN Committee on the Rights of the Child (2009) </w:t>
      </w:r>
      <w:hyperlink r:id="rId9" w:history="1">
        <w:r w:rsidRPr="00E7687D">
          <w:rPr>
            <w:rStyle w:val="Hyperlink"/>
            <w:rFonts w:cstheme="minorHAnsi"/>
            <w:color w:val="1B2F73" w:themeColor="text2" w:themeShade="BF"/>
          </w:rPr>
          <w:t>General Comment No. 11: Indigenous children and their rights under the Convention</w:t>
        </w:r>
      </w:hyperlink>
      <w:r w:rsidRPr="00E7687D">
        <w:rPr>
          <w:rFonts w:cstheme="minorHAnsi"/>
          <w:iCs/>
          <w:color w:val="1B2F73" w:themeColor="text2" w:themeShade="BF"/>
        </w:rPr>
        <w:t>.</w:t>
      </w:r>
      <w:r w:rsidRPr="00E7687D">
        <w:rPr>
          <w:rFonts w:cstheme="minorHAnsi"/>
          <w:iCs/>
          <w:color w:val="3F3F3F"/>
        </w:rPr>
        <w:t xml:space="preserve"> </w:t>
      </w:r>
    </w:p>
  </w:footnote>
  <w:footnote w:id="28">
    <w:p w14:paraId="303983F1" w14:textId="77777777" w:rsidR="000860B3" w:rsidRPr="00E7687D" w:rsidRDefault="000860B3" w:rsidP="00E20FF1">
      <w:pPr>
        <w:pStyle w:val="NoSpacing"/>
        <w:rPr>
          <w:rFonts w:cstheme="minorHAnsi"/>
          <w:lang w:val="mi-NZ"/>
        </w:rPr>
      </w:pPr>
      <w:r w:rsidRPr="00E7687D">
        <w:rPr>
          <w:rStyle w:val="FootnoteReference"/>
          <w:rFonts w:cstheme="minorHAnsi"/>
        </w:rPr>
        <w:footnoteRef/>
      </w:r>
      <w:r w:rsidRPr="00E7687D">
        <w:rPr>
          <w:rFonts w:cstheme="minorHAnsi"/>
        </w:rPr>
        <w:t xml:space="preserve"> </w:t>
      </w:r>
      <w:r w:rsidRPr="00E7687D">
        <w:rPr>
          <w:rFonts w:cstheme="minorHAnsi"/>
          <w:lang w:val="en-NZ"/>
        </w:rPr>
        <w:t xml:space="preserve">As recommended in the </w:t>
      </w:r>
      <w:proofErr w:type="spellStart"/>
      <w:r w:rsidRPr="00E7687D">
        <w:rPr>
          <w:rFonts w:cstheme="minorHAnsi"/>
          <w:lang w:val="en-NZ"/>
        </w:rPr>
        <w:t>Maori</w:t>
      </w:r>
      <w:proofErr w:type="spellEnd"/>
      <w:r w:rsidRPr="00E7687D">
        <w:rPr>
          <w:rFonts w:cstheme="minorHAnsi"/>
          <w:lang w:val="en-NZ"/>
        </w:rPr>
        <w:t xml:space="preserve">-led Inquiry into </w:t>
      </w:r>
      <w:proofErr w:type="spellStart"/>
      <w:r w:rsidRPr="00E7687D">
        <w:rPr>
          <w:rFonts w:cstheme="minorHAnsi"/>
          <w:lang w:val="en-NZ"/>
        </w:rPr>
        <w:t>Oranga</w:t>
      </w:r>
      <w:proofErr w:type="spellEnd"/>
      <w:r w:rsidRPr="00E7687D">
        <w:rPr>
          <w:rFonts w:cstheme="minorHAnsi"/>
          <w:lang w:val="en-NZ"/>
        </w:rPr>
        <w:t xml:space="preserve"> Tamariki in relation to the care and protection of </w:t>
      </w:r>
      <w:proofErr w:type="spellStart"/>
      <w:r w:rsidRPr="00E7687D">
        <w:rPr>
          <w:rFonts w:cstheme="minorHAnsi"/>
          <w:lang w:val="en-NZ"/>
        </w:rPr>
        <w:t>tamariki</w:t>
      </w:r>
      <w:proofErr w:type="spellEnd"/>
      <w:r w:rsidRPr="00E7687D">
        <w:rPr>
          <w:rFonts w:cstheme="minorHAnsi"/>
          <w:lang w:val="en-NZ"/>
        </w:rPr>
        <w:t xml:space="preserve"> Māori in state care</w:t>
      </w:r>
      <w:r>
        <w:rPr>
          <w:rFonts w:cstheme="minorHAnsi"/>
          <w:lang w:val="en-NZ"/>
        </w:rPr>
        <w:t>: s</w:t>
      </w:r>
      <w:r w:rsidRPr="00E7687D">
        <w:rPr>
          <w:rFonts w:cstheme="minorHAnsi"/>
          <w:lang w:val="en-NZ"/>
        </w:rPr>
        <w:t>ee</w:t>
      </w:r>
      <w:r w:rsidRPr="00E7687D">
        <w:rPr>
          <w:rFonts w:cstheme="minorHAnsi"/>
          <w:color w:val="1B2F73" w:themeColor="text2" w:themeShade="BF"/>
          <w:lang w:val="en-NZ"/>
        </w:rPr>
        <w:t> </w:t>
      </w:r>
      <w:hyperlink r:id="rId10" w:tgtFrame="_blank" w:history="1">
        <w:r w:rsidRPr="00E7687D">
          <w:rPr>
            <w:rFonts w:cstheme="minorHAnsi"/>
            <w:color w:val="1B2F73" w:themeColor="text2" w:themeShade="BF"/>
            <w:u w:val="single"/>
            <w:bdr w:val="none" w:sz="0" w:space="0" w:color="auto" w:frame="1"/>
            <w:lang w:val="en-NZ"/>
          </w:rPr>
          <w:t>https://whanauora.nz/assets/62879b6bdf/OT-REVIEW-REPORT.pdf</w:t>
        </w:r>
      </w:hyperlink>
    </w:p>
  </w:footnote>
  <w:footnote w:id="29">
    <w:p w14:paraId="42A1047E" w14:textId="3272C406" w:rsidR="000F5589" w:rsidRPr="001E290E" w:rsidRDefault="003019F8" w:rsidP="000F5589">
      <w:pPr>
        <w:pStyle w:val="FootnoteText"/>
        <w:rPr>
          <w:rFonts w:asciiTheme="minorHAnsi" w:hAnsiTheme="minorHAnsi" w:cstheme="minorHAnsi"/>
          <w:lang w:val="en-US"/>
        </w:rPr>
      </w:pPr>
      <w:r w:rsidRPr="00E7687D">
        <w:rPr>
          <w:rStyle w:val="FootnoteReference"/>
          <w:rFonts w:cstheme="minorHAnsi"/>
        </w:rPr>
        <w:footnoteRef/>
      </w:r>
      <w:r w:rsidRPr="00E7687D">
        <w:rPr>
          <w:rFonts w:cstheme="minorHAnsi"/>
        </w:rPr>
        <w:t xml:space="preserve"> </w:t>
      </w:r>
      <w:r w:rsidR="00EF7281" w:rsidRPr="000F5589">
        <w:rPr>
          <w:rFonts w:asciiTheme="minorHAnsi" w:hAnsiTheme="minorHAnsi" w:cstheme="minorHAnsi"/>
          <w:lang w:val="mi-NZ"/>
        </w:rPr>
        <w:t>S</w:t>
      </w:r>
      <w:r w:rsidR="0004293F" w:rsidRPr="000F5589">
        <w:rPr>
          <w:rFonts w:asciiTheme="minorHAnsi" w:hAnsiTheme="minorHAnsi" w:cstheme="minorHAnsi"/>
          <w:lang w:val="mi-NZ"/>
        </w:rPr>
        <w:t>ee the Child Poverty Thematic Report, submitted by Child Poverty Action Group</w:t>
      </w:r>
      <w:r w:rsidR="000F5589">
        <w:rPr>
          <w:rFonts w:asciiTheme="minorHAnsi" w:hAnsiTheme="minorHAnsi" w:cstheme="minorHAnsi"/>
          <w:lang w:val="mi-NZ"/>
        </w:rPr>
        <w:t xml:space="preserve">; </w:t>
      </w:r>
      <w:r w:rsidR="000F5589" w:rsidRPr="000F5589">
        <w:rPr>
          <w:rFonts w:asciiTheme="minorHAnsi" w:hAnsiTheme="minorHAnsi" w:cstheme="minorHAnsi"/>
          <w:lang w:val="en-US"/>
        </w:rPr>
        <w:t xml:space="preserve">Welfare Expert Advisory Group (2019) </w:t>
      </w:r>
      <w:hyperlink r:id="rId11" w:history="1">
        <w:proofErr w:type="spellStart"/>
        <w:r w:rsidR="000F5589" w:rsidRPr="000F5589">
          <w:rPr>
            <w:rStyle w:val="Hyperlink"/>
            <w:rFonts w:asciiTheme="minorHAnsi" w:eastAsiaTheme="majorEastAsia" w:hAnsiTheme="minorHAnsi" w:cstheme="minorHAnsi"/>
            <w:i/>
            <w:lang w:val="en-US"/>
          </w:rPr>
          <w:t>Whakamana</w:t>
        </w:r>
        <w:proofErr w:type="spellEnd"/>
        <w:r w:rsidR="000F5589" w:rsidRPr="000F5589">
          <w:rPr>
            <w:rStyle w:val="Hyperlink"/>
            <w:rFonts w:asciiTheme="minorHAnsi" w:eastAsiaTheme="majorEastAsia" w:hAnsiTheme="minorHAnsi" w:cstheme="minorHAnsi"/>
            <w:i/>
            <w:lang w:val="en-US"/>
          </w:rPr>
          <w:t xml:space="preserve"> </w:t>
        </w:r>
        <w:proofErr w:type="spellStart"/>
        <w:r w:rsidR="000F5589" w:rsidRPr="000F5589">
          <w:rPr>
            <w:rStyle w:val="Hyperlink"/>
            <w:rFonts w:asciiTheme="minorHAnsi" w:eastAsiaTheme="majorEastAsia" w:hAnsiTheme="minorHAnsi" w:cstheme="minorHAnsi"/>
            <w:i/>
            <w:lang w:val="en-US"/>
          </w:rPr>
          <w:t>Tāngata</w:t>
        </w:r>
        <w:proofErr w:type="spellEnd"/>
        <w:r w:rsidR="000F5589" w:rsidRPr="000F5589">
          <w:rPr>
            <w:rStyle w:val="Hyperlink"/>
            <w:rFonts w:asciiTheme="minorHAnsi" w:eastAsiaTheme="majorEastAsia" w:hAnsiTheme="minorHAnsi" w:cstheme="minorHAnsi"/>
            <w:i/>
            <w:lang w:val="en-US"/>
          </w:rPr>
          <w:t xml:space="preserve"> – Restoring Dignity to Social Security in New Zealand</w:t>
        </w:r>
      </w:hyperlink>
      <w:r w:rsidR="000F5589" w:rsidRPr="001E290E">
        <w:rPr>
          <w:rFonts w:asciiTheme="minorHAnsi" w:hAnsiTheme="minorHAnsi" w:cstheme="minorHAnsi"/>
          <w:lang w:val="en-US"/>
        </w:rPr>
        <w:t>.</w:t>
      </w:r>
    </w:p>
    <w:p w14:paraId="6D21D7E8" w14:textId="36362217" w:rsidR="0004293F" w:rsidRDefault="0004293F" w:rsidP="00E20FF1">
      <w:pPr>
        <w:spacing w:after="0" w:line="240" w:lineRule="auto"/>
        <w:rPr>
          <w:rFonts w:cstheme="minorHAnsi"/>
          <w:lang w:val="mi-NZ"/>
        </w:rPr>
      </w:pPr>
    </w:p>
    <w:p w14:paraId="5ACF977A" w14:textId="4664D6F1" w:rsidR="003019F8" w:rsidRPr="00E7687D" w:rsidRDefault="003019F8" w:rsidP="00E20FF1">
      <w:pPr>
        <w:pStyle w:val="FootnoteText"/>
        <w:rPr>
          <w:rFonts w:asciiTheme="minorHAnsi" w:hAnsiTheme="minorHAnsi" w:cstheme="minorHAnsi"/>
          <w:lang w:val="mi-NZ"/>
        </w:rPr>
      </w:pPr>
    </w:p>
  </w:footnote>
  <w:footnote w:id="30">
    <w:p w14:paraId="43C055D3" w14:textId="77777777" w:rsidR="004D3B69" w:rsidRPr="00E7687D" w:rsidRDefault="004D3B69" w:rsidP="00E20FF1">
      <w:pPr>
        <w:pStyle w:val="FootnoteText"/>
        <w:rPr>
          <w:rFonts w:asciiTheme="minorHAnsi" w:hAnsiTheme="minorHAnsi" w:cstheme="minorHAnsi"/>
          <w:lang w:val="en-US"/>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hyperlink r:id="rId12" w:history="1">
        <w:r w:rsidRPr="00E7687D">
          <w:rPr>
            <w:rStyle w:val="Hyperlink"/>
            <w:rFonts w:asciiTheme="minorHAnsi" w:hAnsiTheme="minorHAnsi" w:cstheme="minorHAnsi"/>
          </w:rPr>
          <w:t>https://teara.govt.nz/en/historic-earthquakes/page-15</w:t>
        </w:r>
      </w:hyperlink>
      <w:r w:rsidRPr="00E7687D">
        <w:rPr>
          <w:rFonts w:asciiTheme="minorHAnsi" w:hAnsiTheme="minorHAnsi" w:cstheme="minorHAnsi"/>
        </w:rPr>
        <w:t xml:space="preserve"> </w:t>
      </w:r>
    </w:p>
  </w:footnote>
  <w:footnote w:id="31">
    <w:p w14:paraId="44A95F1C" w14:textId="77777777" w:rsidR="004D3B69" w:rsidRPr="00E7687D" w:rsidRDefault="004D3B69" w:rsidP="00E20FF1">
      <w:pPr>
        <w:pStyle w:val="FootnoteText"/>
        <w:rPr>
          <w:rFonts w:asciiTheme="minorHAnsi" w:hAnsiTheme="minorHAnsi" w:cstheme="minorHAnsi"/>
          <w:lang w:val="en-US"/>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hyperlink r:id="rId13" w:history="1">
        <w:r w:rsidRPr="00E7687D">
          <w:rPr>
            <w:rStyle w:val="Hyperlink"/>
            <w:rFonts w:asciiTheme="minorHAnsi" w:hAnsiTheme="minorHAnsi" w:cstheme="minorHAnsi"/>
          </w:rPr>
          <w:t>https://nzhistory.govt.nz/page/whakaari-white-island-eruption-kills-22</w:t>
        </w:r>
      </w:hyperlink>
      <w:r w:rsidRPr="00E7687D">
        <w:rPr>
          <w:rFonts w:asciiTheme="minorHAnsi" w:hAnsiTheme="minorHAnsi" w:cstheme="minorHAnsi"/>
        </w:rPr>
        <w:t xml:space="preserve"> </w:t>
      </w:r>
    </w:p>
  </w:footnote>
  <w:footnote w:id="32">
    <w:p w14:paraId="30B29EBF" w14:textId="77777777" w:rsidR="004D3B69" w:rsidRPr="00E7687D" w:rsidRDefault="004D3B69" w:rsidP="00E20FF1">
      <w:pPr>
        <w:pStyle w:val="FootnoteText"/>
        <w:rPr>
          <w:rFonts w:asciiTheme="minorHAnsi" w:hAnsiTheme="minorHAnsi" w:cstheme="minorHAnsi"/>
          <w:lang w:val="en-US"/>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hyperlink r:id="rId14" w:history="1">
        <w:r w:rsidRPr="00E7687D">
          <w:rPr>
            <w:rStyle w:val="Hyperlink"/>
            <w:rFonts w:asciiTheme="minorHAnsi" w:hAnsiTheme="minorHAnsi" w:cstheme="minorHAnsi"/>
          </w:rPr>
          <w:t>https://nzhistory.govt.nz/page/51-killed-mosque-shootings</w:t>
        </w:r>
      </w:hyperlink>
      <w:r w:rsidRPr="00E7687D">
        <w:rPr>
          <w:rFonts w:asciiTheme="minorHAnsi" w:hAnsiTheme="minorHAnsi" w:cstheme="minorHAnsi"/>
        </w:rPr>
        <w:t xml:space="preserve"> </w:t>
      </w:r>
    </w:p>
  </w:footnote>
  <w:footnote w:id="33">
    <w:p w14:paraId="4F80DC9A" w14:textId="77777777" w:rsidR="004D3B69" w:rsidRPr="00E7687D" w:rsidRDefault="004D3B69" w:rsidP="00E20FF1">
      <w:pPr>
        <w:pStyle w:val="FootnoteText"/>
        <w:rPr>
          <w:rFonts w:asciiTheme="minorHAnsi" w:hAnsiTheme="minorHAnsi" w:cstheme="minorHAnsi"/>
          <w:lang w:val="en-US"/>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hyperlink r:id="rId15" w:history="1">
        <w:r w:rsidRPr="00E7687D">
          <w:rPr>
            <w:rStyle w:val="Hyperlink"/>
            <w:rFonts w:asciiTheme="minorHAnsi" w:hAnsiTheme="minorHAnsi" w:cstheme="minorHAnsi"/>
          </w:rPr>
          <w:t>https://www.rnz.co.nz/news/national/418971/thousands-of-nzers-march-for-black-lives-matter</w:t>
        </w:r>
      </w:hyperlink>
      <w:r w:rsidRPr="00E7687D">
        <w:rPr>
          <w:rFonts w:asciiTheme="minorHAnsi" w:hAnsiTheme="minorHAnsi" w:cstheme="minorHAnsi"/>
        </w:rPr>
        <w:t xml:space="preserve"> </w:t>
      </w:r>
    </w:p>
  </w:footnote>
  <w:footnote w:id="34">
    <w:p w14:paraId="1D9BEA45" w14:textId="77777777" w:rsidR="004D3B69" w:rsidRPr="00E7687D" w:rsidRDefault="004D3B69" w:rsidP="00E20FF1">
      <w:pPr>
        <w:pStyle w:val="FootnoteText"/>
        <w:rPr>
          <w:rFonts w:asciiTheme="minorHAnsi" w:hAnsiTheme="minorHAnsi" w:cstheme="minorHAnsi"/>
          <w:lang w:val="en-US"/>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hyperlink r:id="rId16" w:history="1">
        <w:r w:rsidRPr="00E7687D">
          <w:rPr>
            <w:rStyle w:val="Hyperlink"/>
            <w:rFonts w:asciiTheme="minorHAnsi" w:hAnsiTheme="minorHAnsi" w:cstheme="minorHAnsi"/>
          </w:rPr>
          <w:t>https://www.rnz.co.nz/news/national/433499/racism-is-well-and-alive-in-new-zealand-race-relations-commissioner</w:t>
        </w:r>
      </w:hyperlink>
      <w:r w:rsidRPr="00E7687D">
        <w:rPr>
          <w:rFonts w:asciiTheme="minorHAnsi" w:hAnsiTheme="minorHAnsi" w:cstheme="minorHAnsi"/>
        </w:rPr>
        <w:t xml:space="preserve"> </w:t>
      </w:r>
    </w:p>
  </w:footnote>
  <w:footnote w:id="35">
    <w:p w14:paraId="0177293E" w14:textId="77777777" w:rsidR="004D3B69" w:rsidRPr="00E7687D" w:rsidRDefault="004D3B69" w:rsidP="00E20FF1">
      <w:pPr>
        <w:pStyle w:val="FootnoteText"/>
        <w:rPr>
          <w:rFonts w:asciiTheme="minorHAnsi" w:hAnsiTheme="minorHAnsi" w:cstheme="minorHAnsi"/>
          <w:lang w:val="en-US"/>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hyperlink r:id="rId17" w:history="1">
        <w:r w:rsidRPr="00E7687D">
          <w:rPr>
            <w:rStyle w:val="Hyperlink"/>
            <w:rFonts w:asciiTheme="minorHAnsi" w:hAnsiTheme="minorHAnsi" w:cstheme="minorHAnsi"/>
          </w:rPr>
          <w:t>https://www.abuseincare.org.nz</w:t>
        </w:r>
      </w:hyperlink>
      <w:r w:rsidRPr="00E7687D">
        <w:rPr>
          <w:rFonts w:asciiTheme="minorHAnsi" w:hAnsiTheme="minorHAnsi" w:cstheme="minorHAnsi"/>
        </w:rPr>
        <w:t xml:space="preserve"> </w:t>
      </w:r>
    </w:p>
  </w:footnote>
  <w:footnote w:id="36">
    <w:p w14:paraId="5375F0A3" w14:textId="6EE2AF04" w:rsidR="004D3B69" w:rsidRPr="00E7687D" w:rsidRDefault="004D3B69" w:rsidP="00E20FF1">
      <w:pPr>
        <w:pStyle w:val="FootnoteText"/>
        <w:rPr>
          <w:rFonts w:asciiTheme="minorHAnsi" w:hAnsiTheme="minorHAnsi" w:cstheme="minorHAnsi"/>
          <w:lang w:val="en-US"/>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hyperlink r:id="rId18" w:history="1">
        <w:r w:rsidRPr="00E7687D">
          <w:rPr>
            <w:rStyle w:val="Hyperlink"/>
            <w:rFonts w:asciiTheme="minorHAnsi" w:hAnsiTheme="minorHAnsi" w:cstheme="minorHAnsi"/>
          </w:rPr>
          <w:t>https://www.orangatamariki.govt.nz/about-us/information-releases/cabinet-papers/oranga-tamariki-ministerial-advisory-board/</w:t>
        </w:r>
      </w:hyperlink>
      <w:r w:rsidRPr="00E7687D">
        <w:rPr>
          <w:rFonts w:asciiTheme="minorHAnsi" w:hAnsiTheme="minorHAnsi" w:cstheme="minorHAnsi"/>
        </w:rPr>
        <w:t>; see also para</w:t>
      </w:r>
      <w:r w:rsidR="00413845">
        <w:rPr>
          <w:rFonts w:asciiTheme="minorHAnsi" w:hAnsiTheme="minorHAnsi" w:cstheme="minorHAnsi"/>
        </w:rPr>
        <w:t>s</w:t>
      </w:r>
      <w:r>
        <w:rPr>
          <w:rFonts w:asciiTheme="minorHAnsi" w:hAnsiTheme="minorHAnsi" w:cstheme="minorHAnsi"/>
        </w:rPr>
        <w:t xml:space="preserve"> </w:t>
      </w:r>
      <w:r w:rsidR="00413845">
        <w:rPr>
          <w:rFonts w:asciiTheme="minorHAnsi" w:hAnsiTheme="minorHAnsi" w:cstheme="minorHAnsi"/>
        </w:rPr>
        <w:t xml:space="preserve">41-43 </w:t>
      </w:r>
      <w:r w:rsidRPr="00E7687D">
        <w:rPr>
          <w:rFonts w:asciiTheme="minorHAnsi" w:hAnsiTheme="minorHAnsi" w:cstheme="minorHAnsi"/>
        </w:rPr>
        <w:t xml:space="preserve">of this </w:t>
      </w:r>
      <w:r>
        <w:rPr>
          <w:rFonts w:asciiTheme="minorHAnsi" w:hAnsiTheme="minorHAnsi" w:cstheme="minorHAnsi"/>
        </w:rPr>
        <w:t>R</w:t>
      </w:r>
      <w:r w:rsidRPr="00E7687D">
        <w:rPr>
          <w:rFonts w:asciiTheme="minorHAnsi" w:hAnsiTheme="minorHAnsi" w:cstheme="minorHAnsi"/>
        </w:rPr>
        <w:t xml:space="preserve">eport </w:t>
      </w:r>
      <w:r w:rsidRPr="004027EE">
        <w:rPr>
          <w:rFonts w:asciiTheme="minorHAnsi" w:hAnsiTheme="minorHAnsi" w:cstheme="minorHAnsi"/>
        </w:rPr>
        <w:t>and Appendix Two.</w:t>
      </w:r>
    </w:p>
  </w:footnote>
  <w:footnote w:id="37">
    <w:p w14:paraId="6E9D7122" w14:textId="77777777" w:rsidR="004D3B69" w:rsidRPr="00D20757" w:rsidRDefault="004D3B69" w:rsidP="00E20FF1">
      <w:pPr>
        <w:pStyle w:val="FootnoteText"/>
        <w:rPr>
          <w:lang w:val="mi-NZ"/>
        </w:rPr>
      </w:pPr>
      <w:r>
        <w:rPr>
          <w:rStyle w:val="FootnoteReference"/>
        </w:rPr>
        <w:footnoteRef/>
      </w:r>
      <w:r>
        <w:t xml:space="preserve"> </w:t>
      </w:r>
      <w:hyperlink r:id="rId19" w:history="1">
        <w:r w:rsidRPr="00F06804">
          <w:rPr>
            <w:rStyle w:val="Hyperlink"/>
            <w:rFonts w:asciiTheme="minorHAnsi" w:eastAsiaTheme="minorHAnsi" w:hAnsiTheme="minorHAnsi" w:cstheme="minorHAnsi"/>
            <w:lang w:val="en-GB" w:eastAsia="en-US"/>
          </w:rPr>
          <w:t>https://www.tengakaukahukura.nz/banning-conversion-practices</w:t>
        </w:r>
      </w:hyperlink>
      <w:r>
        <w:rPr>
          <w:rFonts w:asciiTheme="minorHAnsi" w:eastAsiaTheme="minorHAnsi" w:hAnsiTheme="minorHAnsi" w:cstheme="minorHAnsi"/>
          <w:color w:val="000000"/>
          <w:lang w:val="en-GB" w:eastAsia="en-US"/>
        </w:rPr>
        <w:t xml:space="preserve"> ; </w:t>
      </w:r>
      <w:hyperlink r:id="rId20" w:history="1">
        <w:r w:rsidRPr="00F06804">
          <w:rPr>
            <w:rStyle w:val="Hyperlink"/>
            <w:rFonts w:asciiTheme="minorHAnsi" w:eastAsiaTheme="minorHAnsi" w:hAnsiTheme="minorHAnsi" w:cstheme="minorHAnsi"/>
            <w:lang w:val="en-GB" w:eastAsia="en-US"/>
          </w:rPr>
          <w:t>https://www.tengakaukahukura.nz/birth-certificate-law-reform</w:t>
        </w:r>
      </w:hyperlink>
      <w:r>
        <w:rPr>
          <w:rFonts w:asciiTheme="minorHAnsi" w:eastAsiaTheme="minorHAnsi" w:hAnsiTheme="minorHAnsi" w:cstheme="minorHAnsi"/>
          <w:color w:val="000000"/>
          <w:lang w:val="en-GB" w:eastAsia="en-US"/>
        </w:rPr>
        <w:t xml:space="preserve"> </w:t>
      </w:r>
    </w:p>
  </w:footnote>
  <w:footnote w:id="38">
    <w:p w14:paraId="6C3D4293" w14:textId="77777777" w:rsidR="000860B3" w:rsidRPr="00E7687D" w:rsidRDefault="000860B3" w:rsidP="00E20FF1">
      <w:pPr>
        <w:pStyle w:val="FootnoteText"/>
        <w:rPr>
          <w:rFonts w:asciiTheme="minorHAnsi" w:hAnsiTheme="minorHAnsi" w:cstheme="minorHAnsi"/>
          <w:lang w:val="en-US"/>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hyperlink r:id="rId21" w:history="1">
        <w:r w:rsidRPr="00E7687D">
          <w:rPr>
            <w:rStyle w:val="Hyperlink"/>
            <w:rFonts w:asciiTheme="minorHAnsi" w:hAnsiTheme="minorHAnsi" w:cstheme="minorHAnsi"/>
          </w:rPr>
          <w:t>https://www.stats.govt.nz/news/annual-inflation-reaches-30-year-high-of-6-9-percent</w:t>
        </w:r>
      </w:hyperlink>
      <w:r w:rsidRPr="00E7687D">
        <w:rPr>
          <w:rFonts w:asciiTheme="minorHAnsi" w:hAnsiTheme="minorHAnsi" w:cstheme="minorHAnsi"/>
        </w:rPr>
        <w:t xml:space="preserve"> </w:t>
      </w:r>
    </w:p>
  </w:footnote>
  <w:footnote w:id="39">
    <w:p w14:paraId="052FE98E" w14:textId="77777777" w:rsidR="000860B3" w:rsidRPr="00E7687D" w:rsidRDefault="000860B3"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hyperlink r:id="rId22" w:history="1">
        <w:r w:rsidRPr="00E7687D">
          <w:rPr>
            <w:rStyle w:val="Hyperlink"/>
            <w:rFonts w:asciiTheme="minorHAnsi" w:hAnsiTheme="minorHAnsi" w:cstheme="minorHAnsi"/>
          </w:rPr>
          <w:t>https://www.stats.govt.nz/information-releases/consumers-price-index-june-2022-quarter/</w:t>
        </w:r>
      </w:hyperlink>
      <w:r w:rsidRPr="00E7687D">
        <w:rPr>
          <w:rFonts w:asciiTheme="minorHAnsi" w:hAnsiTheme="minorHAnsi" w:cstheme="minorHAnsi"/>
        </w:rPr>
        <w:t xml:space="preserve"> </w:t>
      </w:r>
    </w:p>
  </w:footnote>
  <w:footnote w:id="40">
    <w:p w14:paraId="1071FBF1" w14:textId="77777777" w:rsidR="007B682B" w:rsidRPr="00E7687D" w:rsidRDefault="007B682B"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Pr="00E7687D">
        <w:rPr>
          <w:rFonts w:asciiTheme="minorHAnsi" w:hAnsiTheme="minorHAnsi" w:cstheme="minorHAnsi"/>
          <w:lang w:val="mi-NZ"/>
        </w:rPr>
        <w:t>Oranga Tamariki Act 1989, s 5.</w:t>
      </w:r>
    </w:p>
  </w:footnote>
  <w:footnote w:id="41">
    <w:p w14:paraId="7FDAFAEE" w14:textId="77777777" w:rsidR="007B682B" w:rsidRPr="00E7687D" w:rsidRDefault="007B682B"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hyperlink r:id="rId23" w:history="1">
        <w:r w:rsidRPr="00247584">
          <w:rPr>
            <w:rStyle w:val="Hyperlink"/>
            <w:rFonts w:asciiTheme="minorHAnsi" w:hAnsiTheme="minorHAnsi" w:cstheme="minorHAnsi"/>
            <w:lang w:val="mi-NZ"/>
          </w:rPr>
          <w:t>https://www.ohchr.org/Documents/HRBodies/CRC/30Anniversary/Pledges/NewZealand.pdf</w:t>
        </w:r>
      </w:hyperlink>
      <w:r w:rsidRPr="00E7687D">
        <w:rPr>
          <w:rFonts w:asciiTheme="minorHAnsi" w:hAnsiTheme="minorHAnsi" w:cstheme="minorHAnsi"/>
          <w:lang w:val="mi-NZ"/>
        </w:rPr>
        <w:t xml:space="preserve"> </w:t>
      </w:r>
    </w:p>
  </w:footnote>
  <w:footnote w:id="42">
    <w:p w14:paraId="0ED96703" w14:textId="709112FC" w:rsidR="007B682B" w:rsidRPr="00E7687D" w:rsidRDefault="007B682B"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Pr="00E7687D">
        <w:rPr>
          <w:rFonts w:asciiTheme="minorHAnsi" w:hAnsiTheme="minorHAnsi" w:cstheme="minorHAnsi"/>
          <w:lang w:val="mi-NZ"/>
        </w:rPr>
        <w:t xml:space="preserve">This includes investing in services that are tikanga and kaupapa Māori led. </w:t>
      </w:r>
      <w:r w:rsidRPr="00E7687D">
        <w:rPr>
          <w:rFonts w:asciiTheme="minorHAnsi" w:hAnsiTheme="minorHAnsi" w:cstheme="minorHAnsi"/>
          <w:lang w:val="mi-NZ"/>
        </w:rPr>
        <w:t>Funding is provided through a commissioning function that supports</w:t>
      </w:r>
      <w:r w:rsidRPr="00E7687D">
        <w:rPr>
          <w:rFonts w:asciiTheme="minorHAnsi" w:hAnsiTheme="minorHAnsi" w:cstheme="minorHAnsi"/>
        </w:rPr>
        <w:t xml:space="preserve"> </w:t>
      </w:r>
      <w:proofErr w:type="spellStart"/>
      <w:r w:rsidRPr="00E7687D">
        <w:rPr>
          <w:rFonts w:asciiTheme="minorHAnsi" w:hAnsiTheme="minorHAnsi" w:cstheme="minorHAnsi"/>
        </w:rPr>
        <w:t>pēpe</w:t>
      </w:r>
      <w:proofErr w:type="spellEnd"/>
      <w:r w:rsidRPr="00E7687D">
        <w:rPr>
          <w:rFonts w:asciiTheme="minorHAnsi" w:hAnsiTheme="minorHAnsi" w:cstheme="minorHAnsi"/>
        </w:rPr>
        <w:t xml:space="preserve">, </w:t>
      </w:r>
      <w:proofErr w:type="spellStart"/>
      <w:r w:rsidRPr="00E7687D">
        <w:rPr>
          <w:rFonts w:asciiTheme="minorHAnsi" w:hAnsiTheme="minorHAnsi" w:cstheme="minorHAnsi"/>
        </w:rPr>
        <w:t>tamariki</w:t>
      </w:r>
      <w:proofErr w:type="spellEnd"/>
      <w:r w:rsidRPr="00E7687D">
        <w:rPr>
          <w:rFonts w:asciiTheme="minorHAnsi" w:hAnsiTheme="minorHAnsi" w:cstheme="minorHAnsi"/>
        </w:rPr>
        <w:t xml:space="preserve"> (child, youth and maternity) and covers all services that impact on the first 2000 days of </w:t>
      </w:r>
      <w:r w:rsidRPr="00F546D2">
        <w:rPr>
          <w:rFonts w:asciiTheme="minorHAnsi" w:hAnsiTheme="minorHAnsi" w:cstheme="minorHAnsi"/>
        </w:rPr>
        <w:t xml:space="preserve">life </w:t>
      </w:r>
      <w:r>
        <w:rPr>
          <w:rFonts w:asciiTheme="minorHAnsi" w:hAnsiTheme="minorHAnsi" w:cstheme="minorHAnsi"/>
        </w:rPr>
        <w:t>for</w:t>
      </w:r>
      <w:r w:rsidRPr="00F546D2">
        <w:rPr>
          <w:rFonts w:asciiTheme="minorHAnsi" w:hAnsiTheme="minorHAnsi" w:cstheme="minorHAnsi"/>
        </w:rPr>
        <w:t xml:space="preserve"> child</w:t>
      </w:r>
      <w:r>
        <w:rPr>
          <w:rFonts w:asciiTheme="minorHAnsi" w:hAnsiTheme="minorHAnsi" w:cstheme="minorHAnsi"/>
        </w:rPr>
        <w:t>ren</w:t>
      </w:r>
      <w:r w:rsidRPr="00F546D2">
        <w:rPr>
          <w:rFonts w:asciiTheme="minorHAnsi" w:hAnsiTheme="minorHAnsi" w:cstheme="minorHAnsi"/>
        </w:rPr>
        <w:t xml:space="preserve">, and the health and wellbeing of </w:t>
      </w:r>
      <w:proofErr w:type="spellStart"/>
      <w:r w:rsidRPr="00F546D2">
        <w:rPr>
          <w:rFonts w:asciiTheme="minorHAnsi" w:hAnsiTheme="minorHAnsi" w:cstheme="minorHAnsi"/>
        </w:rPr>
        <w:t>māmā</w:t>
      </w:r>
      <w:proofErr w:type="spellEnd"/>
      <w:r w:rsidRPr="00E7687D">
        <w:rPr>
          <w:rFonts w:asciiTheme="minorHAnsi" w:hAnsiTheme="minorHAnsi" w:cstheme="minorHAnsi"/>
        </w:rPr>
        <w:t xml:space="preserve">. See </w:t>
      </w:r>
      <w:hyperlink r:id="rId24" w:history="1">
        <w:r w:rsidR="00413845" w:rsidRPr="00F06804">
          <w:rPr>
            <w:rStyle w:val="Hyperlink"/>
            <w:rFonts w:asciiTheme="minorHAnsi" w:hAnsiTheme="minorHAnsi" w:cstheme="minorHAnsi"/>
          </w:rPr>
          <w:t>https://www.tewhatuora.govt.nz/assets/Uploads/Update-on-the-National-Operating-Model-and-High-Level-Structure.pdf</w:t>
        </w:r>
      </w:hyperlink>
      <w:r w:rsidR="00413845">
        <w:rPr>
          <w:rFonts w:asciiTheme="minorHAnsi" w:hAnsiTheme="minorHAnsi" w:cstheme="minorHAnsi"/>
        </w:rPr>
        <w:t xml:space="preserve"> </w:t>
      </w:r>
    </w:p>
  </w:footnote>
  <w:footnote w:id="43">
    <w:p w14:paraId="7A030ACF" w14:textId="6E06D147" w:rsidR="007B682B" w:rsidRPr="00E7687D" w:rsidRDefault="007B682B"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Pr>
          <w:rFonts w:asciiTheme="minorHAnsi" w:hAnsiTheme="minorHAnsi" w:cstheme="minorHAnsi"/>
          <w:lang w:val="mi-NZ"/>
        </w:rPr>
        <w:t>S</w:t>
      </w:r>
      <w:r w:rsidRPr="00E7687D">
        <w:rPr>
          <w:rFonts w:asciiTheme="minorHAnsi" w:hAnsiTheme="minorHAnsi" w:cstheme="minorHAnsi"/>
          <w:lang w:val="mi-NZ"/>
        </w:rPr>
        <w:t xml:space="preserve">ee paras </w:t>
      </w:r>
      <w:r w:rsidR="004D5DCC">
        <w:rPr>
          <w:rFonts w:asciiTheme="minorHAnsi" w:hAnsiTheme="minorHAnsi" w:cstheme="minorHAnsi"/>
          <w:lang w:val="mi-NZ"/>
        </w:rPr>
        <w:t>56</w:t>
      </w:r>
      <w:r w:rsidRPr="00E7687D">
        <w:rPr>
          <w:rFonts w:asciiTheme="minorHAnsi" w:hAnsiTheme="minorHAnsi" w:cstheme="minorHAnsi"/>
          <w:lang w:val="mi-NZ"/>
        </w:rPr>
        <w:t xml:space="preserve"> to </w:t>
      </w:r>
      <w:r w:rsidR="004D5DCC">
        <w:rPr>
          <w:rFonts w:asciiTheme="minorHAnsi" w:hAnsiTheme="minorHAnsi" w:cstheme="minorHAnsi"/>
          <w:lang w:val="mi-NZ"/>
        </w:rPr>
        <w:t>60</w:t>
      </w:r>
      <w:r w:rsidRPr="00E7687D">
        <w:rPr>
          <w:rFonts w:asciiTheme="minorHAnsi" w:hAnsiTheme="minorHAnsi" w:cstheme="minorHAnsi"/>
          <w:lang w:val="mi-NZ"/>
        </w:rPr>
        <w:t xml:space="preserve"> below</w:t>
      </w:r>
      <w:r w:rsidR="00EF7281">
        <w:rPr>
          <w:rFonts w:asciiTheme="minorHAnsi" w:hAnsiTheme="minorHAnsi" w:cstheme="minorHAnsi"/>
          <w:lang w:val="mi-NZ"/>
        </w:rPr>
        <w:t>.</w:t>
      </w:r>
    </w:p>
  </w:footnote>
  <w:footnote w:id="44">
    <w:p w14:paraId="61C2A1EE" w14:textId="16978BAE" w:rsidR="007B682B" w:rsidRPr="00E7687D" w:rsidRDefault="007B682B"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Pr>
          <w:rFonts w:asciiTheme="minorHAnsi" w:hAnsiTheme="minorHAnsi" w:cstheme="minorHAnsi"/>
          <w:lang w:val="mi-NZ"/>
        </w:rPr>
        <w:t>S</w:t>
      </w:r>
      <w:r w:rsidRPr="00E7687D">
        <w:rPr>
          <w:rFonts w:asciiTheme="minorHAnsi" w:hAnsiTheme="minorHAnsi" w:cstheme="minorHAnsi"/>
          <w:lang w:val="mi-NZ"/>
        </w:rPr>
        <w:t xml:space="preserve">ee paras </w:t>
      </w:r>
      <w:r w:rsidR="00D25D4E">
        <w:rPr>
          <w:rFonts w:asciiTheme="minorHAnsi" w:hAnsiTheme="minorHAnsi" w:cstheme="minorHAnsi"/>
          <w:lang w:val="mi-NZ"/>
        </w:rPr>
        <w:t>41</w:t>
      </w:r>
      <w:r w:rsidRPr="00E7687D">
        <w:rPr>
          <w:rFonts w:asciiTheme="minorHAnsi" w:hAnsiTheme="minorHAnsi" w:cstheme="minorHAnsi"/>
          <w:lang w:val="mi-NZ"/>
        </w:rPr>
        <w:t xml:space="preserve"> to </w:t>
      </w:r>
      <w:r w:rsidR="00D25D4E">
        <w:rPr>
          <w:rFonts w:asciiTheme="minorHAnsi" w:hAnsiTheme="minorHAnsi" w:cstheme="minorHAnsi"/>
          <w:lang w:val="mi-NZ"/>
        </w:rPr>
        <w:t>43</w:t>
      </w:r>
      <w:r w:rsidRPr="00E7687D">
        <w:rPr>
          <w:rFonts w:asciiTheme="minorHAnsi" w:hAnsiTheme="minorHAnsi" w:cstheme="minorHAnsi"/>
          <w:lang w:val="mi-NZ"/>
        </w:rPr>
        <w:t xml:space="preserve"> below</w:t>
      </w:r>
      <w:r w:rsidR="00EF7281">
        <w:rPr>
          <w:rFonts w:asciiTheme="minorHAnsi" w:hAnsiTheme="minorHAnsi" w:cstheme="minorHAnsi"/>
          <w:lang w:val="mi-NZ"/>
        </w:rPr>
        <w:t>.</w:t>
      </w:r>
    </w:p>
  </w:footnote>
  <w:footnote w:id="45">
    <w:p w14:paraId="02CB15AF" w14:textId="4ED6417D" w:rsidR="007B682B" w:rsidRPr="00E7687D" w:rsidRDefault="007B682B"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Pr>
          <w:rFonts w:asciiTheme="minorHAnsi" w:hAnsiTheme="minorHAnsi" w:cstheme="minorHAnsi"/>
          <w:lang w:val="mi-NZ"/>
        </w:rPr>
        <w:t>S</w:t>
      </w:r>
      <w:r w:rsidRPr="00E7687D">
        <w:rPr>
          <w:rFonts w:asciiTheme="minorHAnsi" w:hAnsiTheme="minorHAnsi" w:cstheme="minorHAnsi"/>
          <w:lang w:val="mi-NZ"/>
        </w:rPr>
        <w:t xml:space="preserve">ee paras </w:t>
      </w:r>
      <w:r w:rsidR="004D5DCC">
        <w:rPr>
          <w:rFonts w:asciiTheme="minorHAnsi" w:hAnsiTheme="minorHAnsi" w:cstheme="minorHAnsi"/>
          <w:lang w:val="mi-NZ"/>
        </w:rPr>
        <w:t>134</w:t>
      </w:r>
      <w:r w:rsidRPr="00E7687D">
        <w:rPr>
          <w:rFonts w:asciiTheme="minorHAnsi" w:hAnsiTheme="minorHAnsi" w:cstheme="minorHAnsi"/>
          <w:lang w:val="mi-NZ"/>
        </w:rPr>
        <w:t xml:space="preserve"> to </w:t>
      </w:r>
      <w:r w:rsidR="004D5DCC">
        <w:rPr>
          <w:rFonts w:asciiTheme="minorHAnsi" w:hAnsiTheme="minorHAnsi" w:cstheme="minorHAnsi"/>
          <w:lang w:val="mi-NZ"/>
        </w:rPr>
        <w:t>137</w:t>
      </w:r>
      <w:r w:rsidRPr="00E7687D">
        <w:rPr>
          <w:rFonts w:asciiTheme="minorHAnsi" w:hAnsiTheme="minorHAnsi" w:cstheme="minorHAnsi"/>
          <w:lang w:val="mi-NZ"/>
        </w:rPr>
        <w:t xml:space="preserve"> below</w:t>
      </w:r>
      <w:r w:rsidR="00EF7281">
        <w:rPr>
          <w:rFonts w:asciiTheme="minorHAnsi" w:hAnsiTheme="minorHAnsi" w:cstheme="minorHAnsi"/>
          <w:lang w:val="mi-NZ"/>
        </w:rPr>
        <w:t>.</w:t>
      </w:r>
    </w:p>
  </w:footnote>
  <w:footnote w:id="46">
    <w:p w14:paraId="440B9578" w14:textId="0C9B49DB" w:rsidR="007B682B" w:rsidRPr="00E7687D" w:rsidRDefault="007B682B"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Pr>
          <w:rFonts w:asciiTheme="minorHAnsi" w:hAnsiTheme="minorHAnsi" w:cstheme="minorHAnsi"/>
          <w:lang w:val="mi-NZ"/>
        </w:rPr>
        <w:t>S</w:t>
      </w:r>
      <w:r w:rsidRPr="00E7687D">
        <w:rPr>
          <w:rFonts w:asciiTheme="minorHAnsi" w:hAnsiTheme="minorHAnsi" w:cstheme="minorHAnsi"/>
          <w:lang w:val="mi-NZ"/>
        </w:rPr>
        <w:t xml:space="preserve">ee paras </w:t>
      </w:r>
      <w:r w:rsidR="00D25D4E">
        <w:rPr>
          <w:rFonts w:asciiTheme="minorHAnsi" w:hAnsiTheme="minorHAnsi" w:cstheme="minorHAnsi"/>
          <w:lang w:val="mi-NZ"/>
        </w:rPr>
        <w:t>149</w:t>
      </w:r>
      <w:r w:rsidRPr="00E7687D">
        <w:rPr>
          <w:rFonts w:asciiTheme="minorHAnsi" w:hAnsiTheme="minorHAnsi" w:cstheme="minorHAnsi"/>
          <w:lang w:val="mi-NZ"/>
        </w:rPr>
        <w:t xml:space="preserve"> to </w:t>
      </w:r>
      <w:r w:rsidR="00D25D4E">
        <w:rPr>
          <w:rFonts w:asciiTheme="minorHAnsi" w:hAnsiTheme="minorHAnsi" w:cstheme="minorHAnsi"/>
          <w:lang w:val="mi-NZ"/>
        </w:rPr>
        <w:t>154</w:t>
      </w:r>
      <w:r w:rsidRPr="00E7687D">
        <w:rPr>
          <w:rFonts w:asciiTheme="minorHAnsi" w:hAnsiTheme="minorHAnsi" w:cstheme="minorHAnsi"/>
          <w:lang w:val="mi-NZ"/>
        </w:rPr>
        <w:t xml:space="preserve"> below</w:t>
      </w:r>
      <w:r w:rsidR="00EF7281">
        <w:rPr>
          <w:rFonts w:asciiTheme="minorHAnsi" w:hAnsiTheme="minorHAnsi" w:cstheme="minorHAnsi"/>
          <w:lang w:val="mi-NZ"/>
        </w:rPr>
        <w:t>.</w:t>
      </w:r>
    </w:p>
  </w:footnote>
  <w:footnote w:id="47">
    <w:p w14:paraId="0B71ED99" w14:textId="6662EC72" w:rsidR="007B682B" w:rsidRPr="004D5DCC" w:rsidRDefault="007B682B" w:rsidP="00E20FF1">
      <w:pPr>
        <w:spacing w:after="0" w:line="240" w:lineRule="auto"/>
        <w:rPr>
          <w:rFonts w:ascii="Calibri" w:hAnsi="Calibri" w:cs="Calibri"/>
          <w:color w:val="000000"/>
          <w:sz w:val="22"/>
          <w:szCs w:val="22"/>
        </w:rPr>
      </w:pPr>
      <w:r>
        <w:rPr>
          <w:rStyle w:val="FootnoteReference"/>
        </w:rPr>
        <w:footnoteRef/>
      </w:r>
      <w:r>
        <w:t xml:space="preserve"> </w:t>
      </w:r>
      <w:proofErr w:type="spellStart"/>
      <w:r w:rsidR="004D5DCC">
        <w:rPr>
          <w:rFonts w:ascii="Calibri" w:hAnsi="Calibri" w:cs="Calibri"/>
          <w:color w:val="000000"/>
          <w:sz w:val="22"/>
          <w:szCs w:val="22"/>
        </w:rPr>
        <w:t>Te</w:t>
      </w:r>
      <w:proofErr w:type="spellEnd"/>
      <w:r w:rsidR="004D5DCC">
        <w:rPr>
          <w:rFonts w:ascii="Calibri" w:hAnsi="Calibri" w:cs="Calibri"/>
          <w:color w:val="000000"/>
          <w:sz w:val="22"/>
          <w:szCs w:val="22"/>
        </w:rPr>
        <w:t xml:space="preserve"> Aka Matua o </w:t>
      </w:r>
      <w:proofErr w:type="spellStart"/>
      <w:r w:rsidR="004D5DCC">
        <w:rPr>
          <w:rFonts w:ascii="Calibri" w:hAnsi="Calibri" w:cs="Calibri"/>
          <w:color w:val="000000"/>
          <w:sz w:val="22"/>
          <w:szCs w:val="22"/>
        </w:rPr>
        <w:t>te</w:t>
      </w:r>
      <w:proofErr w:type="spellEnd"/>
      <w:r w:rsidR="004D5DCC">
        <w:rPr>
          <w:rFonts w:ascii="Calibri" w:hAnsi="Calibri" w:cs="Calibri"/>
          <w:color w:val="000000"/>
          <w:sz w:val="22"/>
          <w:szCs w:val="22"/>
        </w:rPr>
        <w:t xml:space="preserve"> Ture | Law Commission</w:t>
      </w:r>
      <w:r w:rsidR="00EF7281" w:rsidRPr="00EF7281">
        <w:rPr>
          <w:rFonts w:ascii="Calibri" w:hAnsi="Calibri" w:cs="Calibri"/>
          <w:color w:val="000000"/>
          <w:sz w:val="22"/>
          <w:szCs w:val="22"/>
        </w:rPr>
        <w:t xml:space="preserve"> </w:t>
      </w:r>
      <w:r w:rsidR="00EF7281">
        <w:rPr>
          <w:rFonts w:ascii="Calibri" w:hAnsi="Calibri" w:cs="Calibri"/>
          <w:color w:val="000000"/>
          <w:sz w:val="22"/>
          <w:szCs w:val="22"/>
        </w:rPr>
        <w:t xml:space="preserve">(June 2019) </w:t>
      </w:r>
      <w:r w:rsidR="004D5DCC" w:rsidRPr="00EF7281">
        <w:rPr>
          <w:rFonts w:ascii="Calibri" w:hAnsi="Calibri" w:cs="Calibri"/>
          <w:i/>
          <w:iCs/>
          <w:color w:val="000000"/>
          <w:sz w:val="22"/>
          <w:szCs w:val="22"/>
        </w:rPr>
        <w:t>Review of the Property (Relationships) Act 1976</w:t>
      </w:r>
      <w:r w:rsidR="004D5DCC">
        <w:rPr>
          <w:rFonts w:ascii="Calibri" w:hAnsi="Calibri" w:cs="Calibri"/>
          <w:color w:val="000000"/>
          <w:sz w:val="22"/>
          <w:szCs w:val="22"/>
        </w:rPr>
        <w:t xml:space="preserve">, Report | </w:t>
      </w:r>
      <w:proofErr w:type="spellStart"/>
      <w:r w:rsidR="004D5DCC">
        <w:rPr>
          <w:rFonts w:ascii="Calibri" w:hAnsi="Calibri" w:cs="Calibri"/>
          <w:color w:val="000000"/>
          <w:sz w:val="22"/>
          <w:szCs w:val="22"/>
        </w:rPr>
        <w:t>Pūrongo</w:t>
      </w:r>
      <w:proofErr w:type="spellEnd"/>
      <w:r w:rsidR="004D5DCC">
        <w:rPr>
          <w:rFonts w:ascii="Calibri" w:hAnsi="Calibri" w:cs="Calibri"/>
          <w:color w:val="000000"/>
          <w:sz w:val="22"/>
          <w:szCs w:val="22"/>
        </w:rPr>
        <w:t xml:space="preserve"> 143</w:t>
      </w:r>
      <w:r w:rsidR="00EF7281">
        <w:rPr>
          <w:rFonts w:ascii="Calibri" w:hAnsi="Calibri" w:cs="Calibri"/>
          <w:color w:val="000000"/>
          <w:sz w:val="22"/>
          <w:szCs w:val="22"/>
        </w:rPr>
        <w:t xml:space="preserve">: </w:t>
      </w:r>
      <w:hyperlink r:id="rId25" w:history="1">
        <w:r w:rsidR="00EF7281" w:rsidRPr="00F85ABD">
          <w:rPr>
            <w:rStyle w:val="Hyperlink"/>
            <w:rFonts w:ascii="Calibri" w:hAnsi="Calibri" w:cs="Calibri"/>
            <w:sz w:val="22"/>
            <w:szCs w:val="22"/>
          </w:rPr>
          <w:t>https://www.lawcom.govt.nz/sites/default/files/projectAvailableFormats/NZLC%20-%20PRA%20Review%20Project%20-%20Final%20Report%20R143_0.pdf</w:t>
        </w:r>
      </w:hyperlink>
      <w:r w:rsidR="004D5DCC">
        <w:rPr>
          <w:rFonts w:ascii="Calibri" w:hAnsi="Calibri" w:cs="Calibri"/>
          <w:color w:val="000000"/>
          <w:sz w:val="22"/>
          <w:szCs w:val="22"/>
        </w:rPr>
        <w:t xml:space="preserve">; </w:t>
      </w:r>
      <w:proofErr w:type="spellStart"/>
      <w:r w:rsidR="004D5DCC">
        <w:rPr>
          <w:rFonts w:ascii="Calibri" w:hAnsi="Calibri" w:cs="Calibri"/>
          <w:color w:val="000000"/>
          <w:sz w:val="22"/>
          <w:szCs w:val="22"/>
        </w:rPr>
        <w:t>Te</w:t>
      </w:r>
      <w:proofErr w:type="spellEnd"/>
      <w:r w:rsidR="004D5DCC">
        <w:rPr>
          <w:rFonts w:ascii="Calibri" w:hAnsi="Calibri" w:cs="Calibri"/>
          <w:color w:val="000000"/>
          <w:sz w:val="22"/>
          <w:szCs w:val="22"/>
        </w:rPr>
        <w:t xml:space="preserve"> Aka Matua o </w:t>
      </w:r>
      <w:proofErr w:type="spellStart"/>
      <w:r w:rsidR="004D5DCC">
        <w:rPr>
          <w:rFonts w:ascii="Calibri" w:hAnsi="Calibri" w:cs="Calibri"/>
          <w:color w:val="000000"/>
          <w:sz w:val="22"/>
          <w:szCs w:val="22"/>
        </w:rPr>
        <w:t>te</w:t>
      </w:r>
      <w:proofErr w:type="spellEnd"/>
      <w:r w:rsidR="004D5DCC">
        <w:rPr>
          <w:rFonts w:ascii="Calibri" w:hAnsi="Calibri" w:cs="Calibri"/>
          <w:color w:val="000000"/>
          <w:sz w:val="22"/>
          <w:szCs w:val="22"/>
        </w:rPr>
        <w:t xml:space="preserve"> Ture | Law Commission</w:t>
      </w:r>
      <w:r w:rsidR="00EF7281">
        <w:rPr>
          <w:rFonts w:ascii="Calibri" w:hAnsi="Calibri" w:cs="Calibri"/>
          <w:color w:val="000000"/>
          <w:sz w:val="22"/>
          <w:szCs w:val="22"/>
        </w:rPr>
        <w:t xml:space="preserve"> (November 2021) </w:t>
      </w:r>
      <w:r w:rsidR="004D5DCC" w:rsidRPr="00150177">
        <w:rPr>
          <w:rFonts w:ascii="Calibri" w:hAnsi="Calibri" w:cs="Calibri"/>
          <w:i/>
          <w:iCs/>
          <w:color w:val="000000"/>
          <w:sz w:val="22"/>
          <w:szCs w:val="22"/>
        </w:rPr>
        <w:t>Review of succession law: rights to a person’s property on death</w:t>
      </w:r>
      <w:r w:rsidR="004D5DCC">
        <w:rPr>
          <w:rFonts w:ascii="Calibri" w:hAnsi="Calibri" w:cs="Calibri"/>
          <w:color w:val="000000"/>
          <w:sz w:val="22"/>
          <w:szCs w:val="22"/>
        </w:rPr>
        <w:t xml:space="preserve">, Report | </w:t>
      </w:r>
      <w:proofErr w:type="spellStart"/>
      <w:r w:rsidR="004D5DCC">
        <w:rPr>
          <w:rFonts w:ascii="Calibri" w:hAnsi="Calibri" w:cs="Calibri"/>
          <w:color w:val="000000"/>
          <w:sz w:val="22"/>
          <w:szCs w:val="22"/>
        </w:rPr>
        <w:t>Pūrongo</w:t>
      </w:r>
      <w:proofErr w:type="spellEnd"/>
      <w:r w:rsidR="004D5DCC">
        <w:rPr>
          <w:rFonts w:ascii="Calibri" w:hAnsi="Calibri" w:cs="Calibri"/>
          <w:color w:val="000000"/>
          <w:sz w:val="22"/>
          <w:szCs w:val="22"/>
        </w:rPr>
        <w:t xml:space="preserve"> 145</w:t>
      </w:r>
      <w:r w:rsidR="00EF7281">
        <w:rPr>
          <w:rFonts w:ascii="Calibri" w:hAnsi="Calibri" w:cs="Calibri"/>
          <w:color w:val="000000"/>
          <w:sz w:val="22"/>
          <w:szCs w:val="22"/>
        </w:rPr>
        <w:t xml:space="preserve">: </w:t>
      </w:r>
      <w:hyperlink r:id="rId26" w:history="1">
        <w:r w:rsidR="00150177" w:rsidRPr="00F85ABD">
          <w:rPr>
            <w:rStyle w:val="Hyperlink"/>
            <w:rFonts w:ascii="Calibri" w:hAnsi="Calibri" w:cs="Calibri"/>
            <w:sz w:val="22"/>
            <w:szCs w:val="22"/>
          </w:rPr>
          <w:t>https://www.lawcom.govt.nz/sites/default/files/projectAvailableFormats/NZLC-SUL-FinalReport145.pdf</w:t>
        </w:r>
      </w:hyperlink>
    </w:p>
  </w:footnote>
  <w:footnote w:id="48">
    <w:p w14:paraId="2CB4B843" w14:textId="727428F4" w:rsidR="007B682B" w:rsidRPr="00E7687D" w:rsidRDefault="007B682B"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Pr>
          <w:rFonts w:asciiTheme="minorHAnsi" w:hAnsiTheme="minorHAnsi" w:cstheme="minorHAnsi"/>
          <w:lang w:val="mi-NZ"/>
        </w:rPr>
        <w:t>S</w:t>
      </w:r>
      <w:r w:rsidRPr="00E7687D">
        <w:rPr>
          <w:rFonts w:asciiTheme="minorHAnsi" w:hAnsiTheme="minorHAnsi" w:cstheme="minorHAnsi"/>
          <w:lang w:val="mi-NZ"/>
        </w:rPr>
        <w:t>ee para</w:t>
      </w:r>
      <w:r w:rsidR="00D25D4E">
        <w:rPr>
          <w:rFonts w:asciiTheme="minorHAnsi" w:hAnsiTheme="minorHAnsi" w:cstheme="minorHAnsi"/>
          <w:lang w:val="mi-NZ"/>
        </w:rPr>
        <w:t xml:space="preserve"> 195 </w:t>
      </w:r>
      <w:r w:rsidRPr="00E7687D">
        <w:rPr>
          <w:rFonts w:asciiTheme="minorHAnsi" w:hAnsiTheme="minorHAnsi" w:cstheme="minorHAnsi"/>
          <w:lang w:val="mi-NZ"/>
        </w:rPr>
        <w:t>below</w:t>
      </w:r>
      <w:r w:rsidR="00150177">
        <w:rPr>
          <w:rFonts w:asciiTheme="minorHAnsi" w:hAnsiTheme="minorHAnsi" w:cstheme="minorHAnsi"/>
          <w:lang w:val="mi-NZ"/>
        </w:rPr>
        <w:t>.</w:t>
      </w:r>
    </w:p>
  </w:footnote>
  <w:footnote w:id="49">
    <w:p w14:paraId="2C0DA63A" w14:textId="6D53FB78" w:rsidR="007B682B" w:rsidRPr="00E7687D" w:rsidRDefault="007B682B"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Pr>
          <w:rFonts w:asciiTheme="minorHAnsi" w:hAnsiTheme="minorHAnsi" w:cstheme="minorHAnsi"/>
          <w:lang w:val="mi-NZ"/>
        </w:rPr>
        <w:t>S</w:t>
      </w:r>
      <w:r w:rsidRPr="00E7687D">
        <w:rPr>
          <w:rFonts w:asciiTheme="minorHAnsi" w:hAnsiTheme="minorHAnsi" w:cstheme="minorHAnsi"/>
          <w:lang w:val="mi-NZ"/>
        </w:rPr>
        <w:t xml:space="preserve">ee paras </w:t>
      </w:r>
      <w:r w:rsidR="00D25D4E">
        <w:rPr>
          <w:rFonts w:asciiTheme="minorHAnsi" w:hAnsiTheme="minorHAnsi" w:cstheme="minorHAnsi"/>
          <w:lang w:val="mi-NZ"/>
        </w:rPr>
        <w:t>200</w:t>
      </w:r>
      <w:r w:rsidRPr="00E7687D">
        <w:rPr>
          <w:rFonts w:asciiTheme="minorHAnsi" w:hAnsiTheme="minorHAnsi" w:cstheme="minorHAnsi"/>
          <w:lang w:val="mi-NZ"/>
        </w:rPr>
        <w:t xml:space="preserve"> to </w:t>
      </w:r>
      <w:r w:rsidR="00D25D4E">
        <w:rPr>
          <w:rFonts w:asciiTheme="minorHAnsi" w:hAnsiTheme="minorHAnsi" w:cstheme="minorHAnsi"/>
          <w:lang w:val="mi-NZ"/>
        </w:rPr>
        <w:t>204</w:t>
      </w:r>
      <w:r w:rsidRPr="00E7687D">
        <w:rPr>
          <w:rFonts w:asciiTheme="minorHAnsi" w:hAnsiTheme="minorHAnsi" w:cstheme="minorHAnsi"/>
          <w:lang w:val="mi-NZ"/>
        </w:rPr>
        <w:t xml:space="preserve"> below</w:t>
      </w:r>
      <w:r w:rsidR="00150177">
        <w:rPr>
          <w:rFonts w:asciiTheme="minorHAnsi" w:hAnsiTheme="minorHAnsi" w:cstheme="minorHAnsi"/>
          <w:lang w:val="mi-NZ"/>
        </w:rPr>
        <w:t>.</w:t>
      </w:r>
    </w:p>
  </w:footnote>
  <w:footnote w:id="50">
    <w:p w14:paraId="22AEC847" w14:textId="49E31AE9" w:rsidR="007B682B" w:rsidRPr="00E7687D" w:rsidRDefault="007B682B"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Pr>
          <w:rFonts w:asciiTheme="minorHAnsi" w:hAnsiTheme="minorHAnsi" w:cstheme="minorHAnsi"/>
          <w:lang w:val="mi-NZ"/>
        </w:rPr>
        <w:t>S</w:t>
      </w:r>
      <w:r w:rsidRPr="00E7687D">
        <w:rPr>
          <w:rFonts w:asciiTheme="minorHAnsi" w:hAnsiTheme="minorHAnsi" w:cstheme="minorHAnsi"/>
          <w:lang w:val="mi-NZ"/>
        </w:rPr>
        <w:t xml:space="preserve">ee paras </w:t>
      </w:r>
      <w:r w:rsidR="00D25D4E">
        <w:rPr>
          <w:rFonts w:asciiTheme="minorHAnsi" w:hAnsiTheme="minorHAnsi" w:cstheme="minorHAnsi"/>
          <w:lang w:val="mi-NZ"/>
        </w:rPr>
        <w:t>166</w:t>
      </w:r>
      <w:r w:rsidRPr="00E7687D">
        <w:rPr>
          <w:rFonts w:asciiTheme="minorHAnsi" w:hAnsiTheme="minorHAnsi" w:cstheme="minorHAnsi"/>
          <w:lang w:val="mi-NZ"/>
        </w:rPr>
        <w:t xml:space="preserve"> to </w:t>
      </w:r>
      <w:r w:rsidR="00D25D4E">
        <w:rPr>
          <w:rFonts w:asciiTheme="minorHAnsi" w:hAnsiTheme="minorHAnsi" w:cstheme="minorHAnsi"/>
          <w:lang w:val="mi-NZ"/>
        </w:rPr>
        <w:t>182</w:t>
      </w:r>
      <w:r w:rsidRPr="00E7687D">
        <w:rPr>
          <w:rFonts w:asciiTheme="minorHAnsi" w:hAnsiTheme="minorHAnsi" w:cstheme="minorHAnsi"/>
          <w:lang w:val="mi-NZ"/>
        </w:rPr>
        <w:t xml:space="preserve"> below</w:t>
      </w:r>
      <w:r w:rsidR="00150177">
        <w:rPr>
          <w:rFonts w:asciiTheme="minorHAnsi" w:hAnsiTheme="minorHAnsi" w:cstheme="minorHAnsi"/>
          <w:lang w:val="mi-NZ"/>
        </w:rPr>
        <w:t>.</w:t>
      </w:r>
    </w:p>
  </w:footnote>
  <w:footnote w:id="51">
    <w:p w14:paraId="26461107" w14:textId="288C4146" w:rsidR="007B682B" w:rsidRPr="00E7687D" w:rsidRDefault="007B682B"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Pr>
          <w:rFonts w:asciiTheme="minorHAnsi" w:hAnsiTheme="minorHAnsi" w:cstheme="minorHAnsi"/>
          <w:lang w:val="mi-NZ"/>
        </w:rPr>
        <w:t>S</w:t>
      </w:r>
      <w:r w:rsidRPr="00E7687D">
        <w:rPr>
          <w:rFonts w:asciiTheme="minorHAnsi" w:hAnsiTheme="minorHAnsi" w:cstheme="minorHAnsi"/>
          <w:lang w:val="mi-NZ"/>
        </w:rPr>
        <w:t xml:space="preserve">ee paras </w:t>
      </w:r>
      <w:r w:rsidR="009D0A8C">
        <w:rPr>
          <w:rFonts w:asciiTheme="minorHAnsi" w:hAnsiTheme="minorHAnsi" w:cstheme="minorHAnsi"/>
          <w:lang w:val="mi-NZ"/>
        </w:rPr>
        <w:t>160</w:t>
      </w:r>
      <w:r w:rsidRPr="00E7687D">
        <w:rPr>
          <w:rFonts w:asciiTheme="minorHAnsi" w:hAnsiTheme="minorHAnsi" w:cstheme="minorHAnsi"/>
          <w:lang w:val="mi-NZ"/>
        </w:rPr>
        <w:t xml:space="preserve"> to </w:t>
      </w:r>
      <w:r w:rsidR="009D0A8C">
        <w:rPr>
          <w:rFonts w:asciiTheme="minorHAnsi" w:hAnsiTheme="minorHAnsi" w:cstheme="minorHAnsi"/>
          <w:lang w:val="mi-NZ"/>
        </w:rPr>
        <w:t>162</w:t>
      </w:r>
      <w:r w:rsidRPr="00E7687D">
        <w:rPr>
          <w:rFonts w:asciiTheme="minorHAnsi" w:hAnsiTheme="minorHAnsi" w:cstheme="minorHAnsi"/>
          <w:lang w:val="mi-NZ"/>
        </w:rPr>
        <w:t xml:space="preserve"> below</w:t>
      </w:r>
      <w:r w:rsidR="00150177">
        <w:rPr>
          <w:rFonts w:asciiTheme="minorHAnsi" w:hAnsiTheme="minorHAnsi" w:cstheme="minorHAnsi"/>
          <w:lang w:val="mi-NZ"/>
        </w:rPr>
        <w:t>.</w:t>
      </w:r>
    </w:p>
  </w:footnote>
  <w:footnote w:id="52">
    <w:p w14:paraId="69080D16" w14:textId="27B0F219" w:rsidR="007B682B" w:rsidRPr="00E7687D" w:rsidRDefault="007B682B"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Pr>
          <w:rFonts w:asciiTheme="minorHAnsi" w:hAnsiTheme="minorHAnsi" w:cstheme="minorHAnsi"/>
          <w:lang w:val="mi-NZ"/>
        </w:rPr>
        <w:t>S</w:t>
      </w:r>
      <w:r w:rsidRPr="00E7687D">
        <w:rPr>
          <w:rFonts w:asciiTheme="minorHAnsi" w:hAnsiTheme="minorHAnsi" w:cstheme="minorHAnsi"/>
          <w:lang w:val="mi-NZ"/>
        </w:rPr>
        <w:t>ee pa</w:t>
      </w:r>
      <w:r>
        <w:rPr>
          <w:rFonts w:asciiTheme="minorHAnsi" w:hAnsiTheme="minorHAnsi" w:cstheme="minorHAnsi"/>
          <w:lang w:val="mi-NZ"/>
        </w:rPr>
        <w:t>ra</w:t>
      </w:r>
      <w:r w:rsidRPr="00E7687D">
        <w:rPr>
          <w:rFonts w:asciiTheme="minorHAnsi" w:hAnsiTheme="minorHAnsi" w:cstheme="minorHAnsi"/>
          <w:lang w:val="mi-NZ"/>
        </w:rPr>
        <w:t xml:space="preserve">s </w:t>
      </w:r>
      <w:r w:rsidR="009D0A8C">
        <w:rPr>
          <w:rFonts w:asciiTheme="minorHAnsi" w:hAnsiTheme="minorHAnsi" w:cstheme="minorHAnsi"/>
          <w:lang w:val="mi-NZ"/>
        </w:rPr>
        <w:t>183</w:t>
      </w:r>
      <w:r w:rsidRPr="00E7687D">
        <w:rPr>
          <w:rFonts w:asciiTheme="minorHAnsi" w:hAnsiTheme="minorHAnsi" w:cstheme="minorHAnsi"/>
          <w:lang w:val="mi-NZ"/>
        </w:rPr>
        <w:t xml:space="preserve"> to </w:t>
      </w:r>
      <w:r w:rsidR="009D0A8C">
        <w:rPr>
          <w:rFonts w:asciiTheme="minorHAnsi" w:hAnsiTheme="minorHAnsi" w:cstheme="minorHAnsi"/>
          <w:lang w:val="mi-NZ"/>
        </w:rPr>
        <w:t>188</w:t>
      </w:r>
      <w:r w:rsidRPr="00E7687D">
        <w:rPr>
          <w:rFonts w:asciiTheme="minorHAnsi" w:hAnsiTheme="minorHAnsi" w:cstheme="minorHAnsi"/>
          <w:lang w:val="mi-NZ"/>
        </w:rPr>
        <w:t xml:space="preserve"> below</w:t>
      </w:r>
      <w:r w:rsidR="00150177">
        <w:rPr>
          <w:rFonts w:asciiTheme="minorHAnsi" w:hAnsiTheme="minorHAnsi" w:cstheme="minorHAnsi"/>
          <w:lang w:val="mi-NZ"/>
        </w:rPr>
        <w:t>.</w:t>
      </w:r>
    </w:p>
  </w:footnote>
  <w:footnote w:id="53">
    <w:p w14:paraId="74EAF322" w14:textId="4A44707D" w:rsidR="007B682B" w:rsidRPr="00E7687D" w:rsidRDefault="007B682B" w:rsidP="00E20FF1">
      <w:pPr>
        <w:spacing w:after="0" w:line="240" w:lineRule="auto"/>
        <w:rPr>
          <w:rFonts w:cstheme="minorHAnsi"/>
          <w:color w:val="000000" w:themeColor="text1"/>
        </w:rPr>
      </w:pPr>
      <w:r w:rsidRPr="00E7687D">
        <w:rPr>
          <w:rStyle w:val="FootnoteReference"/>
          <w:rFonts w:cstheme="minorHAnsi"/>
        </w:rPr>
        <w:footnoteRef/>
      </w:r>
      <w:r w:rsidRPr="00E7687D">
        <w:rPr>
          <w:rFonts w:cstheme="minorHAnsi"/>
        </w:rPr>
        <w:t xml:space="preserve"> </w:t>
      </w:r>
      <w:r>
        <w:rPr>
          <w:rFonts w:cstheme="minorHAnsi"/>
          <w:lang w:val="mi-NZ"/>
        </w:rPr>
        <w:t>S</w:t>
      </w:r>
      <w:r w:rsidRPr="00E7687D">
        <w:rPr>
          <w:rFonts w:cstheme="minorHAnsi"/>
          <w:lang w:val="mi-NZ"/>
        </w:rPr>
        <w:t xml:space="preserve">ee paras </w:t>
      </w:r>
      <w:r w:rsidR="009D0A8C">
        <w:rPr>
          <w:rFonts w:cstheme="minorHAnsi"/>
          <w:lang w:val="mi-NZ"/>
        </w:rPr>
        <w:t>111</w:t>
      </w:r>
      <w:r w:rsidRPr="00E7687D">
        <w:rPr>
          <w:rFonts w:cstheme="minorHAnsi"/>
          <w:lang w:val="mi-NZ"/>
        </w:rPr>
        <w:t xml:space="preserve"> to </w:t>
      </w:r>
      <w:r w:rsidR="009D0A8C">
        <w:rPr>
          <w:rFonts w:cstheme="minorHAnsi"/>
          <w:lang w:val="mi-NZ"/>
        </w:rPr>
        <w:t>113</w:t>
      </w:r>
      <w:r w:rsidRPr="00E7687D">
        <w:rPr>
          <w:rFonts w:cstheme="minorHAnsi"/>
          <w:lang w:val="mi-NZ"/>
        </w:rPr>
        <w:t xml:space="preserve"> below</w:t>
      </w:r>
      <w:r w:rsidR="00150177">
        <w:rPr>
          <w:rFonts w:cstheme="minorHAnsi"/>
          <w:lang w:val="mi-NZ"/>
        </w:rPr>
        <w:t>.</w:t>
      </w:r>
    </w:p>
  </w:footnote>
  <w:footnote w:id="54">
    <w:p w14:paraId="747E6000" w14:textId="3E9C4939" w:rsidR="007B682B" w:rsidRPr="00E7687D" w:rsidRDefault="007B682B"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Pr>
          <w:rFonts w:asciiTheme="minorHAnsi" w:hAnsiTheme="minorHAnsi" w:cstheme="minorHAnsi"/>
          <w:lang w:val="mi-NZ"/>
        </w:rPr>
        <w:t>S</w:t>
      </w:r>
      <w:r w:rsidRPr="00E7687D">
        <w:rPr>
          <w:rFonts w:asciiTheme="minorHAnsi" w:hAnsiTheme="minorHAnsi" w:cstheme="minorHAnsi"/>
          <w:lang w:val="mi-NZ"/>
        </w:rPr>
        <w:t xml:space="preserve">ee paras </w:t>
      </w:r>
      <w:r w:rsidR="009D0A8C">
        <w:rPr>
          <w:rFonts w:asciiTheme="minorHAnsi" w:hAnsiTheme="minorHAnsi" w:cstheme="minorHAnsi"/>
          <w:lang w:val="mi-NZ"/>
        </w:rPr>
        <w:t>217</w:t>
      </w:r>
      <w:r w:rsidRPr="00E7687D">
        <w:rPr>
          <w:rFonts w:asciiTheme="minorHAnsi" w:hAnsiTheme="minorHAnsi" w:cstheme="minorHAnsi"/>
          <w:lang w:val="mi-NZ"/>
        </w:rPr>
        <w:t xml:space="preserve"> to </w:t>
      </w:r>
      <w:r w:rsidR="009D0A8C">
        <w:rPr>
          <w:rFonts w:asciiTheme="minorHAnsi" w:hAnsiTheme="minorHAnsi" w:cstheme="minorHAnsi"/>
          <w:lang w:val="mi-NZ"/>
        </w:rPr>
        <w:t>221</w:t>
      </w:r>
      <w:r w:rsidRPr="00E7687D">
        <w:rPr>
          <w:rFonts w:asciiTheme="minorHAnsi" w:hAnsiTheme="minorHAnsi" w:cstheme="minorHAnsi"/>
          <w:lang w:val="mi-NZ"/>
        </w:rPr>
        <w:t xml:space="preserve"> below</w:t>
      </w:r>
      <w:r w:rsidR="00150177">
        <w:rPr>
          <w:rFonts w:asciiTheme="minorHAnsi" w:hAnsiTheme="minorHAnsi" w:cstheme="minorHAnsi"/>
          <w:lang w:val="mi-NZ"/>
        </w:rPr>
        <w:t>.</w:t>
      </w:r>
    </w:p>
  </w:footnote>
  <w:footnote w:id="55">
    <w:p w14:paraId="2F35DB8F" w14:textId="41019C05" w:rsidR="007B682B" w:rsidRPr="00E7687D" w:rsidRDefault="007B682B"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Pr>
          <w:rFonts w:asciiTheme="minorHAnsi" w:hAnsiTheme="minorHAnsi" w:cstheme="minorHAnsi"/>
          <w:lang w:val="mi-NZ"/>
        </w:rPr>
        <w:t>S</w:t>
      </w:r>
      <w:r w:rsidRPr="00E7687D">
        <w:rPr>
          <w:rFonts w:asciiTheme="minorHAnsi" w:hAnsiTheme="minorHAnsi" w:cstheme="minorHAnsi"/>
          <w:lang w:val="mi-NZ"/>
        </w:rPr>
        <w:t>ee</w:t>
      </w:r>
      <w:r w:rsidR="000868D4" w:rsidRPr="000868D4">
        <w:t xml:space="preserve"> </w:t>
      </w:r>
      <w:hyperlink r:id="rId27" w:history="1">
        <w:r w:rsidR="000868D4" w:rsidRPr="00F06804">
          <w:rPr>
            <w:rStyle w:val="Hyperlink"/>
            <w:rFonts w:asciiTheme="minorHAnsi" w:hAnsiTheme="minorHAnsi" w:cstheme="minorHAnsi"/>
            <w:lang w:val="mi-NZ"/>
          </w:rPr>
          <w:t>https://www.justice.govt.nz/justice-sector-policy/key-initiatives/family-justice-reform/</w:t>
        </w:r>
      </w:hyperlink>
      <w:r w:rsidR="000868D4">
        <w:rPr>
          <w:rFonts w:asciiTheme="minorHAnsi" w:hAnsiTheme="minorHAnsi" w:cstheme="minorHAnsi"/>
          <w:lang w:val="mi-NZ"/>
        </w:rPr>
        <w:t xml:space="preserve"> </w:t>
      </w:r>
    </w:p>
  </w:footnote>
  <w:footnote w:id="56">
    <w:p w14:paraId="4034C4A8" w14:textId="0CB1D312" w:rsidR="007B682B" w:rsidRPr="00E7687D" w:rsidRDefault="007B682B"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Pr>
          <w:rFonts w:asciiTheme="minorHAnsi" w:hAnsiTheme="minorHAnsi" w:cstheme="minorHAnsi"/>
          <w:lang w:val="mi-NZ"/>
        </w:rPr>
        <w:t>S</w:t>
      </w:r>
      <w:r w:rsidRPr="00E7687D">
        <w:rPr>
          <w:rFonts w:asciiTheme="minorHAnsi" w:hAnsiTheme="minorHAnsi" w:cstheme="minorHAnsi"/>
          <w:lang w:val="mi-NZ"/>
        </w:rPr>
        <w:t xml:space="preserve">ee paras </w:t>
      </w:r>
      <w:r w:rsidR="000868D4">
        <w:rPr>
          <w:rFonts w:asciiTheme="minorHAnsi" w:hAnsiTheme="minorHAnsi" w:cstheme="minorHAnsi"/>
          <w:lang w:val="mi-NZ"/>
        </w:rPr>
        <w:t>63</w:t>
      </w:r>
      <w:r w:rsidRPr="00E7687D">
        <w:rPr>
          <w:rFonts w:asciiTheme="minorHAnsi" w:hAnsiTheme="minorHAnsi" w:cstheme="minorHAnsi"/>
          <w:lang w:val="mi-NZ"/>
        </w:rPr>
        <w:t xml:space="preserve"> to </w:t>
      </w:r>
      <w:r w:rsidR="000868D4">
        <w:rPr>
          <w:rFonts w:asciiTheme="minorHAnsi" w:hAnsiTheme="minorHAnsi" w:cstheme="minorHAnsi"/>
          <w:lang w:val="mi-NZ"/>
        </w:rPr>
        <w:t>65</w:t>
      </w:r>
      <w:r w:rsidRPr="00E7687D">
        <w:rPr>
          <w:rFonts w:asciiTheme="minorHAnsi" w:hAnsiTheme="minorHAnsi" w:cstheme="minorHAnsi"/>
          <w:lang w:val="mi-NZ"/>
        </w:rPr>
        <w:t xml:space="preserve"> below</w:t>
      </w:r>
      <w:r w:rsidR="00150177">
        <w:rPr>
          <w:rFonts w:asciiTheme="minorHAnsi" w:hAnsiTheme="minorHAnsi" w:cstheme="minorHAnsi"/>
          <w:lang w:val="mi-NZ"/>
        </w:rPr>
        <w:t>.</w:t>
      </w:r>
    </w:p>
  </w:footnote>
  <w:footnote w:id="57">
    <w:p w14:paraId="4369345A" w14:textId="6BB7670B" w:rsidR="007B682B" w:rsidRPr="00D20757" w:rsidRDefault="007B682B" w:rsidP="00E20FF1">
      <w:pPr>
        <w:pStyle w:val="FootnoteText"/>
        <w:rPr>
          <w:lang w:val="mi-NZ"/>
        </w:rPr>
      </w:pPr>
      <w:r>
        <w:rPr>
          <w:rStyle w:val="FootnoteReference"/>
        </w:rPr>
        <w:footnoteRef/>
      </w:r>
      <w:r>
        <w:t xml:space="preserve"> </w:t>
      </w:r>
      <w:hyperlink r:id="rId28" w:history="1">
        <w:r w:rsidR="000868D4" w:rsidRPr="00F06804">
          <w:rPr>
            <w:rStyle w:val="Hyperlink"/>
            <w:rFonts w:asciiTheme="minorHAnsi" w:eastAsiaTheme="minorHAnsi" w:hAnsiTheme="minorHAnsi" w:cstheme="minorHAnsi"/>
            <w:lang w:val="en-GB" w:eastAsia="en-US"/>
          </w:rPr>
          <w:t>https://www.tengakaukahukura.nz/banning-conversion-practices</w:t>
        </w:r>
      </w:hyperlink>
      <w:r w:rsidR="000868D4">
        <w:rPr>
          <w:rFonts w:asciiTheme="minorHAnsi" w:eastAsiaTheme="minorHAnsi" w:hAnsiTheme="minorHAnsi" w:cstheme="minorHAnsi"/>
          <w:color w:val="000000"/>
          <w:lang w:val="en-GB" w:eastAsia="en-US"/>
        </w:rPr>
        <w:t xml:space="preserve"> </w:t>
      </w:r>
    </w:p>
  </w:footnote>
  <w:footnote w:id="58">
    <w:p w14:paraId="19F84CC5" w14:textId="77777777" w:rsidR="00DA7899" w:rsidRPr="005007A8" w:rsidRDefault="00DA7899" w:rsidP="00E20FF1">
      <w:pPr>
        <w:pStyle w:val="FootnoteText"/>
        <w:rPr>
          <w:rFonts w:asciiTheme="minorHAnsi" w:hAnsiTheme="minorHAnsi" w:cstheme="minorHAnsi"/>
          <w:lang w:val="mi-NZ"/>
        </w:rPr>
      </w:pPr>
      <w:r w:rsidRPr="005007A8">
        <w:rPr>
          <w:rStyle w:val="FootnoteReference"/>
          <w:rFonts w:asciiTheme="minorHAnsi" w:hAnsiTheme="minorHAnsi" w:cstheme="minorHAnsi"/>
        </w:rPr>
        <w:footnoteRef/>
      </w:r>
      <w:r w:rsidRPr="005007A8">
        <w:rPr>
          <w:rFonts w:asciiTheme="minorHAnsi" w:hAnsiTheme="minorHAnsi" w:cstheme="minorHAnsi"/>
        </w:rPr>
        <w:t xml:space="preserve"> </w:t>
      </w:r>
      <w:r w:rsidRPr="005007A8">
        <w:rPr>
          <w:rFonts w:asciiTheme="minorHAnsi" w:hAnsiTheme="minorHAnsi" w:cstheme="minorHAnsi"/>
          <w:lang w:val="mi-NZ"/>
        </w:rPr>
        <w:t xml:space="preserve">12-year-old boy quoted in Children’s Commissioner (2020) </w:t>
      </w:r>
      <w:r w:rsidRPr="005007A8">
        <w:rPr>
          <w:rFonts w:asciiTheme="minorHAnsi" w:hAnsiTheme="minorHAnsi" w:cstheme="minorHAnsi"/>
          <w:i/>
          <w:iCs/>
          <w:lang w:val="mi-NZ"/>
        </w:rPr>
        <w:t>Life in Lockdown: Children and young people’s views on the nationwide COVID-19 level 3 and 4 lockdown between March and May 2020</w:t>
      </w:r>
      <w:r w:rsidRPr="005007A8">
        <w:rPr>
          <w:rFonts w:asciiTheme="minorHAnsi" w:hAnsiTheme="minorHAnsi" w:cstheme="minorHAnsi"/>
          <w:lang w:val="mi-NZ"/>
        </w:rPr>
        <w:t xml:space="preserve">, at p. </w:t>
      </w:r>
      <w:r w:rsidRPr="005007A8">
        <w:rPr>
          <w:rFonts w:asciiTheme="minorHAnsi" w:hAnsiTheme="minorHAnsi" w:cstheme="minorHAnsi"/>
          <w:lang w:val="mi-NZ"/>
        </w:rPr>
        <w:t xml:space="preserve">10:  </w:t>
      </w:r>
      <w:hyperlink r:id="rId29" w:history="1">
        <w:r w:rsidRPr="005007A8">
          <w:rPr>
            <w:rStyle w:val="Hyperlink"/>
            <w:rFonts w:asciiTheme="minorHAnsi" w:hAnsiTheme="minorHAnsi" w:cstheme="minorHAnsi"/>
            <w:lang w:val="mi-NZ"/>
          </w:rPr>
          <w:t>https://www.occ.org.nz/publications/reports/life-in-lockdown/</w:t>
        </w:r>
      </w:hyperlink>
      <w:r w:rsidRPr="005007A8">
        <w:rPr>
          <w:rFonts w:asciiTheme="minorHAnsi" w:hAnsiTheme="minorHAnsi" w:cstheme="minorHAnsi"/>
          <w:lang w:val="mi-NZ"/>
        </w:rPr>
        <w:t xml:space="preserve"> </w:t>
      </w:r>
    </w:p>
  </w:footnote>
  <w:footnote w:id="59">
    <w:p w14:paraId="295DD320" w14:textId="28BF2D0D" w:rsidR="000860B3" w:rsidRPr="00E7687D" w:rsidRDefault="000860B3" w:rsidP="00E20FF1">
      <w:pPr>
        <w:pStyle w:val="FootnoteText"/>
        <w:rPr>
          <w:rFonts w:asciiTheme="minorHAnsi" w:hAnsiTheme="minorHAnsi" w:cstheme="minorHAnsi"/>
          <w:lang w:val="mi-NZ"/>
        </w:rPr>
      </w:pPr>
      <w:r w:rsidRPr="000868D4">
        <w:rPr>
          <w:rStyle w:val="FootnoteReference"/>
          <w:rFonts w:asciiTheme="minorHAnsi" w:hAnsiTheme="minorHAnsi" w:cstheme="minorHAnsi"/>
        </w:rPr>
        <w:footnoteRef/>
      </w:r>
      <w:r w:rsidRPr="000868D4">
        <w:rPr>
          <w:rFonts w:asciiTheme="minorHAnsi" w:hAnsiTheme="minorHAnsi" w:cstheme="minorHAnsi"/>
        </w:rPr>
        <w:t xml:space="preserve"> </w:t>
      </w:r>
      <w:r w:rsidR="000868D4">
        <w:rPr>
          <w:rFonts w:asciiTheme="minorHAnsi" w:hAnsiTheme="minorHAnsi" w:cstheme="minorHAnsi"/>
          <w:lang w:val="mi-NZ"/>
        </w:rPr>
        <w:t>Quote provided by</w:t>
      </w:r>
      <w:r w:rsidRPr="000868D4">
        <w:rPr>
          <w:rFonts w:asciiTheme="minorHAnsi" w:hAnsiTheme="minorHAnsi" w:cstheme="minorHAnsi"/>
          <w:lang w:val="mi-NZ"/>
        </w:rPr>
        <w:t xml:space="preserve"> VOYCE</w:t>
      </w:r>
      <w:r w:rsidR="000868D4">
        <w:rPr>
          <w:rFonts w:asciiTheme="minorHAnsi" w:hAnsiTheme="minorHAnsi" w:cstheme="minorHAnsi"/>
          <w:lang w:val="mi-NZ"/>
        </w:rPr>
        <w:t>-Whakarongo Mai.</w:t>
      </w:r>
    </w:p>
  </w:footnote>
  <w:footnote w:id="60">
    <w:p w14:paraId="0F794832" w14:textId="77777777" w:rsidR="000860B3" w:rsidRPr="00E7687D" w:rsidRDefault="000860B3"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See, for example, </w:t>
      </w:r>
      <w:hyperlink r:id="rId30" w:history="1">
        <w:r w:rsidRPr="00E7687D">
          <w:rPr>
            <w:rStyle w:val="Hyperlink"/>
            <w:rFonts w:asciiTheme="minorHAnsi" w:eastAsiaTheme="majorEastAsia" w:hAnsiTheme="minorHAnsi" w:cstheme="minorHAnsi"/>
          </w:rPr>
          <w:t>https://www.stuff.co.nz/national/300583894/ghosts-in-the-system-the-price-of-lockdown-for-vulnerable-children-and-families</w:t>
        </w:r>
      </w:hyperlink>
      <w:r w:rsidRPr="00E7687D">
        <w:rPr>
          <w:rFonts w:asciiTheme="minorHAnsi" w:hAnsiTheme="minorHAnsi" w:cstheme="minorHAnsi"/>
        </w:rPr>
        <w:t xml:space="preserve"> </w:t>
      </w:r>
    </w:p>
  </w:footnote>
  <w:footnote w:id="61">
    <w:p w14:paraId="3AD36A46" w14:textId="77777777" w:rsidR="000860B3" w:rsidRPr="00E7687D" w:rsidRDefault="000860B3"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Pr>
          <w:rFonts w:asciiTheme="minorHAnsi" w:hAnsiTheme="minorHAnsi" w:cstheme="minorHAnsi"/>
          <w:lang w:val="mi-NZ"/>
        </w:rPr>
        <w:t xml:space="preserve">KC </w:t>
      </w:r>
      <w:r w:rsidRPr="00E7687D">
        <w:rPr>
          <w:rFonts w:asciiTheme="minorHAnsi" w:hAnsiTheme="minorHAnsi" w:cstheme="minorHAnsi"/>
          <w:lang w:val="mi-NZ"/>
        </w:rPr>
        <w:t xml:space="preserve">Prickett, </w:t>
      </w:r>
      <w:r>
        <w:rPr>
          <w:rFonts w:asciiTheme="minorHAnsi" w:hAnsiTheme="minorHAnsi" w:cstheme="minorHAnsi"/>
          <w:lang w:val="mi-NZ"/>
        </w:rPr>
        <w:t xml:space="preserve">M </w:t>
      </w:r>
      <w:r w:rsidRPr="00E7687D">
        <w:rPr>
          <w:rFonts w:asciiTheme="minorHAnsi" w:hAnsiTheme="minorHAnsi" w:cstheme="minorHAnsi"/>
          <w:lang w:val="mi-NZ"/>
        </w:rPr>
        <w:t xml:space="preserve">Fletcher, </w:t>
      </w:r>
      <w:r>
        <w:rPr>
          <w:rFonts w:asciiTheme="minorHAnsi" w:hAnsiTheme="minorHAnsi" w:cstheme="minorHAnsi"/>
          <w:lang w:val="mi-NZ"/>
        </w:rPr>
        <w:t>S</w:t>
      </w:r>
      <w:r w:rsidRPr="00E7687D">
        <w:rPr>
          <w:rFonts w:asciiTheme="minorHAnsi" w:hAnsiTheme="minorHAnsi" w:cstheme="minorHAnsi"/>
          <w:lang w:val="mi-NZ"/>
        </w:rPr>
        <w:t>chapple</w:t>
      </w:r>
      <w:r>
        <w:rPr>
          <w:rFonts w:asciiTheme="minorHAnsi" w:hAnsiTheme="minorHAnsi" w:cstheme="minorHAnsi"/>
          <w:lang w:val="mi-NZ"/>
        </w:rPr>
        <w:t>,</w:t>
      </w:r>
      <w:r w:rsidRPr="00E7687D">
        <w:rPr>
          <w:rFonts w:asciiTheme="minorHAnsi" w:hAnsiTheme="minorHAnsi" w:cstheme="minorHAnsi"/>
          <w:lang w:val="mi-NZ"/>
        </w:rPr>
        <w:t xml:space="preserve"> et al. (2020) </w:t>
      </w:r>
      <w:r w:rsidRPr="00E7687D">
        <w:rPr>
          <w:rFonts w:asciiTheme="minorHAnsi" w:hAnsiTheme="minorHAnsi" w:cstheme="minorHAnsi"/>
          <w:i/>
          <w:iCs/>
          <w:lang w:val="mi-NZ"/>
        </w:rPr>
        <w:t>Life in Lockdown: The economic and social effect of lockdown during Alert Level 4 in New Zealand</w:t>
      </w:r>
      <w:r>
        <w:rPr>
          <w:rFonts w:asciiTheme="minorHAnsi" w:hAnsiTheme="minorHAnsi" w:cstheme="minorHAnsi"/>
          <w:lang w:val="mi-NZ"/>
        </w:rPr>
        <w:t xml:space="preserve">, </w:t>
      </w:r>
      <w:r w:rsidRPr="00E7687D">
        <w:rPr>
          <w:rFonts w:asciiTheme="minorHAnsi" w:hAnsiTheme="minorHAnsi" w:cstheme="minorHAnsi"/>
          <w:lang w:val="mi-NZ"/>
        </w:rPr>
        <w:t>Ins</w:t>
      </w:r>
      <w:r>
        <w:rPr>
          <w:rFonts w:asciiTheme="minorHAnsi" w:hAnsiTheme="minorHAnsi" w:cstheme="minorHAnsi"/>
          <w:lang w:val="mi-NZ"/>
        </w:rPr>
        <w:t>t</w:t>
      </w:r>
      <w:r w:rsidRPr="00E7687D">
        <w:rPr>
          <w:rFonts w:asciiTheme="minorHAnsi" w:hAnsiTheme="minorHAnsi" w:cstheme="minorHAnsi"/>
          <w:lang w:val="mi-NZ"/>
        </w:rPr>
        <w:t xml:space="preserve">itute for Governance and Policy Studies Working Paper 20/03, at p. 7. </w:t>
      </w:r>
      <w:hyperlink r:id="rId31" w:history="1">
        <w:r w:rsidRPr="00E7687D">
          <w:rPr>
            <w:rStyle w:val="Hyperlink"/>
            <w:rFonts w:asciiTheme="minorHAnsi" w:eastAsiaTheme="majorEastAsia" w:hAnsiTheme="minorHAnsi" w:cstheme="minorHAnsi"/>
            <w:lang w:val="mi-NZ"/>
          </w:rPr>
          <w:t>https://researcharchive.vuw.ac.nz/xmlui/bitstream/handle/10063/9022/WP-20-03-covid-19-life-in-lockdown.pdf?sequence=1</w:t>
        </w:r>
      </w:hyperlink>
      <w:r w:rsidRPr="00E7687D">
        <w:rPr>
          <w:rFonts w:asciiTheme="minorHAnsi" w:hAnsiTheme="minorHAnsi" w:cstheme="minorHAnsi"/>
          <w:lang w:val="mi-NZ"/>
        </w:rPr>
        <w:t xml:space="preserve"> </w:t>
      </w:r>
    </w:p>
  </w:footnote>
  <w:footnote w:id="62">
    <w:p w14:paraId="5BA0DD8A" w14:textId="77777777" w:rsidR="000860B3" w:rsidRPr="00E7687D" w:rsidRDefault="000860B3"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Pr="00E7687D">
        <w:rPr>
          <w:rFonts w:asciiTheme="minorHAnsi" w:hAnsiTheme="minorHAnsi" w:cstheme="minorHAnsi"/>
          <w:lang w:val="mi-NZ"/>
        </w:rPr>
        <w:t xml:space="preserve">This has had knock-on effects on rights such as the right to education. </w:t>
      </w:r>
      <w:r w:rsidRPr="00E7687D">
        <w:rPr>
          <w:rFonts w:asciiTheme="minorHAnsi" w:hAnsiTheme="minorHAnsi" w:cstheme="minorHAnsi"/>
          <w:lang w:val="mi-NZ"/>
        </w:rPr>
        <w:t xml:space="preserve">See, for example, </w:t>
      </w:r>
      <w:r>
        <w:fldChar w:fldCharType="begin"/>
      </w:r>
      <w:r>
        <w:instrText xml:space="preserve"> HYPERLINK "https://www.nzherald.co.nz/nz/covid-19-delta-outbreak-digital-divide-sees-thousands-of-kids-still-without-laptops-internet/5XZKFA63V7VGO5JATBHZMCW2QU/" </w:instrText>
      </w:r>
      <w:r>
        <w:fldChar w:fldCharType="separate"/>
      </w:r>
      <w:r w:rsidRPr="00E7687D">
        <w:rPr>
          <w:rStyle w:val="Hyperlink"/>
          <w:rFonts w:asciiTheme="minorHAnsi" w:eastAsiaTheme="majorEastAsia" w:hAnsiTheme="minorHAnsi" w:cstheme="minorHAnsi"/>
          <w:lang w:val="mi-NZ"/>
        </w:rPr>
        <w:t>https://www.nzherald.co.nz/nz/covid-19-delta-outbreak-digital-divide-sees-thousands-of-kids-still-without-laptops-internet/5XZKFA63V7VGO5JATBHZMCW2QU/</w:t>
      </w:r>
      <w:r>
        <w:rPr>
          <w:rStyle w:val="Hyperlink"/>
          <w:rFonts w:asciiTheme="minorHAnsi" w:eastAsiaTheme="majorEastAsia" w:hAnsiTheme="minorHAnsi" w:cstheme="minorHAnsi"/>
          <w:lang w:val="mi-NZ"/>
        </w:rPr>
        <w:fldChar w:fldCharType="end"/>
      </w:r>
      <w:r w:rsidRPr="00E7687D">
        <w:rPr>
          <w:rFonts w:asciiTheme="minorHAnsi" w:hAnsiTheme="minorHAnsi" w:cstheme="minorHAnsi"/>
          <w:lang w:val="mi-NZ"/>
        </w:rPr>
        <w:t xml:space="preserve"> </w:t>
      </w:r>
    </w:p>
  </w:footnote>
  <w:footnote w:id="63">
    <w:p w14:paraId="455FD65E" w14:textId="77777777" w:rsidR="000860B3" w:rsidRPr="00E7687D" w:rsidRDefault="000860B3"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Pr="00E7687D">
        <w:rPr>
          <w:rFonts w:asciiTheme="minorHAnsi" w:hAnsiTheme="minorHAnsi" w:cstheme="minorHAnsi"/>
          <w:lang w:val="mi-NZ"/>
        </w:rPr>
        <w:t xml:space="preserve">See, for example, </w:t>
      </w:r>
      <w:r>
        <w:fldChar w:fldCharType="begin"/>
      </w:r>
      <w:r>
        <w:instrText xml:space="preserve"> HYPERLINK "https://www.nzherald.co.nz/nz/covid-19-omicron-school-attendance-rates-plummet-below-50-per-cent/IKDM6GBTMBLKXXAW2WA6X4DSPY/" </w:instrText>
      </w:r>
      <w:r>
        <w:fldChar w:fldCharType="separate"/>
      </w:r>
      <w:r w:rsidRPr="00E7687D">
        <w:rPr>
          <w:rStyle w:val="Hyperlink"/>
          <w:rFonts w:asciiTheme="minorHAnsi" w:eastAsiaTheme="majorEastAsia" w:hAnsiTheme="minorHAnsi" w:cstheme="minorHAnsi"/>
          <w:lang w:val="mi-NZ"/>
        </w:rPr>
        <w:t>https://www.nzherald.co.nz/nz/covid-19-omicron-school-attendance-rates-plummet-below-50-per-cent/IKDM6GBTMBLKXXAW2WA6X4DSPY/</w:t>
      </w:r>
      <w:r>
        <w:rPr>
          <w:rStyle w:val="Hyperlink"/>
          <w:rFonts w:asciiTheme="minorHAnsi" w:eastAsiaTheme="majorEastAsia" w:hAnsiTheme="minorHAnsi" w:cstheme="minorHAnsi"/>
          <w:lang w:val="mi-NZ"/>
        </w:rPr>
        <w:fldChar w:fldCharType="end"/>
      </w:r>
      <w:r w:rsidRPr="00E7687D">
        <w:rPr>
          <w:rFonts w:asciiTheme="minorHAnsi" w:hAnsiTheme="minorHAnsi" w:cstheme="minorHAnsi"/>
          <w:lang w:val="mi-NZ"/>
        </w:rPr>
        <w:t xml:space="preserve"> and </w:t>
      </w:r>
      <w:r>
        <w:fldChar w:fldCharType="begin"/>
      </w:r>
      <w:r>
        <w:instrText xml:space="preserve"> HYPERLINK "https://www.nzherald.co.nz/northern-advocate/news/high-employment-covid-19-see-high-rates-of-teens-leave-school-early-principals/INIRW2NZBHI3DHTOVVBCETE22Q/" </w:instrText>
      </w:r>
      <w:r>
        <w:fldChar w:fldCharType="separate"/>
      </w:r>
      <w:r w:rsidRPr="00E7687D">
        <w:rPr>
          <w:rStyle w:val="Hyperlink"/>
          <w:rFonts w:asciiTheme="minorHAnsi" w:eastAsiaTheme="majorEastAsia" w:hAnsiTheme="minorHAnsi" w:cstheme="minorHAnsi"/>
          <w:lang w:val="mi-NZ"/>
        </w:rPr>
        <w:t>https://www.nzherald.co.nz/northern-advocate/news/high-employment-covid-19-see-high-rates-of-teens-leave-school-early-principals/INIRW2NZBHI3DHTOVVBCETE22Q/</w:t>
      </w:r>
      <w:r>
        <w:rPr>
          <w:rStyle w:val="Hyperlink"/>
          <w:rFonts w:asciiTheme="minorHAnsi" w:eastAsiaTheme="majorEastAsia" w:hAnsiTheme="minorHAnsi" w:cstheme="minorHAnsi"/>
          <w:lang w:val="mi-NZ"/>
        </w:rPr>
        <w:fldChar w:fldCharType="end"/>
      </w:r>
      <w:r w:rsidRPr="00E7687D">
        <w:rPr>
          <w:rFonts w:asciiTheme="minorHAnsi" w:hAnsiTheme="minorHAnsi" w:cstheme="minorHAnsi"/>
          <w:lang w:val="mi-NZ"/>
        </w:rPr>
        <w:t xml:space="preserve"> </w:t>
      </w:r>
    </w:p>
  </w:footnote>
  <w:footnote w:id="64">
    <w:p w14:paraId="08AFA8D2" w14:textId="77777777" w:rsidR="000860B3" w:rsidRPr="00E7687D" w:rsidRDefault="000860B3" w:rsidP="00E20FF1">
      <w:pPr>
        <w:pStyle w:val="FootnoteText"/>
        <w:rPr>
          <w:rFonts w:asciiTheme="minorHAnsi" w:hAnsiTheme="minorHAnsi" w:cstheme="minorHAnsi"/>
          <w:b/>
          <w:bCs/>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Pr="00E7687D">
        <w:rPr>
          <w:rFonts w:asciiTheme="minorHAnsi" w:hAnsiTheme="minorHAnsi" w:cstheme="minorHAnsi"/>
          <w:lang w:val="mi-NZ"/>
        </w:rPr>
        <w:t xml:space="preserve">See, for example, commentary from </w:t>
      </w:r>
      <w:r w:rsidRPr="00E7687D">
        <w:rPr>
          <w:rFonts w:asciiTheme="minorHAnsi" w:hAnsiTheme="minorHAnsi" w:cstheme="minorHAnsi"/>
        </w:rPr>
        <w:t xml:space="preserve">Dr </w:t>
      </w:r>
      <w:proofErr w:type="spellStart"/>
      <w:r w:rsidRPr="00E7687D">
        <w:rPr>
          <w:rFonts w:asciiTheme="minorHAnsi" w:hAnsiTheme="minorHAnsi" w:cstheme="minorHAnsi"/>
        </w:rPr>
        <w:t>Hiran</w:t>
      </w:r>
      <w:proofErr w:type="spellEnd"/>
      <w:r w:rsidRPr="00E7687D">
        <w:rPr>
          <w:rFonts w:asciiTheme="minorHAnsi" w:hAnsiTheme="minorHAnsi" w:cstheme="minorHAnsi"/>
        </w:rPr>
        <w:t xml:space="preserve"> </w:t>
      </w:r>
      <w:proofErr w:type="spellStart"/>
      <w:r w:rsidRPr="00E7687D">
        <w:rPr>
          <w:rFonts w:asciiTheme="minorHAnsi" w:hAnsiTheme="minorHAnsi" w:cstheme="minorHAnsi"/>
        </w:rPr>
        <w:t>Thabrew</w:t>
      </w:r>
      <w:proofErr w:type="spellEnd"/>
      <w:r w:rsidRPr="00E7687D">
        <w:rPr>
          <w:rFonts w:asciiTheme="minorHAnsi" w:hAnsiTheme="minorHAnsi" w:cstheme="minorHAnsi"/>
        </w:rPr>
        <w:t>, Child psychiatrist, paediatrician and child mental health researcher, University of Auckland and Auckland District Health Board</w:t>
      </w:r>
      <w:r>
        <w:rPr>
          <w:rFonts w:asciiTheme="minorHAnsi" w:hAnsiTheme="minorHAnsi" w:cstheme="minorHAnsi"/>
        </w:rPr>
        <w:t xml:space="preserve">: </w:t>
      </w:r>
      <w:hyperlink r:id="rId32" w:anchor="child" w:history="1">
        <w:r w:rsidRPr="00247584">
          <w:rPr>
            <w:rStyle w:val="Hyperlink"/>
            <w:rFonts w:asciiTheme="minorHAnsi" w:eastAsiaTheme="majorEastAsia" w:hAnsiTheme="minorHAnsi" w:cstheme="minorHAnsi"/>
          </w:rPr>
          <w:t>https://www.sciencemediacentre.co.nz/2022/03/21/two-years-since-nz-first-locked-down-expert-reaction/#child</w:t>
        </w:r>
      </w:hyperlink>
      <w:r w:rsidRPr="00E7687D">
        <w:rPr>
          <w:rFonts w:asciiTheme="minorHAnsi" w:hAnsiTheme="minorHAnsi" w:cstheme="minorHAnsi"/>
        </w:rPr>
        <w:t xml:space="preserve">. Dr </w:t>
      </w:r>
      <w:proofErr w:type="spellStart"/>
      <w:r w:rsidRPr="00E7687D">
        <w:rPr>
          <w:rFonts w:asciiTheme="minorHAnsi" w:hAnsiTheme="minorHAnsi" w:cstheme="minorHAnsi"/>
        </w:rPr>
        <w:t>Thabrew</w:t>
      </w:r>
      <w:proofErr w:type="spellEnd"/>
      <w:r w:rsidRPr="00E7687D">
        <w:rPr>
          <w:rFonts w:asciiTheme="minorHAnsi" w:hAnsiTheme="minorHAnsi" w:cstheme="minorHAnsi"/>
        </w:rPr>
        <w:t xml:space="preserve"> note</w:t>
      </w:r>
      <w:r>
        <w:rPr>
          <w:rFonts w:asciiTheme="minorHAnsi" w:hAnsiTheme="minorHAnsi" w:cstheme="minorHAnsi"/>
        </w:rPr>
        <w:t>d</w:t>
      </w:r>
      <w:r w:rsidRPr="00E7687D">
        <w:rPr>
          <w:rFonts w:asciiTheme="minorHAnsi" w:hAnsiTheme="minorHAnsi" w:cstheme="minorHAnsi"/>
        </w:rPr>
        <w:t xml:space="preserve"> the anxiety experienced by many children about the virus</w:t>
      </w:r>
      <w:r>
        <w:rPr>
          <w:rFonts w:asciiTheme="minorHAnsi" w:hAnsiTheme="minorHAnsi" w:cstheme="minorHAnsi"/>
        </w:rPr>
        <w:t xml:space="preserve"> and</w:t>
      </w:r>
      <w:r w:rsidRPr="00E7687D">
        <w:rPr>
          <w:rFonts w:asciiTheme="minorHAnsi" w:hAnsiTheme="minorHAnsi" w:cstheme="minorHAnsi"/>
        </w:rPr>
        <w:t xml:space="preserve"> the higher likelihood of children developing clinical levels of anxiety; the </w:t>
      </w:r>
      <w:proofErr w:type="gramStart"/>
      <w:r w:rsidRPr="00E7687D">
        <w:rPr>
          <w:rFonts w:asciiTheme="minorHAnsi" w:hAnsiTheme="minorHAnsi" w:cstheme="minorHAnsi"/>
        </w:rPr>
        <w:t>particular challenges</w:t>
      </w:r>
      <w:proofErr w:type="gramEnd"/>
      <w:r w:rsidRPr="00E7687D">
        <w:rPr>
          <w:rFonts w:asciiTheme="minorHAnsi" w:hAnsiTheme="minorHAnsi" w:cstheme="minorHAnsi"/>
        </w:rPr>
        <w:t xml:space="preserve"> for those with neurodevelopmental issues due to rapid changes to their routines; increased rates of emotional dysregulation and hospital presentations following self-harm; and increases in rates of children with eating disorders.</w:t>
      </w:r>
    </w:p>
  </w:footnote>
  <w:footnote w:id="65">
    <w:p w14:paraId="55EC3D81" w14:textId="5F50C5F7" w:rsidR="000860B3" w:rsidRPr="00E7687D" w:rsidRDefault="000860B3"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proofErr w:type="spellStart"/>
      <w:r w:rsidRPr="00E7687D">
        <w:rPr>
          <w:rFonts w:asciiTheme="minorHAnsi" w:hAnsiTheme="minorHAnsi" w:cstheme="minorHAnsi"/>
        </w:rPr>
        <w:t>Barnardos</w:t>
      </w:r>
      <w:proofErr w:type="spellEnd"/>
      <w:r w:rsidRPr="00E7687D">
        <w:rPr>
          <w:rFonts w:asciiTheme="minorHAnsi" w:hAnsiTheme="minorHAnsi" w:cstheme="minorHAnsi"/>
        </w:rPr>
        <w:t xml:space="preserve"> 0800 What</w:t>
      </w:r>
      <w:r>
        <w:rPr>
          <w:rFonts w:asciiTheme="minorHAnsi" w:hAnsiTheme="minorHAnsi" w:cstheme="minorHAnsi"/>
        </w:rPr>
        <w:t xml:space="preserve">’s </w:t>
      </w:r>
      <w:r w:rsidRPr="00E7687D">
        <w:rPr>
          <w:rFonts w:asciiTheme="minorHAnsi" w:hAnsiTheme="minorHAnsi" w:cstheme="minorHAnsi"/>
        </w:rPr>
        <w:t>U</w:t>
      </w:r>
      <w:r>
        <w:rPr>
          <w:rFonts w:asciiTheme="minorHAnsi" w:hAnsiTheme="minorHAnsi" w:cstheme="minorHAnsi"/>
        </w:rPr>
        <w:t>p</w:t>
      </w:r>
      <w:r w:rsidRPr="00E7687D">
        <w:rPr>
          <w:rFonts w:asciiTheme="minorHAnsi" w:hAnsiTheme="minorHAnsi" w:cstheme="minorHAnsi"/>
        </w:rPr>
        <w:t xml:space="preserve"> experienced </w:t>
      </w:r>
      <w:r w:rsidRPr="00E7687D">
        <w:rPr>
          <w:rFonts w:asciiTheme="minorHAnsi" w:eastAsiaTheme="minorHAnsi" w:hAnsiTheme="minorHAnsi" w:cstheme="minorHAnsi"/>
          <w:color w:val="000000"/>
          <w:lang w:val="en-GB" w:eastAsia="en-US"/>
        </w:rPr>
        <w:t>a significant dip in the number of children calling and a significant rise in the number of children engaging via chat during the initial nationwide lockdown in March-May 2020. Usually (outside of the 2020 lockdown) many children called from outside home, from school or after school, sharing phones or on a pay phone. The service note</w:t>
      </w:r>
      <w:r>
        <w:rPr>
          <w:rFonts w:asciiTheme="minorHAnsi" w:eastAsiaTheme="minorHAnsi" w:hAnsiTheme="minorHAnsi" w:cstheme="minorHAnsi"/>
          <w:color w:val="000000"/>
          <w:lang w:val="en-GB" w:eastAsia="en-US"/>
        </w:rPr>
        <w:t>d</w:t>
      </w:r>
      <w:r w:rsidRPr="00E7687D">
        <w:rPr>
          <w:rFonts w:asciiTheme="minorHAnsi" w:eastAsiaTheme="minorHAnsi" w:hAnsiTheme="minorHAnsi" w:cstheme="minorHAnsi"/>
          <w:color w:val="000000"/>
          <w:lang w:val="en-GB" w:eastAsia="en-US"/>
        </w:rPr>
        <w:t xml:space="preserve"> that many children do not have their own phones or access to a landline at home, and that the loss of privacy during lockdown likely resulted in many children not calling because they did not have their own space or did not want to be overheard. For some children, home is also not a safe space, meaning they will have felt scared to reach out. </w:t>
      </w:r>
    </w:p>
  </w:footnote>
  <w:footnote w:id="66">
    <w:p w14:paraId="63006710" w14:textId="77777777" w:rsidR="000860B3" w:rsidRPr="00E7687D" w:rsidRDefault="000860B3"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Pr="00E7687D">
        <w:rPr>
          <w:rFonts w:asciiTheme="minorHAnsi" w:eastAsiaTheme="minorHAnsi" w:hAnsiTheme="minorHAnsi" w:cstheme="minorHAnsi"/>
          <w:color w:val="000000"/>
          <w:lang w:val="en-GB" w:eastAsia="en-US"/>
        </w:rPr>
        <w:t xml:space="preserve">An increase of 137% from the same time in 2019, as reported by </w:t>
      </w:r>
      <w:proofErr w:type="spellStart"/>
      <w:r w:rsidRPr="00E7687D">
        <w:rPr>
          <w:rFonts w:asciiTheme="minorHAnsi" w:eastAsiaTheme="minorHAnsi" w:hAnsiTheme="minorHAnsi" w:cstheme="minorHAnsi"/>
          <w:color w:val="000000"/>
          <w:lang w:val="en-GB" w:eastAsia="en-US"/>
        </w:rPr>
        <w:t>Barnardos</w:t>
      </w:r>
      <w:proofErr w:type="spellEnd"/>
      <w:r w:rsidRPr="00E7687D">
        <w:rPr>
          <w:rFonts w:asciiTheme="minorHAnsi" w:eastAsiaTheme="minorHAnsi" w:hAnsiTheme="minorHAnsi" w:cstheme="minorHAnsi"/>
          <w:color w:val="000000"/>
          <w:lang w:val="en-GB" w:eastAsia="en-US"/>
        </w:rPr>
        <w:t xml:space="preserve"> 0800 What</w:t>
      </w:r>
      <w:r>
        <w:rPr>
          <w:rFonts w:asciiTheme="minorHAnsi" w:eastAsiaTheme="minorHAnsi" w:hAnsiTheme="minorHAnsi" w:cstheme="minorHAnsi"/>
          <w:color w:val="000000"/>
          <w:lang w:val="en-GB" w:eastAsia="en-US"/>
        </w:rPr>
        <w:t>’s Up</w:t>
      </w:r>
      <w:r w:rsidRPr="00E7687D">
        <w:rPr>
          <w:rFonts w:asciiTheme="minorHAnsi" w:eastAsiaTheme="minorHAnsi" w:hAnsiTheme="minorHAnsi" w:cstheme="minorHAnsi"/>
          <w:color w:val="000000"/>
          <w:lang w:val="en-GB" w:eastAsia="en-US"/>
        </w:rPr>
        <w:t xml:space="preserve">. </w:t>
      </w:r>
    </w:p>
  </w:footnote>
  <w:footnote w:id="67">
    <w:p w14:paraId="7253FB57" w14:textId="77777777" w:rsidR="00C64578" w:rsidRPr="00E7687D" w:rsidRDefault="00C64578"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hyperlink r:id="rId33" w:history="1">
        <w:r w:rsidRPr="00E7687D">
          <w:rPr>
            <w:rStyle w:val="Hyperlink"/>
            <w:rFonts w:asciiTheme="minorHAnsi" w:eastAsiaTheme="majorEastAsia" w:hAnsiTheme="minorHAnsi" w:cstheme="minorHAnsi"/>
            <w:lang w:val="mi-NZ"/>
          </w:rPr>
          <w:t>https://www.nzcer.org.nz/research/publications/learning-during-lockdown</w:t>
        </w:r>
      </w:hyperlink>
      <w:r w:rsidRPr="00E7687D">
        <w:rPr>
          <w:rFonts w:asciiTheme="minorHAnsi" w:hAnsiTheme="minorHAnsi" w:cstheme="minorHAnsi"/>
          <w:lang w:val="mi-NZ"/>
        </w:rPr>
        <w:t xml:space="preserve">, </w:t>
      </w:r>
      <w:r>
        <w:rPr>
          <w:rFonts w:asciiTheme="minorHAnsi" w:hAnsiTheme="minorHAnsi" w:cstheme="minorHAnsi"/>
          <w:lang w:val="mi-NZ"/>
        </w:rPr>
        <w:t>S</w:t>
      </w:r>
      <w:r w:rsidRPr="00E7687D">
        <w:rPr>
          <w:rFonts w:asciiTheme="minorHAnsi" w:hAnsiTheme="minorHAnsi" w:cstheme="minorHAnsi"/>
          <w:lang w:val="mi-NZ"/>
        </w:rPr>
        <w:t xml:space="preserve">ummary </w:t>
      </w:r>
      <w:r>
        <w:rPr>
          <w:rFonts w:asciiTheme="minorHAnsi" w:hAnsiTheme="minorHAnsi" w:cstheme="minorHAnsi"/>
          <w:lang w:val="mi-NZ"/>
        </w:rPr>
        <w:t>R</w:t>
      </w:r>
      <w:r w:rsidRPr="00E7687D">
        <w:rPr>
          <w:rFonts w:asciiTheme="minorHAnsi" w:hAnsiTheme="minorHAnsi" w:cstheme="minorHAnsi"/>
          <w:lang w:val="mi-NZ"/>
        </w:rPr>
        <w:t>eport</w:t>
      </w:r>
      <w:r>
        <w:rPr>
          <w:rFonts w:asciiTheme="minorHAnsi" w:hAnsiTheme="minorHAnsi" w:cstheme="minorHAnsi"/>
          <w:lang w:val="mi-NZ"/>
        </w:rPr>
        <w:t>, at</w:t>
      </w:r>
      <w:r w:rsidRPr="002E016F">
        <w:rPr>
          <w:rFonts w:asciiTheme="minorHAnsi" w:hAnsiTheme="minorHAnsi" w:cstheme="minorHAnsi"/>
          <w:lang w:val="mi-NZ"/>
        </w:rPr>
        <w:t xml:space="preserve"> </w:t>
      </w:r>
      <w:r w:rsidRPr="00E7687D">
        <w:rPr>
          <w:rFonts w:asciiTheme="minorHAnsi" w:hAnsiTheme="minorHAnsi" w:cstheme="minorHAnsi"/>
          <w:lang w:val="mi-NZ"/>
        </w:rPr>
        <w:t>p</w:t>
      </w:r>
      <w:r>
        <w:rPr>
          <w:rFonts w:asciiTheme="minorHAnsi" w:hAnsiTheme="minorHAnsi" w:cstheme="minorHAnsi"/>
          <w:lang w:val="mi-NZ"/>
        </w:rPr>
        <w:t>.</w:t>
      </w:r>
      <w:r w:rsidRPr="00E7687D">
        <w:rPr>
          <w:rFonts w:asciiTheme="minorHAnsi" w:hAnsiTheme="minorHAnsi" w:cstheme="minorHAnsi"/>
          <w:lang w:val="mi-NZ"/>
        </w:rPr>
        <w:t xml:space="preserve"> 4</w:t>
      </w:r>
      <w:r>
        <w:rPr>
          <w:rFonts w:asciiTheme="minorHAnsi" w:hAnsiTheme="minorHAnsi" w:cstheme="minorHAnsi"/>
          <w:lang w:val="mi-NZ"/>
        </w:rPr>
        <w:t>.</w:t>
      </w:r>
    </w:p>
  </w:footnote>
  <w:footnote w:id="68">
    <w:p w14:paraId="138818CA" w14:textId="77777777" w:rsidR="000860B3" w:rsidRPr="00E7687D" w:rsidRDefault="000860B3"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hyperlink r:id="rId34" w:history="1">
        <w:r w:rsidRPr="00E7687D">
          <w:rPr>
            <w:rFonts w:asciiTheme="minorHAnsi" w:eastAsiaTheme="minorHAnsi" w:hAnsiTheme="minorHAnsi" w:cstheme="minorHAnsi"/>
            <w:color w:val="094FD1"/>
            <w:u w:val="single" w:color="094FD1"/>
            <w:lang w:val="en-GB" w:eastAsia="en-US"/>
          </w:rPr>
          <w:t>https://www.occ.org.nz/publications/reports/life-in-lockdown/</w:t>
        </w:r>
      </w:hyperlink>
      <w:r w:rsidRPr="00E7687D">
        <w:rPr>
          <w:rFonts w:asciiTheme="minorHAnsi" w:eastAsiaTheme="minorHAnsi" w:hAnsiTheme="minorHAnsi" w:cstheme="minorHAnsi"/>
          <w:lang w:val="en-GB" w:eastAsia="en-US"/>
        </w:rPr>
        <w:t xml:space="preserve"> </w:t>
      </w:r>
    </w:p>
  </w:footnote>
  <w:footnote w:id="69">
    <w:p w14:paraId="2D2D67E4" w14:textId="77777777" w:rsidR="00DA7899" w:rsidRPr="00E7687D" w:rsidRDefault="00DA7899"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Pr="00E7687D">
        <w:rPr>
          <w:rFonts w:asciiTheme="minorHAnsi" w:hAnsiTheme="minorHAnsi" w:cstheme="minorHAnsi"/>
          <w:lang w:val="mi-NZ"/>
        </w:rPr>
        <w:t xml:space="preserve">See, for example, </w:t>
      </w:r>
      <w:hyperlink r:id="rId35" w:history="1">
        <w:r w:rsidRPr="00E7687D">
          <w:rPr>
            <w:rStyle w:val="Hyperlink"/>
            <w:rFonts w:asciiTheme="minorHAnsi" w:eastAsiaTheme="majorEastAsia" w:hAnsiTheme="minorHAnsi" w:cstheme="minorHAnsi"/>
            <w:lang w:val="mi-NZ"/>
          </w:rPr>
          <w:t>https://ero.govt.nz/sites/default/files/2021-04/Learning%20in%20a%20Covid-19%20World%20The%20Impact%20of%20Covid-19%20on%20Early%20Childhood%20Education.pdf</w:t>
        </w:r>
      </w:hyperlink>
      <w:r w:rsidRPr="00E7687D">
        <w:rPr>
          <w:rFonts w:asciiTheme="minorHAnsi" w:hAnsiTheme="minorHAnsi" w:cstheme="minorHAnsi"/>
          <w:lang w:val="mi-NZ"/>
        </w:rPr>
        <w:t xml:space="preserve">, which discusses the impact of COVID-19 on Early Childhood Education. </w:t>
      </w:r>
    </w:p>
  </w:footnote>
  <w:footnote w:id="70">
    <w:p w14:paraId="7E9B7061" w14:textId="77777777" w:rsidR="003263A6" w:rsidRPr="00E7687D" w:rsidRDefault="003263A6"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Pr="00E7687D">
        <w:rPr>
          <w:rFonts w:asciiTheme="minorHAnsi" w:hAnsiTheme="minorHAnsi" w:cstheme="minorHAnsi"/>
          <w:lang w:val="mi-NZ"/>
        </w:rPr>
        <w:t xml:space="preserve">See, for example, </w:t>
      </w:r>
      <w:r>
        <w:fldChar w:fldCharType="begin"/>
      </w:r>
      <w:r>
        <w:instrText xml:space="preserve"> HYPERLINK "https://www.rnz.co.nz/news/national/453549/auckland-lockdown-more-than-half-of-students-drop-off-radar-at-some-schools" </w:instrText>
      </w:r>
      <w:r>
        <w:fldChar w:fldCharType="separate"/>
      </w:r>
      <w:r w:rsidRPr="00E7687D">
        <w:rPr>
          <w:rStyle w:val="Hyperlink"/>
          <w:rFonts w:asciiTheme="minorHAnsi" w:eastAsiaTheme="majorEastAsia" w:hAnsiTheme="minorHAnsi" w:cstheme="minorHAnsi"/>
          <w:lang w:val="mi-NZ"/>
        </w:rPr>
        <w:t>https://www.rnz.co.nz/news/national/453549/auckland-lockdown-more-than-half-of-students-drop-off-radar-at-some-schools</w:t>
      </w:r>
      <w:r>
        <w:rPr>
          <w:rStyle w:val="Hyperlink"/>
          <w:rFonts w:asciiTheme="minorHAnsi" w:eastAsiaTheme="majorEastAsia" w:hAnsiTheme="minorHAnsi" w:cstheme="minorHAnsi"/>
          <w:lang w:val="mi-NZ"/>
        </w:rPr>
        <w:fldChar w:fldCharType="end"/>
      </w:r>
      <w:r w:rsidRPr="00E7687D">
        <w:rPr>
          <w:rFonts w:asciiTheme="minorHAnsi" w:hAnsiTheme="minorHAnsi" w:cstheme="minorHAnsi"/>
          <w:lang w:val="mi-NZ"/>
        </w:rPr>
        <w:t xml:space="preserve"> </w:t>
      </w:r>
    </w:p>
  </w:footnote>
  <w:footnote w:id="71">
    <w:p w14:paraId="2C333B64" w14:textId="3BAF2C54" w:rsidR="003263A6" w:rsidRPr="00E7687D" w:rsidRDefault="003263A6"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See, for example,  </w:t>
      </w:r>
      <w:hyperlink r:id="rId36" w:history="1">
        <w:r w:rsidRPr="00A17B56">
          <w:rPr>
            <w:rFonts w:asciiTheme="minorHAnsi" w:eastAsiaTheme="minorHAnsi" w:hAnsiTheme="minorHAnsi" w:cstheme="minorHAnsi"/>
            <w:color w:val="25409A" w:themeColor="text2"/>
            <w:u w:val="single" w:color="094FD1"/>
            <w:lang w:val="en-GB" w:eastAsia="en-US"/>
          </w:rPr>
          <w:t>https://www.theguardian.com/world/2022/jul/06/new-zealand-principals-voice-alarm-as-students-fail-return-to-school-after-covid-lockdowns</w:t>
        </w:r>
      </w:hyperlink>
      <w:r w:rsidRPr="00A17B56">
        <w:rPr>
          <w:rFonts w:asciiTheme="minorHAnsi" w:eastAsiaTheme="minorHAnsi" w:hAnsiTheme="minorHAnsi" w:cstheme="minorHAnsi"/>
          <w:color w:val="25409A" w:themeColor="text2"/>
          <w:u w:val="single" w:color="094FD1"/>
          <w:lang w:val="en-GB" w:eastAsia="en-US"/>
        </w:rPr>
        <w:t xml:space="preserve"> </w:t>
      </w:r>
      <w:r w:rsidRPr="00E7687D">
        <w:rPr>
          <w:rFonts w:asciiTheme="minorHAnsi" w:hAnsiTheme="minorHAnsi" w:cstheme="minorHAnsi"/>
        </w:rPr>
        <w:t xml:space="preserve">See also paras </w:t>
      </w:r>
      <w:r w:rsidR="000868D4">
        <w:rPr>
          <w:rFonts w:asciiTheme="minorHAnsi" w:hAnsiTheme="minorHAnsi" w:cstheme="minorHAnsi"/>
        </w:rPr>
        <w:t>215</w:t>
      </w:r>
      <w:r w:rsidRPr="00E7687D">
        <w:rPr>
          <w:rFonts w:asciiTheme="minorHAnsi" w:hAnsiTheme="minorHAnsi" w:cstheme="minorHAnsi"/>
        </w:rPr>
        <w:t xml:space="preserve"> to </w:t>
      </w:r>
      <w:r w:rsidR="000868D4">
        <w:rPr>
          <w:rFonts w:asciiTheme="minorHAnsi" w:hAnsiTheme="minorHAnsi" w:cstheme="minorHAnsi"/>
        </w:rPr>
        <w:t>216</w:t>
      </w:r>
      <w:r w:rsidRPr="00E7687D">
        <w:rPr>
          <w:rFonts w:asciiTheme="minorHAnsi" w:hAnsiTheme="minorHAnsi" w:cstheme="minorHAnsi"/>
        </w:rPr>
        <w:t xml:space="preserve"> below.  </w:t>
      </w:r>
    </w:p>
  </w:footnote>
  <w:footnote w:id="72">
    <w:p w14:paraId="447A326F" w14:textId="77777777" w:rsidR="003263A6" w:rsidRPr="00E7687D" w:rsidRDefault="003263A6"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Pr="00E7687D">
        <w:rPr>
          <w:rFonts w:asciiTheme="minorHAnsi" w:hAnsiTheme="minorHAnsi" w:cstheme="minorHAnsi"/>
          <w:lang w:val="mi-NZ"/>
        </w:rPr>
        <w:t xml:space="preserve">See, for example, </w:t>
      </w:r>
      <w:hyperlink r:id="rId37" w:history="1">
        <w:r w:rsidRPr="00E7687D">
          <w:rPr>
            <w:rStyle w:val="Hyperlink"/>
            <w:rFonts w:asciiTheme="minorHAnsi" w:eastAsiaTheme="majorEastAsia" w:hAnsiTheme="minorHAnsi" w:cstheme="minorHAnsi"/>
            <w:lang w:val="mi-NZ"/>
          </w:rPr>
          <w:t>https://www.rnz.co.nz/news/national/453878/digital-divide-food-costs-hit-hard-for-some-families-after-long-lockdown</w:t>
        </w:r>
      </w:hyperlink>
      <w:r w:rsidRPr="00E7687D">
        <w:rPr>
          <w:rFonts w:asciiTheme="minorHAnsi" w:hAnsiTheme="minorHAnsi" w:cstheme="minorHAnsi"/>
          <w:lang w:val="mi-NZ"/>
        </w:rPr>
        <w:t xml:space="preserve"> </w:t>
      </w:r>
    </w:p>
  </w:footnote>
  <w:footnote w:id="73">
    <w:p w14:paraId="0428E7F8" w14:textId="77777777" w:rsidR="00803A18" w:rsidRPr="00E7687D" w:rsidRDefault="00803A18"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See, for example, the </w:t>
      </w:r>
      <w:proofErr w:type="spellStart"/>
      <w:r w:rsidRPr="00E7687D">
        <w:rPr>
          <w:rFonts w:asciiTheme="minorHAnsi" w:hAnsiTheme="minorHAnsi" w:cstheme="minorHAnsi"/>
        </w:rPr>
        <w:t>Kōkiri</w:t>
      </w:r>
      <w:proofErr w:type="spellEnd"/>
      <w:r w:rsidRPr="00E7687D">
        <w:rPr>
          <w:rFonts w:asciiTheme="minorHAnsi" w:hAnsiTheme="minorHAnsi" w:cstheme="minorHAnsi"/>
        </w:rPr>
        <w:t xml:space="preserve"> Marae case study on p. 29 of </w:t>
      </w:r>
      <w:r w:rsidRPr="00E7687D">
        <w:rPr>
          <w:rFonts w:asciiTheme="minorHAnsi" w:hAnsiTheme="minorHAnsi" w:cstheme="minorHAnsi"/>
          <w:i/>
          <w:iCs/>
        </w:rPr>
        <w:t>Getting it right:</w:t>
      </w:r>
      <w:r w:rsidRPr="00E7687D">
        <w:rPr>
          <w:rFonts w:asciiTheme="minorHAnsi" w:hAnsiTheme="minorHAnsi" w:cstheme="minorHAnsi"/>
        </w:rPr>
        <w:t xml:space="preserve"> </w:t>
      </w:r>
      <w:r w:rsidRPr="00E7687D">
        <w:rPr>
          <w:rFonts w:asciiTheme="minorHAnsi" w:hAnsiTheme="minorHAnsi" w:cstheme="minorHAnsi"/>
          <w:i/>
          <w:iCs/>
        </w:rPr>
        <w:t>Children’s rights in the COVID-19 response</w:t>
      </w:r>
      <w:r w:rsidRPr="00E7687D">
        <w:rPr>
          <w:rFonts w:asciiTheme="minorHAnsi" w:hAnsiTheme="minorHAnsi" w:cstheme="minorHAnsi"/>
        </w:rPr>
        <w:t xml:space="preserve">; </w:t>
      </w:r>
      <w:hyperlink r:id="rId38" w:history="1">
        <w:r w:rsidRPr="00E7687D">
          <w:rPr>
            <w:rStyle w:val="Hyperlink"/>
            <w:rFonts w:asciiTheme="minorHAnsi" w:eastAsiaTheme="majorEastAsia" w:hAnsiTheme="minorHAnsi" w:cstheme="minorHAnsi"/>
          </w:rPr>
          <w:t>https://www.occ.org.nz/publications/reports/childrens-rights-in-covid19/</w:t>
        </w:r>
      </w:hyperlink>
      <w:r w:rsidRPr="00E7687D">
        <w:rPr>
          <w:rFonts w:asciiTheme="minorHAnsi" w:hAnsiTheme="minorHAnsi" w:cstheme="minorHAnsi"/>
        </w:rPr>
        <w:t xml:space="preserve"> </w:t>
      </w:r>
    </w:p>
  </w:footnote>
  <w:footnote w:id="74">
    <w:p w14:paraId="3057BB9C" w14:textId="77777777" w:rsidR="00803A18" w:rsidRPr="00E7687D" w:rsidRDefault="00803A18" w:rsidP="00E20FF1">
      <w:pPr>
        <w:pStyle w:val="FootnoteText"/>
        <w:rPr>
          <w:rFonts w:asciiTheme="minorHAnsi" w:hAnsiTheme="minorHAnsi" w:cstheme="minorHAnsi"/>
          <w:lang w:val="en-US"/>
        </w:rPr>
      </w:pPr>
      <w:r w:rsidRPr="00E7687D">
        <w:rPr>
          <w:rStyle w:val="FootnoteReference"/>
          <w:rFonts w:asciiTheme="minorHAnsi" w:hAnsiTheme="minorHAnsi" w:cstheme="minorHAnsi"/>
        </w:rPr>
        <w:footnoteRef/>
      </w:r>
      <w:hyperlink r:id="rId39" w:history="1">
        <w:r w:rsidRPr="00E7687D">
          <w:rPr>
            <w:rStyle w:val="Hyperlink"/>
            <w:rFonts w:asciiTheme="minorHAnsi" w:eastAsiaTheme="minorHAnsi" w:hAnsiTheme="minorHAnsi" w:cstheme="minorHAnsi"/>
            <w:lang w:val="en-GB" w:eastAsia="en-US"/>
          </w:rPr>
          <w:t>https://www.hrc.co.nz/files/5515/9468/2462/FINAL_HRC_Submission_to_the_Special_Rapporteur_on_womens_rights.pdf</w:t>
        </w:r>
      </w:hyperlink>
      <w:r w:rsidRPr="00E7687D">
        <w:rPr>
          <w:rFonts w:asciiTheme="minorHAnsi" w:eastAsiaTheme="minorHAnsi" w:hAnsiTheme="minorHAnsi" w:cstheme="minorHAnsi"/>
          <w:color w:val="3F3F3F"/>
          <w:lang w:val="en-GB" w:eastAsia="en-US"/>
        </w:rPr>
        <w:t xml:space="preserve"> </w:t>
      </w:r>
    </w:p>
  </w:footnote>
  <w:footnote w:id="75">
    <w:p w14:paraId="30C51116" w14:textId="6653893E" w:rsidR="00803A18" w:rsidRPr="00E7687D" w:rsidRDefault="00803A18"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hyperlink r:id="rId40" w:tooltip="https://www.stuff.co.nz/national/education/300631038/number-of-students-missing-from-school-has-almost-doubled-in-past-nine-months" w:history="1">
        <w:r w:rsidRPr="00A17B56">
          <w:rPr>
            <w:rFonts w:asciiTheme="minorHAnsi" w:hAnsiTheme="minorHAnsi" w:cstheme="minorHAnsi"/>
            <w:color w:val="25409A" w:themeColor="text2"/>
            <w:u w:val="single"/>
          </w:rPr>
          <w:t>https://www.stuff.co.nz/national/education/300631038/number-of-students-missing-from-school-has-almost-doubled-in-past-nine-months</w:t>
        </w:r>
      </w:hyperlink>
      <w:r w:rsidRPr="00E7687D">
        <w:rPr>
          <w:rFonts w:asciiTheme="minorHAnsi" w:hAnsiTheme="minorHAnsi" w:cstheme="minorHAnsi"/>
          <w:color w:val="000000"/>
        </w:rPr>
        <w:t xml:space="preserve">. See also paras </w:t>
      </w:r>
      <w:r w:rsidR="001A518D" w:rsidRPr="001A518D">
        <w:rPr>
          <w:rFonts w:asciiTheme="minorHAnsi" w:hAnsiTheme="minorHAnsi" w:cstheme="minorHAnsi"/>
          <w:color w:val="000000"/>
        </w:rPr>
        <w:t>214</w:t>
      </w:r>
      <w:r w:rsidRPr="001A518D">
        <w:rPr>
          <w:rFonts w:asciiTheme="minorHAnsi" w:hAnsiTheme="minorHAnsi" w:cstheme="minorHAnsi"/>
          <w:color w:val="000000"/>
        </w:rPr>
        <w:t xml:space="preserve"> to </w:t>
      </w:r>
      <w:r w:rsidR="001A518D">
        <w:rPr>
          <w:rFonts w:asciiTheme="minorHAnsi" w:hAnsiTheme="minorHAnsi" w:cstheme="minorHAnsi"/>
          <w:color w:val="000000"/>
        </w:rPr>
        <w:t>215</w:t>
      </w:r>
      <w:r w:rsidRPr="00E7687D">
        <w:rPr>
          <w:rFonts w:asciiTheme="minorHAnsi" w:hAnsiTheme="minorHAnsi" w:cstheme="minorHAnsi"/>
          <w:color w:val="000000"/>
        </w:rPr>
        <w:t xml:space="preserve"> below.</w:t>
      </w:r>
    </w:p>
  </w:footnote>
  <w:footnote w:id="76">
    <w:p w14:paraId="132D426D" w14:textId="77777777" w:rsidR="00803A18" w:rsidRPr="00E7687D" w:rsidRDefault="00803A18"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Pr="00E7687D">
        <w:rPr>
          <w:rFonts w:asciiTheme="minorHAnsi" w:hAnsiTheme="minorHAnsi" w:cstheme="minorHAnsi"/>
          <w:lang w:val="mi-NZ"/>
        </w:rPr>
        <w:t xml:space="preserve">See, for example, commentary from </w:t>
      </w:r>
      <w:r w:rsidRPr="00E7687D">
        <w:rPr>
          <w:rFonts w:asciiTheme="minorHAnsi" w:hAnsiTheme="minorHAnsi" w:cstheme="minorHAnsi"/>
        </w:rPr>
        <w:t xml:space="preserve">Dr </w:t>
      </w:r>
      <w:proofErr w:type="spellStart"/>
      <w:r w:rsidRPr="00E7687D">
        <w:rPr>
          <w:rFonts w:asciiTheme="minorHAnsi" w:hAnsiTheme="minorHAnsi" w:cstheme="minorHAnsi"/>
        </w:rPr>
        <w:t>Hiran</w:t>
      </w:r>
      <w:proofErr w:type="spellEnd"/>
      <w:r w:rsidRPr="00E7687D">
        <w:rPr>
          <w:rFonts w:asciiTheme="minorHAnsi" w:hAnsiTheme="minorHAnsi" w:cstheme="minorHAnsi"/>
        </w:rPr>
        <w:t xml:space="preserve"> </w:t>
      </w:r>
      <w:proofErr w:type="spellStart"/>
      <w:r w:rsidRPr="00E7687D">
        <w:rPr>
          <w:rFonts w:asciiTheme="minorHAnsi" w:hAnsiTheme="minorHAnsi" w:cstheme="minorHAnsi"/>
        </w:rPr>
        <w:t>Thabrew</w:t>
      </w:r>
      <w:proofErr w:type="spellEnd"/>
      <w:r w:rsidRPr="00E7687D">
        <w:rPr>
          <w:rFonts w:asciiTheme="minorHAnsi" w:hAnsiTheme="minorHAnsi" w:cstheme="minorHAnsi"/>
        </w:rPr>
        <w:t xml:space="preserve">: </w:t>
      </w:r>
      <w:hyperlink r:id="rId41" w:anchor="child" w:history="1">
        <w:r w:rsidRPr="00E7687D">
          <w:rPr>
            <w:rStyle w:val="Hyperlink"/>
            <w:rFonts w:asciiTheme="minorHAnsi" w:eastAsiaTheme="majorEastAsia" w:hAnsiTheme="minorHAnsi" w:cstheme="minorHAnsi"/>
          </w:rPr>
          <w:t>https://www.sciencemediacentre.co.nz/2022/03/21/two-years-since-nz-first-locked-down-expert-reaction/#child</w:t>
        </w:r>
      </w:hyperlink>
      <w:r w:rsidRPr="00E7687D">
        <w:rPr>
          <w:rFonts w:asciiTheme="minorHAnsi" w:hAnsiTheme="minorHAnsi" w:cstheme="minorHAnsi"/>
        </w:rPr>
        <w:t xml:space="preserve">. </w:t>
      </w:r>
    </w:p>
  </w:footnote>
  <w:footnote w:id="77">
    <w:p w14:paraId="4A5A035F" w14:textId="77777777" w:rsidR="00803A18" w:rsidRPr="00E7687D" w:rsidRDefault="00803A18" w:rsidP="00E20FF1">
      <w:pPr>
        <w:pStyle w:val="FootnoteText"/>
        <w:rPr>
          <w:rFonts w:asciiTheme="minorHAnsi" w:hAnsiTheme="minorHAnsi" w:cstheme="minorHAnsi"/>
          <w:lang w:val="mi-NZ"/>
        </w:rPr>
      </w:pPr>
      <w:r w:rsidRPr="00E7687D">
        <w:rPr>
          <w:rStyle w:val="FootnoteReference"/>
          <w:rFonts w:asciiTheme="minorHAnsi" w:hAnsiTheme="minorHAnsi" w:cstheme="minorHAnsi"/>
        </w:rPr>
        <w:footnoteRef/>
      </w:r>
      <w:r w:rsidRPr="00E7687D">
        <w:rPr>
          <w:rFonts w:asciiTheme="minorHAnsi" w:hAnsiTheme="minorHAnsi" w:cstheme="minorHAnsi"/>
        </w:rPr>
        <w:t xml:space="preserve"> </w:t>
      </w:r>
      <w:r w:rsidRPr="00E7687D">
        <w:rPr>
          <w:rFonts w:asciiTheme="minorHAnsi" w:hAnsiTheme="minorHAnsi" w:cstheme="minorHAnsi"/>
          <w:lang w:val="mi-NZ"/>
        </w:rPr>
        <w:t xml:space="preserve">See, for example, </w:t>
      </w:r>
      <w:hyperlink r:id="rId42" w:history="1">
        <w:r w:rsidRPr="00E7687D">
          <w:rPr>
            <w:rStyle w:val="Hyperlink"/>
            <w:rFonts w:asciiTheme="minorHAnsi" w:eastAsiaTheme="majorEastAsia" w:hAnsiTheme="minorHAnsi" w:cstheme="minorHAnsi"/>
            <w:lang w:val="mi-NZ"/>
          </w:rPr>
          <w:t>https://www.rnz.co.nz/news/national/471864/experts-warn-teachers-and-parents-to-look-out-for-long-covid-in-children</w:t>
        </w:r>
      </w:hyperlink>
      <w:r w:rsidRPr="00E7687D">
        <w:rPr>
          <w:rFonts w:asciiTheme="minorHAnsi" w:hAnsiTheme="minorHAnsi" w:cstheme="minorHAnsi"/>
          <w:lang w:val="mi-NZ"/>
        </w:rPr>
        <w:t>. To date, there are no studies focusing on long-C</w:t>
      </w:r>
      <w:r>
        <w:rPr>
          <w:rFonts w:asciiTheme="minorHAnsi" w:hAnsiTheme="minorHAnsi" w:cstheme="minorHAnsi"/>
          <w:lang w:val="mi-NZ"/>
        </w:rPr>
        <w:t>OVID</w:t>
      </w:r>
      <w:r w:rsidRPr="00E7687D">
        <w:rPr>
          <w:rFonts w:asciiTheme="minorHAnsi" w:hAnsiTheme="minorHAnsi" w:cstheme="minorHAnsi"/>
          <w:lang w:val="mi-NZ"/>
        </w:rPr>
        <w:t xml:space="preserve"> in children in Aotearoa.</w:t>
      </w:r>
    </w:p>
  </w:footnote>
  <w:footnote w:id="78">
    <w:p w14:paraId="0DC7846D" w14:textId="77777777" w:rsidR="00B43CFC" w:rsidRPr="00BB0D1F" w:rsidRDefault="00B43CFC" w:rsidP="00E20FF1">
      <w:pPr>
        <w:pStyle w:val="FootnoteText"/>
        <w:rPr>
          <w:rFonts w:asciiTheme="minorHAnsi" w:hAnsiTheme="minorHAnsi" w:cstheme="minorHAnsi"/>
          <w:lang w:val="mi-NZ"/>
        </w:rPr>
      </w:pPr>
      <w:r w:rsidRPr="00BB0D1F">
        <w:rPr>
          <w:rStyle w:val="FootnoteReference"/>
          <w:rFonts w:asciiTheme="minorHAnsi" w:hAnsiTheme="minorHAnsi" w:cstheme="minorHAnsi"/>
        </w:rPr>
        <w:footnoteRef/>
      </w:r>
      <w:r w:rsidRPr="00BB0D1F">
        <w:rPr>
          <w:rFonts w:asciiTheme="minorHAnsi" w:hAnsiTheme="minorHAnsi" w:cstheme="minorHAnsi"/>
        </w:rPr>
        <w:t xml:space="preserve"> </w:t>
      </w:r>
      <w:hyperlink r:id="rId43" w:history="1">
        <w:r w:rsidRPr="00BB0D1F">
          <w:rPr>
            <w:rStyle w:val="Hyperlink"/>
            <w:rFonts w:asciiTheme="minorHAnsi" w:hAnsiTheme="minorHAnsi" w:cstheme="minorHAnsi"/>
          </w:rPr>
          <w:t>https://www.tvnz.co.nz/one-news/new-zealand/pasifika-in-bay-plenty-forced-present-passports-get-covid-jabs</w:t>
        </w:r>
      </w:hyperlink>
      <w:r w:rsidRPr="00BB0D1F">
        <w:rPr>
          <w:rFonts w:asciiTheme="minorHAnsi" w:hAnsiTheme="minorHAnsi" w:cstheme="minorHAnsi"/>
        </w:rPr>
        <w:t xml:space="preserve"> </w:t>
      </w:r>
    </w:p>
  </w:footnote>
  <w:footnote w:id="79">
    <w:p w14:paraId="3A2FF9ED" w14:textId="215A551C" w:rsidR="00B43CFC" w:rsidRPr="00BB0D1F" w:rsidRDefault="00B43CFC" w:rsidP="00E20FF1">
      <w:pPr>
        <w:pStyle w:val="FootnoteText"/>
        <w:rPr>
          <w:rFonts w:asciiTheme="minorHAnsi" w:hAnsiTheme="minorHAnsi" w:cstheme="minorHAnsi"/>
          <w:lang w:val="mi-NZ"/>
        </w:rPr>
      </w:pPr>
      <w:r w:rsidRPr="00BB0D1F">
        <w:rPr>
          <w:rStyle w:val="FootnoteReference"/>
          <w:rFonts w:asciiTheme="minorHAnsi" w:hAnsiTheme="minorHAnsi" w:cstheme="minorHAnsi"/>
        </w:rPr>
        <w:footnoteRef/>
      </w:r>
      <w:r w:rsidRPr="00BB0D1F">
        <w:rPr>
          <w:rFonts w:asciiTheme="minorHAnsi" w:hAnsiTheme="minorHAnsi" w:cstheme="minorHAnsi"/>
        </w:rPr>
        <w:t xml:space="preserve"> </w:t>
      </w:r>
      <w:r w:rsidRPr="00BB0D1F">
        <w:rPr>
          <w:rFonts w:asciiTheme="minorHAnsi" w:hAnsiTheme="minorHAnsi" w:cstheme="minorHAnsi"/>
          <w:lang w:val="mi-NZ"/>
        </w:rPr>
        <w:t xml:space="preserve">For example, recently, during the COVID-19 vaccination campaign, Pacific families in Tauranga were told they could not be vaccinated unless they presented their passports. </w:t>
      </w:r>
      <w:hyperlink r:id="rId44" w:history="1">
        <w:r w:rsidR="00E3646D" w:rsidRPr="00F06804">
          <w:rPr>
            <w:rStyle w:val="Hyperlink"/>
            <w:rFonts w:asciiTheme="minorHAnsi" w:hAnsiTheme="minorHAnsi" w:cstheme="minorHAnsi"/>
            <w:lang w:val="mi-NZ"/>
          </w:rPr>
          <w:t>https://www.1news.co.nz/2021/08/29/pasifika-in-bay-of-plenty-forced-to-present-passports-to-get-covid-jabs/</w:t>
        </w:r>
      </w:hyperlink>
      <w:r w:rsidR="00E3646D">
        <w:rPr>
          <w:rFonts w:asciiTheme="minorHAnsi" w:hAnsiTheme="minorHAnsi" w:cstheme="minorHAnsi"/>
          <w:lang w:val="mi-NZ"/>
        </w:rPr>
        <w:t xml:space="preserve"> </w:t>
      </w:r>
      <w:r w:rsidRPr="00BB0D1F">
        <w:rPr>
          <w:rFonts w:asciiTheme="minorHAnsi" w:hAnsiTheme="minorHAnsi" w:cstheme="minorHAnsi"/>
          <w:lang w:val="mi-NZ"/>
        </w:rPr>
        <w:t xml:space="preserve">A similar incident occured in </w:t>
      </w:r>
      <w:r w:rsidR="00DE7B8D">
        <w:rPr>
          <w:rFonts w:asciiTheme="minorHAnsi" w:hAnsiTheme="minorHAnsi" w:cstheme="minorHAnsi"/>
          <w:lang w:val="mi-NZ"/>
        </w:rPr>
        <w:t>2019</w:t>
      </w:r>
      <w:r w:rsidRPr="00BB0D1F">
        <w:rPr>
          <w:rFonts w:asciiTheme="minorHAnsi" w:hAnsiTheme="minorHAnsi" w:cstheme="minorHAnsi"/>
          <w:lang w:val="mi-NZ"/>
        </w:rPr>
        <w:t xml:space="preserve"> when a Samoan baby was refused </w:t>
      </w:r>
      <w:r>
        <w:rPr>
          <w:rFonts w:asciiTheme="minorHAnsi" w:hAnsiTheme="minorHAnsi" w:cstheme="minorHAnsi"/>
          <w:lang w:val="mi-NZ"/>
        </w:rPr>
        <w:t>the</w:t>
      </w:r>
      <w:r w:rsidRPr="00BB0D1F">
        <w:rPr>
          <w:rFonts w:asciiTheme="minorHAnsi" w:hAnsiTheme="minorHAnsi" w:cstheme="minorHAnsi"/>
          <w:lang w:val="mi-NZ"/>
        </w:rPr>
        <w:t xml:space="preserve"> measles vaccine despite being eligible.</w:t>
      </w:r>
      <w:r w:rsidR="00E3646D">
        <w:rPr>
          <w:rFonts w:asciiTheme="minorHAnsi" w:hAnsiTheme="minorHAnsi" w:cstheme="minorHAnsi"/>
          <w:lang w:val="mi-NZ"/>
        </w:rPr>
        <w:t xml:space="preserve"> </w:t>
      </w:r>
      <w:r>
        <w:fldChar w:fldCharType="begin"/>
      </w:r>
      <w:r>
        <w:instrText xml:space="preserve"> HYPERLINK "https://www.nzherald.co.nz/nz/pm-jacinda-ardern-upset-over-child-refused-vaccination-before-going-to-samoa/ZFDEYCUSEJ3CQCUUKGXTFKNY4M/" </w:instrText>
      </w:r>
      <w:r>
        <w:fldChar w:fldCharType="separate"/>
      </w:r>
      <w:r w:rsidR="00DE7B8D" w:rsidRPr="00F06804">
        <w:rPr>
          <w:rStyle w:val="Hyperlink"/>
          <w:rFonts w:asciiTheme="minorHAnsi" w:hAnsiTheme="minorHAnsi" w:cstheme="minorHAnsi"/>
          <w:lang w:val="mi-NZ"/>
        </w:rPr>
        <w:t>https://www.nzherald.co.nz/nz/pm-jacinda-ardern-upset-over-child-refused-vaccination-before-going-to-samoa/ZFDEYCUSEJ3CQCUUKGXTFKNY4M/</w:t>
      </w:r>
      <w:r>
        <w:rPr>
          <w:rStyle w:val="Hyperlink"/>
          <w:rFonts w:asciiTheme="minorHAnsi" w:hAnsiTheme="minorHAnsi" w:cstheme="minorHAnsi"/>
          <w:lang w:val="mi-NZ"/>
        </w:rPr>
        <w:fldChar w:fldCharType="end"/>
      </w:r>
      <w:r w:rsidR="00DE7B8D">
        <w:rPr>
          <w:rFonts w:asciiTheme="minorHAnsi" w:hAnsiTheme="minorHAnsi" w:cstheme="minorHAnsi"/>
          <w:lang w:val="mi-NZ"/>
        </w:rPr>
        <w:t xml:space="preserve"> </w:t>
      </w:r>
    </w:p>
  </w:footnote>
  <w:footnote w:id="80">
    <w:p w14:paraId="5D93D901" w14:textId="58314F3C" w:rsidR="00B43CFC" w:rsidRPr="00BB0D1F" w:rsidRDefault="00B43CFC" w:rsidP="00E20FF1">
      <w:pPr>
        <w:pStyle w:val="FootnoteText"/>
        <w:rPr>
          <w:rFonts w:asciiTheme="minorHAnsi" w:hAnsiTheme="minorHAnsi" w:cstheme="minorHAnsi"/>
          <w:lang w:val="mi-NZ"/>
        </w:rPr>
      </w:pPr>
      <w:r w:rsidRPr="00BB0D1F">
        <w:rPr>
          <w:rStyle w:val="FootnoteReference"/>
          <w:rFonts w:asciiTheme="minorHAnsi" w:hAnsiTheme="minorHAnsi" w:cstheme="minorHAnsi"/>
        </w:rPr>
        <w:footnoteRef/>
      </w:r>
      <w:r w:rsidRPr="00BB0D1F">
        <w:rPr>
          <w:rFonts w:asciiTheme="minorHAnsi" w:hAnsiTheme="minorHAnsi" w:cstheme="minorHAnsi"/>
        </w:rPr>
        <w:t xml:space="preserve"> </w:t>
      </w:r>
      <w:r w:rsidR="00DE7B8D">
        <w:rPr>
          <w:rFonts w:asciiTheme="minorHAnsi" w:hAnsiTheme="minorHAnsi" w:cstheme="minorHAnsi"/>
          <w:lang w:val="mi-NZ"/>
        </w:rPr>
        <w:t>See paras 237-244 below.</w:t>
      </w:r>
    </w:p>
  </w:footnote>
  <w:footnote w:id="81">
    <w:p w14:paraId="0BF8E863" w14:textId="5502DFC1" w:rsidR="00B43CFC" w:rsidRPr="00BB0D1F" w:rsidRDefault="00B43CFC" w:rsidP="00E20FF1">
      <w:pPr>
        <w:spacing w:after="0" w:line="240" w:lineRule="auto"/>
        <w:rPr>
          <w:rFonts w:cstheme="minorHAnsi"/>
          <w:lang w:val="mi-NZ"/>
        </w:rPr>
      </w:pPr>
      <w:r w:rsidRPr="00BB0D1F">
        <w:rPr>
          <w:rStyle w:val="FootnoteReference"/>
          <w:rFonts w:cstheme="minorHAnsi"/>
        </w:rPr>
        <w:footnoteRef/>
      </w:r>
      <w:r w:rsidRPr="00BB0D1F">
        <w:rPr>
          <w:rFonts w:cstheme="minorHAnsi"/>
        </w:rPr>
        <w:t xml:space="preserve"> </w:t>
      </w:r>
      <w:r w:rsidR="00DE7B8D">
        <w:rPr>
          <w:rFonts w:cstheme="minorHAnsi"/>
          <w:lang w:val="mi-NZ"/>
        </w:rPr>
        <w:t>See paras 254-258 below.</w:t>
      </w:r>
    </w:p>
  </w:footnote>
  <w:footnote w:id="82">
    <w:p w14:paraId="428854F6" w14:textId="77777777" w:rsidR="00970A6D" w:rsidRPr="00BB0D1F" w:rsidRDefault="00970A6D" w:rsidP="00E20FF1">
      <w:pPr>
        <w:pStyle w:val="FootnoteText"/>
        <w:rPr>
          <w:rFonts w:asciiTheme="minorHAnsi" w:hAnsiTheme="minorHAnsi" w:cstheme="minorHAnsi"/>
          <w:lang w:val="mi-NZ"/>
        </w:rPr>
      </w:pPr>
      <w:r w:rsidRPr="00BB0D1F">
        <w:rPr>
          <w:rStyle w:val="FootnoteReference"/>
          <w:rFonts w:asciiTheme="minorHAnsi" w:hAnsiTheme="minorHAnsi" w:cstheme="minorHAnsi"/>
        </w:rPr>
        <w:footnoteRef/>
      </w:r>
      <w:r w:rsidRPr="00BB0D1F">
        <w:rPr>
          <w:rFonts w:asciiTheme="minorHAnsi" w:hAnsiTheme="minorHAnsi" w:cstheme="minorHAnsi"/>
        </w:rPr>
        <w:t xml:space="preserve"> </w:t>
      </w:r>
      <w:r w:rsidRPr="00BB0D1F">
        <w:rPr>
          <w:rFonts w:asciiTheme="minorHAnsi" w:hAnsiTheme="minorHAnsi" w:cstheme="minorHAnsi"/>
          <w:lang w:val="mi-NZ"/>
        </w:rPr>
        <w:t xml:space="preserve">Government </w:t>
      </w:r>
      <w:r>
        <w:rPr>
          <w:rFonts w:asciiTheme="minorHAnsi" w:hAnsiTheme="minorHAnsi" w:cstheme="minorHAnsi"/>
          <w:lang w:val="mi-NZ"/>
        </w:rPr>
        <w:t>R</w:t>
      </w:r>
      <w:r w:rsidRPr="00BB0D1F">
        <w:rPr>
          <w:rFonts w:asciiTheme="minorHAnsi" w:hAnsiTheme="minorHAnsi" w:cstheme="minorHAnsi"/>
          <w:lang w:val="mi-NZ"/>
        </w:rPr>
        <w:t>eport, para 9.</w:t>
      </w:r>
    </w:p>
  </w:footnote>
  <w:footnote w:id="83">
    <w:p w14:paraId="0330354A" w14:textId="77777777" w:rsidR="00970A6D" w:rsidRPr="00BB0D1F" w:rsidRDefault="00970A6D" w:rsidP="00E20FF1">
      <w:pPr>
        <w:pStyle w:val="FootnoteText"/>
        <w:rPr>
          <w:rFonts w:asciiTheme="minorHAnsi" w:hAnsiTheme="minorHAnsi" w:cstheme="minorHAnsi"/>
          <w:lang w:val="mi-NZ"/>
        </w:rPr>
      </w:pPr>
      <w:r w:rsidRPr="00BB0D1F">
        <w:rPr>
          <w:rStyle w:val="FootnoteReference"/>
          <w:rFonts w:asciiTheme="minorHAnsi" w:hAnsiTheme="minorHAnsi" w:cstheme="minorHAnsi"/>
        </w:rPr>
        <w:footnoteRef/>
      </w:r>
      <w:r w:rsidRPr="00BB0D1F">
        <w:rPr>
          <w:rFonts w:asciiTheme="minorHAnsi" w:hAnsiTheme="minorHAnsi" w:cstheme="minorHAnsi"/>
        </w:rPr>
        <w:t xml:space="preserve"> </w:t>
      </w:r>
      <w:r w:rsidRPr="00BB0D1F">
        <w:rPr>
          <w:rFonts w:asciiTheme="minorHAnsi" w:hAnsiTheme="minorHAnsi" w:cstheme="minorHAnsi"/>
          <w:lang w:val="mi-NZ"/>
        </w:rPr>
        <w:t xml:space="preserve">Government </w:t>
      </w:r>
      <w:r>
        <w:rPr>
          <w:rFonts w:asciiTheme="minorHAnsi" w:hAnsiTheme="minorHAnsi" w:cstheme="minorHAnsi"/>
          <w:lang w:val="mi-NZ"/>
        </w:rPr>
        <w:t>R</w:t>
      </w:r>
      <w:r w:rsidRPr="00BB0D1F">
        <w:rPr>
          <w:rFonts w:asciiTheme="minorHAnsi" w:hAnsiTheme="minorHAnsi" w:cstheme="minorHAnsi"/>
          <w:lang w:val="mi-NZ"/>
        </w:rPr>
        <w:t>eport, paras 13-15.</w:t>
      </w:r>
    </w:p>
  </w:footnote>
  <w:footnote w:id="84">
    <w:p w14:paraId="20397D21" w14:textId="10E6C8EF" w:rsidR="00970A6D" w:rsidRPr="00165172" w:rsidRDefault="00970A6D" w:rsidP="00E20FF1">
      <w:pPr>
        <w:spacing w:after="0" w:line="240" w:lineRule="auto"/>
        <w:rPr>
          <w:rFonts w:cstheme="minorHAnsi"/>
          <w:lang w:val="mi-NZ"/>
        </w:rPr>
      </w:pPr>
      <w:r>
        <w:rPr>
          <w:rStyle w:val="FootnoteReference"/>
        </w:rPr>
        <w:footnoteRef/>
      </w:r>
      <w:r>
        <w:t xml:space="preserve"> </w:t>
      </w:r>
      <w:r w:rsidRPr="000D0632">
        <w:rPr>
          <w:rFonts w:cstheme="minorHAnsi"/>
          <w:lang w:val="mi-NZ"/>
        </w:rPr>
        <w:t xml:space="preserve">See </w:t>
      </w:r>
      <w:r w:rsidR="00165172" w:rsidRPr="00C96DFF">
        <w:rPr>
          <w:rFonts w:cstheme="minorHAnsi"/>
          <w:lang w:val="mi-NZ"/>
        </w:rPr>
        <w:t xml:space="preserve">Children’s Rights in </w:t>
      </w:r>
      <w:r w:rsidR="00683664">
        <w:rPr>
          <w:rFonts w:cstheme="minorHAnsi"/>
          <w:lang w:val="mi-NZ"/>
        </w:rPr>
        <w:t>a Changing Climate</w:t>
      </w:r>
      <w:r w:rsidR="00165172" w:rsidRPr="00C96DFF">
        <w:rPr>
          <w:rFonts w:cstheme="minorHAnsi"/>
          <w:lang w:val="mi-NZ"/>
        </w:rPr>
        <w:t xml:space="preserve"> Thematic Report</w:t>
      </w:r>
      <w:r w:rsidR="00165172">
        <w:rPr>
          <w:rFonts w:cstheme="minorHAnsi"/>
          <w:lang w:val="mi-NZ"/>
        </w:rPr>
        <w:t>, submitted by OraTaiao: NZ Climate and Health Council</w:t>
      </w:r>
      <w:r w:rsidRPr="000D0632">
        <w:rPr>
          <w:rFonts w:cstheme="minorHAnsi"/>
        </w:rPr>
        <w:t>.</w:t>
      </w:r>
    </w:p>
  </w:footnote>
  <w:footnote w:id="85">
    <w:p w14:paraId="1C8E2023" w14:textId="369E1695" w:rsidR="00A44524" w:rsidRPr="00BB0D1F" w:rsidRDefault="00A44524" w:rsidP="00E20FF1">
      <w:pPr>
        <w:pStyle w:val="FootnoteText"/>
        <w:rPr>
          <w:rFonts w:asciiTheme="minorHAnsi" w:hAnsiTheme="minorHAnsi" w:cstheme="minorHAnsi"/>
          <w:lang w:val="mi-NZ"/>
        </w:rPr>
      </w:pPr>
      <w:r w:rsidRPr="00BB0D1F">
        <w:rPr>
          <w:rStyle w:val="FootnoteReference"/>
          <w:rFonts w:asciiTheme="minorHAnsi" w:hAnsiTheme="minorHAnsi" w:cstheme="minorHAnsi"/>
        </w:rPr>
        <w:footnoteRef/>
      </w:r>
      <w:r w:rsidRPr="00BB0D1F">
        <w:rPr>
          <w:rFonts w:asciiTheme="minorHAnsi" w:hAnsiTheme="minorHAnsi" w:cstheme="minorHAnsi"/>
        </w:rPr>
        <w:t xml:space="preserve"> </w:t>
      </w:r>
      <w:r w:rsidRPr="00BB0D1F">
        <w:rPr>
          <w:rFonts w:asciiTheme="minorHAnsi" w:hAnsiTheme="minorHAnsi" w:cstheme="minorHAnsi"/>
          <w:lang w:val="mi-NZ"/>
        </w:rPr>
        <w:t xml:space="preserve">A </w:t>
      </w:r>
      <w:r>
        <w:rPr>
          <w:rFonts w:asciiTheme="minorHAnsi" w:hAnsiTheme="minorHAnsi" w:cstheme="minorHAnsi"/>
          <w:lang w:val="mi-NZ"/>
        </w:rPr>
        <w:t>B</w:t>
      </w:r>
      <w:r w:rsidRPr="00BB0D1F">
        <w:rPr>
          <w:rFonts w:asciiTheme="minorHAnsi" w:hAnsiTheme="minorHAnsi" w:cstheme="minorHAnsi"/>
          <w:lang w:val="mi-NZ"/>
        </w:rPr>
        <w:t xml:space="preserve">ill to replace this Act is currently being considered by Parliament. It will also include the CRC as a schedule to the legislation. See paras </w:t>
      </w:r>
      <w:r w:rsidR="007E25E7">
        <w:rPr>
          <w:rFonts w:asciiTheme="minorHAnsi" w:hAnsiTheme="minorHAnsi" w:cstheme="minorHAnsi"/>
          <w:lang w:val="mi-NZ"/>
        </w:rPr>
        <w:t>56</w:t>
      </w:r>
      <w:r w:rsidRPr="00BB0D1F">
        <w:rPr>
          <w:rFonts w:asciiTheme="minorHAnsi" w:hAnsiTheme="minorHAnsi" w:cstheme="minorHAnsi"/>
          <w:lang w:val="mi-NZ"/>
        </w:rPr>
        <w:t xml:space="preserve"> to </w:t>
      </w:r>
      <w:r w:rsidR="007E25E7">
        <w:rPr>
          <w:rFonts w:asciiTheme="minorHAnsi" w:hAnsiTheme="minorHAnsi" w:cstheme="minorHAnsi"/>
          <w:lang w:val="mi-NZ"/>
        </w:rPr>
        <w:t>60</w:t>
      </w:r>
      <w:r w:rsidRPr="00BB0D1F">
        <w:rPr>
          <w:rFonts w:asciiTheme="minorHAnsi" w:hAnsiTheme="minorHAnsi" w:cstheme="minorHAnsi"/>
          <w:lang w:val="mi-NZ"/>
        </w:rPr>
        <w:t xml:space="preserve"> below</w:t>
      </w:r>
      <w:r w:rsidR="00165172">
        <w:rPr>
          <w:rFonts w:asciiTheme="minorHAnsi" w:hAnsiTheme="minorHAnsi" w:cstheme="minorHAnsi"/>
          <w:lang w:val="mi-NZ"/>
        </w:rPr>
        <w:t>, also Appendix Two.</w:t>
      </w:r>
    </w:p>
  </w:footnote>
  <w:footnote w:id="86">
    <w:p w14:paraId="4F3DD5BA" w14:textId="77777777" w:rsidR="00A44524" w:rsidRPr="00BB0D1F" w:rsidRDefault="00A44524" w:rsidP="00E20FF1">
      <w:pPr>
        <w:pStyle w:val="NoSpacing"/>
        <w:rPr>
          <w:rFonts w:cstheme="minorHAnsi"/>
        </w:rPr>
      </w:pPr>
      <w:r w:rsidRPr="00BB0D1F">
        <w:rPr>
          <w:rStyle w:val="FootnoteReference"/>
          <w:rFonts w:cstheme="minorHAnsi"/>
        </w:rPr>
        <w:footnoteRef/>
      </w:r>
      <w:r w:rsidRPr="00BB0D1F">
        <w:rPr>
          <w:rFonts w:cstheme="minorHAnsi"/>
        </w:rPr>
        <w:t xml:space="preserve"> Other amendments to the </w:t>
      </w:r>
      <w:proofErr w:type="spellStart"/>
      <w:r w:rsidRPr="00BB0D1F">
        <w:rPr>
          <w:rFonts w:cstheme="minorHAnsi"/>
        </w:rPr>
        <w:t>Oranga</w:t>
      </w:r>
      <w:proofErr w:type="spellEnd"/>
      <w:r w:rsidRPr="00BB0D1F">
        <w:rPr>
          <w:rFonts w:cstheme="minorHAnsi"/>
        </w:rPr>
        <w:t xml:space="preserve"> Tamariki Act 1989 include</w:t>
      </w:r>
      <w:r>
        <w:rPr>
          <w:rFonts w:cstheme="minorHAnsi"/>
        </w:rPr>
        <w:t>d</w:t>
      </w:r>
      <w:r w:rsidRPr="00BB0D1F">
        <w:rPr>
          <w:rFonts w:cstheme="minorHAnsi"/>
        </w:rPr>
        <w:t xml:space="preserve">: a specific requirement to improve outcomes for </w:t>
      </w:r>
      <w:proofErr w:type="spellStart"/>
      <w:r w:rsidRPr="00BB0D1F">
        <w:rPr>
          <w:rFonts w:cstheme="minorHAnsi"/>
        </w:rPr>
        <w:t>tamariki</w:t>
      </w:r>
      <w:proofErr w:type="spellEnd"/>
      <w:r w:rsidRPr="00BB0D1F">
        <w:rPr>
          <w:rFonts w:cstheme="minorHAnsi"/>
        </w:rPr>
        <w:t xml:space="preserve"> Māori; the care and protection age </w:t>
      </w:r>
      <w:r>
        <w:rPr>
          <w:rFonts w:cstheme="minorHAnsi"/>
        </w:rPr>
        <w:t>being</w:t>
      </w:r>
      <w:r w:rsidRPr="00BB0D1F">
        <w:rPr>
          <w:rFonts w:cstheme="minorHAnsi"/>
        </w:rPr>
        <w:t xml:space="preserve"> raised to 21 years; enhanced transition from State care provisions; inclusion of 17-year</w:t>
      </w:r>
      <w:r>
        <w:rPr>
          <w:rFonts w:cstheme="minorHAnsi"/>
        </w:rPr>
        <w:t>-</w:t>
      </w:r>
      <w:r w:rsidRPr="00BB0D1F">
        <w:rPr>
          <w:rFonts w:cstheme="minorHAnsi"/>
        </w:rPr>
        <w:t>olds in State care and youth justice; embedding of child participation rights through the redesign of the care and protection and youth justice systems</w:t>
      </w:r>
      <w:r>
        <w:rPr>
          <w:rFonts w:cstheme="minorHAnsi"/>
        </w:rPr>
        <w:t>:</w:t>
      </w:r>
      <w:r w:rsidRPr="00BB0D1F">
        <w:rPr>
          <w:rFonts w:cstheme="minorHAnsi"/>
        </w:rPr>
        <w:t xml:space="preserve"> </w:t>
      </w:r>
      <w:r>
        <w:rPr>
          <w:rFonts w:cstheme="minorHAnsi"/>
        </w:rPr>
        <w:t>s</w:t>
      </w:r>
      <w:r w:rsidRPr="00BB0D1F">
        <w:rPr>
          <w:rFonts w:cstheme="minorHAnsi"/>
        </w:rPr>
        <w:t>ee ss 5 and 7AA.</w:t>
      </w:r>
    </w:p>
  </w:footnote>
  <w:footnote w:id="87">
    <w:p w14:paraId="123D11B9" w14:textId="77777777" w:rsidR="00A44524" w:rsidRPr="00BB0D1F" w:rsidRDefault="00A44524" w:rsidP="00E20FF1">
      <w:pPr>
        <w:pStyle w:val="NoSpacing"/>
        <w:rPr>
          <w:rFonts w:cstheme="minorHAnsi"/>
          <w:highlight w:val="yellow"/>
        </w:rPr>
      </w:pPr>
      <w:r w:rsidRPr="00BB0D1F">
        <w:rPr>
          <w:rStyle w:val="FootnoteReference"/>
          <w:rFonts w:cstheme="minorHAnsi"/>
        </w:rPr>
        <w:footnoteRef/>
      </w:r>
      <w:r w:rsidRPr="00BB0D1F">
        <w:rPr>
          <w:rFonts w:cstheme="minorHAnsi"/>
        </w:rPr>
        <w:t xml:space="preserve"> Children’s Act 2014, s 6</w:t>
      </w:r>
      <w:proofErr w:type="gramStart"/>
      <w:r w:rsidRPr="00BB0D1F">
        <w:rPr>
          <w:rFonts w:cstheme="minorHAnsi"/>
        </w:rPr>
        <w:t>A(</w:t>
      </w:r>
      <w:proofErr w:type="gramEnd"/>
      <w:r w:rsidRPr="00BB0D1F">
        <w:rPr>
          <w:rFonts w:cstheme="minorHAnsi"/>
        </w:rPr>
        <w:t>3).</w:t>
      </w:r>
    </w:p>
  </w:footnote>
  <w:footnote w:id="88">
    <w:p w14:paraId="6D6216AB" w14:textId="77777777" w:rsidR="00A44524" w:rsidRPr="00BB0D1F" w:rsidRDefault="00A44524" w:rsidP="00E20FF1">
      <w:pPr>
        <w:pStyle w:val="FootnoteText"/>
        <w:rPr>
          <w:rFonts w:asciiTheme="minorHAnsi" w:hAnsiTheme="minorHAnsi" w:cstheme="minorHAnsi"/>
          <w:lang w:val="mi-NZ"/>
        </w:rPr>
      </w:pPr>
      <w:r w:rsidRPr="00BB0D1F">
        <w:rPr>
          <w:rStyle w:val="FootnoteReference"/>
          <w:rFonts w:asciiTheme="minorHAnsi" w:hAnsiTheme="minorHAnsi" w:cstheme="minorHAnsi"/>
        </w:rPr>
        <w:footnoteRef/>
      </w:r>
      <w:r w:rsidRPr="00BB0D1F">
        <w:rPr>
          <w:rFonts w:asciiTheme="minorHAnsi" w:hAnsiTheme="minorHAnsi" w:cstheme="minorHAnsi"/>
        </w:rPr>
        <w:t xml:space="preserve"> </w:t>
      </w:r>
      <w:r w:rsidRPr="00BB0D1F">
        <w:rPr>
          <w:rFonts w:asciiTheme="minorHAnsi" w:hAnsiTheme="minorHAnsi" w:cstheme="minorHAnsi"/>
          <w:lang w:val="mi-NZ"/>
        </w:rPr>
        <w:t>For example</w:t>
      </w:r>
      <w:r>
        <w:rPr>
          <w:rFonts w:asciiTheme="minorHAnsi" w:hAnsiTheme="minorHAnsi" w:cstheme="minorHAnsi"/>
          <w:lang w:val="mi-NZ"/>
        </w:rPr>
        <w:t>,</w:t>
      </w:r>
      <w:r w:rsidRPr="00BB0D1F">
        <w:rPr>
          <w:rFonts w:asciiTheme="minorHAnsi" w:hAnsiTheme="minorHAnsi" w:cstheme="minorHAnsi"/>
          <w:lang w:val="mi-NZ"/>
        </w:rPr>
        <w:t xml:space="preserve"> the Resource Management Act is currently being reviewed and will h</w:t>
      </w:r>
      <w:r>
        <w:rPr>
          <w:rFonts w:asciiTheme="minorHAnsi" w:hAnsiTheme="minorHAnsi" w:cstheme="minorHAnsi"/>
          <w:lang w:val="mi-NZ"/>
        </w:rPr>
        <w:t>a</w:t>
      </w:r>
      <w:r w:rsidRPr="00BB0D1F">
        <w:rPr>
          <w:rFonts w:asciiTheme="minorHAnsi" w:hAnsiTheme="minorHAnsi" w:cstheme="minorHAnsi"/>
          <w:lang w:val="mi-NZ"/>
        </w:rPr>
        <w:t>ve significant implications for children’s rights, especially their environmental rights now and into the future. It would b</w:t>
      </w:r>
      <w:r>
        <w:rPr>
          <w:rFonts w:asciiTheme="minorHAnsi" w:hAnsiTheme="minorHAnsi" w:cstheme="minorHAnsi"/>
          <w:lang w:val="mi-NZ"/>
        </w:rPr>
        <w:t>e</w:t>
      </w:r>
      <w:r w:rsidRPr="00BB0D1F">
        <w:rPr>
          <w:rFonts w:asciiTheme="minorHAnsi" w:hAnsiTheme="minorHAnsi" w:cstheme="minorHAnsi"/>
          <w:lang w:val="mi-NZ"/>
        </w:rPr>
        <w:t xml:space="preserve"> appropriate to include reference to children’s rights in the revised legislation.</w:t>
      </w:r>
    </w:p>
  </w:footnote>
  <w:footnote w:id="89">
    <w:p w14:paraId="670C8FB6" w14:textId="77777777" w:rsidR="00A44524" w:rsidRPr="00BB0D1F" w:rsidRDefault="00A44524" w:rsidP="00E20FF1">
      <w:pPr>
        <w:spacing w:after="0" w:line="240" w:lineRule="auto"/>
        <w:rPr>
          <w:rFonts w:cstheme="minorHAnsi"/>
          <w:color w:val="000000"/>
        </w:rPr>
      </w:pPr>
      <w:r w:rsidRPr="00BB0D1F">
        <w:rPr>
          <w:rStyle w:val="FootnoteReference"/>
          <w:rFonts w:cstheme="minorHAnsi"/>
        </w:rPr>
        <w:footnoteRef/>
      </w:r>
      <w:r w:rsidRPr="00BB0D1F">
        <w:rPr>
          <w:rFonts w:cstheme="minorHAnsi"/>
        </w:rPr>
        <w:t xml:space="preserve"> </w:t>
      </w:r>
      <w:r w:rsidRPr="00BB0D1F">
        <w:rPr>
          <w:rFonts w:cstheme="minorHAnsi"/>
          <w:color w:val="000000"/>
        </w:rPr>
        <w:t xml:space="preserve">As a result of this ad hoc approach, the degree of domestic legal protection afforded to children’s rights varies. Legislatively, children in </w:t>
      </w:r>
      <w:r w:rsidRPr="009B0875">
        <w:rPr>
          <w:rFonts w:cstheme="minorHAnsi"/>
          <w:color w:val="000000"/>
        </w:rPr>
        <w:t xml:space="preserve">Aotearoa are currently viewed differently regarding their CRC rights; decision-making affecting children under the </w:t>
      </w:r>
      <w:proofErr w:type="spellStart"/>
      <w:r w:rsidRPr="009B0875">
        <w:rPr>
          <w:rFonts w:cstheme="minorHAnsi"/>
        </w:rPr>
        <w:t>Oranga</w:t>
      </w:r>
      <w:proofErr w:type="spellEnd"/>
      <w:r w:rsidRPr="009B0875">
        <w:rPr>
          <w:rFonts w:cstheme="minorHAnsi"/>
        </w:rPr>
        <w:t xml:space="preserve"> Tamariki Act 1989 </w:t>
      </w:r>
      <w:r w:rsidRPr="009B0875">
        <w:rPr>
          <w:rFonts w:cstheme="minorHAnsi"/>
          <w:color w:val="000000"/>
        </w:rPr>
        <w:t>must,</w:t>
      </w:r>
      <w:r w:rsidRPr="00BB0D1F">
        <w:rPr>
          <w:rFonts w:cstheme="minorHAnsi"/>
          <w:color w:val="000000"/>
        </w:rPr>
        <w:t xml:space="preserve"> under domestic law, take their CRC rights into account. However, children who are not covered by the A</w:t>
      </w:r>
      <w:r>
        <w:rPr>
          <w:rFonts w:cstheme="minorHAnsi"/>
          <w:color w:val="000000"/>
        </w:rPr>
        <w:t>ct</w:t>
      </w:r>
      <w:r w:rsidRPr="00BB0D1F">
        <w:rPr>
          <w:rFonts w:cstheme="minorHAnsi"/>
          <w:color w:val="000000"/>
        </w:rPr>
        <w:t xml:space="preserve"> have no such domestic legal protection of their CRC rights. Furthermore, the extent of this domestic legal protection under the A</w:t>
      </w:r>
      <w:r>
        <w:rPr>
          <w:rFonts w:cstheme="minorHAnsi"/>
          <w:color w:val="000000"/>
        </w:rPr>
        <w:t>ct</w:t>
      </w:r>
      <w:r w:rsidRPr="00BB0D1F">
        <w:rPr>
          <w:rFonts w:cstheme="minorHAnsi"/>
          <w:color w:val="000000"/>
        </w:rPr>
        <w:t xml:space="preserve"> is unclear. Would domestic legal protection of CRC rights extend to decision-making about exclusion from school for a child in State care, for example? As a matter of principle, we are also concerned that, through the Chief Executive of </w:t>
      </w:r>
      <w:proofErr w:type="spellStart"/>
      <w:r w:rsidRPr="00BB0D1F">
        <w:rPr>
          <w:rFonts w:cstheme="minorHAnsi"/>
          <w:color w:val="000000"/>
        </w:rPr>
        <w:t>O</w:t>
      </w:r>
      <w:r>
        <w:rPr>
          <w:rFonts w:cstheme="minorHAnsi"/>
          <w:color w:val="000000"/>
        </w:rPr>
        <w:t>ranga</w:t>
      </w:r>
      <w:proofErr w:type="spellEnd"/>
      <w:r>
        <w:rPr>
          <w:rFonts w:cstheme="minorHAnsi"/>
          <w:color w:val="000000"/>
        </w:rPr>
        <w:t xml:space="preserve"> </w:t>
      </w:r>
      <w:r w:rsidRPr="00BB0D1F">
        <w:rPr>
          <w:rFonts w:cstheme="minorHAnsi"/>
          <w:color w:val="000000"/>
        </w:rPr>
        <w:t>T</w:t>
      </w:r>
      <w:r>
        <w:rPr>
          <w:rFonts w:cstheme="minorHAnsi"/>
          <w:color w:val="000000"/>
        </w:rPr>
        <w:t>amariki</w:t>
      </w:r>
      <w:r w:rsidRPr="00BB0D1F">
        <w:rPr>
          <w:rFonts w:cstheme="minorHAnsi"/>
          <w:color w:val="000000"/>
        </w:rPr>
        <w:t xml:space="preserve">, Government decides which children fall within the ambit of </w:t>
      </w:r>
      <w:proofErr w:type="spellStart"/>
      <w:r w:rsidRPr="00BB0D1F">
        <w:rPr>
          <w:rFonts w:cstheme="minorHAnsi"/>
          <w:color w:val="000000"/>
        </w:rPr>
        <w:t>O</w:t>
      </w:r>
      <w:r>
        <w:rPr>
          <w:rFonts w:cstheme="minorHAnsi"/>
          <w:color w:val="000000"/>
        </w:rPr>
        <w:t>ranga</w:t>
      </w:r>
      <w:proofErr w:type="spellEnd"/>
      <w:r>
        <w:rPr>
          <w:rFonts w:cstheme="minorHAnsi"/>
          <w:color w:val="000000"/>
        </w:rPr>
        <w:t xml:space="preserve"> </w:t>
      </w:r>
      <w:r w:rsidRPr="00BB0D1F">
        <w:rPr>
          <w:rFonts w:cstheme="minorHAnsi"/>
          <w:color w:val="000000"/>
        </w:rPr>
        <w:t>T</w:t>
      </w:r>
      <w:r>
        <w:rPr>
          <w:rFonts w:cstheme="minorHAnsi"/>
          <w:color w:val="000000"/>
        </w:rPr>
        <w:t>amariki</w:t>
      </w:r>
      <w:r w:rsidRPr="00BB0D1F">
        <w:rPr>
          <w:rFonts w:cstheme="minorHAnsi"/>
          <w:color w:val="000000"/>
        </w:rPr>
        <w:t xml:space="preserve"> decision-making and therefore have domestic legal protection of their CRC rights.</w:t>
      </w:r>
    </w:p>
  </w:footnote>
  <w:footnote w:id="90">
    <w:p w14:paraId="67F2210A" w14:textId="7C84E9B4" w:rsidR="00A44524" w:rsidRPr="00BB0D1F" w:rsidRDefault="00A44524" w:rsidP="00E20FF1">
      <w:pPr>
        <w:pStyle w:val="NoSpacing"/>
        <w:rPr>
          <w:rFonts w:cstheme="minorHAnsi"/>
        </w:rPr>
      </w:pPr>
      <w:r w:rsidRPr="00BB0D1F">
        <w:rPr>
          <w:rStyle w:val="FootnoteReference"/>
          <w:rFonts w:cstheme="minorHAnsi"/>
        </w:rPr>
        <w:footnoteRef/>
      </w:r>
      <w:r>
        <w:rPr>
          <w:rFonts w:cstheme="minorHAnsi"/>
        </w:rPr>
        <w:t xml:space="preserve"> </w:t>
      </w:r>
      <w:r>
        <w:rPr>
          <w:rFonts w:cstheme="minorHAnsi"/>
          <w:color w:val="000000"/>
        </w:rPr>
        <w:t>For example</w:t>
      </w:r>
      <w:r w:rsidR="00165172">
        <w:rPr>
          <w:rFonts w:cstheme="minorHAnsi"/>
          <w:color w:val="000000"/>
        </w:rPr>
        <w:t>,</w:t>
      </w:r>
      <w:r>
        <w:rPr>
          <w:rFonts w:cstheme="minorHAnsi"/>
          <w:color w:val="000000"/>
        </w:rPr>
        <w:t xml:space="preserve"> there is no requirement to take children’s rights into account when developing</w:t>
      </w:r>
      <w:r w:rsidRPr="00E7687D">
        <w:rPr>
          <w:rFonts w:cstheme="minorHAnsi"/>
          <w:color w:val="000000"/>
        </w:rPr>
        <w:t xml:space="preserve"> the Ministerial statement of national education and learning priorities</w:t>
      </w:r>
      <w:r>
        <w:rPr>
          <w:rFonts w:cstheme="minorHAnsi"/>
          <w:color w:val="000000"/>
        </w:rPr>
        <w:t>.</w:t>
      </w:r>
      <w:r w:rsidRPr="00BB0D1F">
        <w:rPr>
          <w:rFonts w:cstheme="minorHAnsi"/>
        </w:rPr>
        <w:t xml:space="preserve"> </w:t>
      </w:r>
      <w:hyperlink r:id="rId45" w:anchor="LMS274511" w:history="1">
        <w:r w:rsidRPr="00BB0D1F">
          <w:rPr>
            <w:rStyle w:val="Hyperlink"/>
            <w:rFonts w:cstheme="minorHAnsi"/>
          </w:rPr>
          <w:t>https://www.legislation.govt.nz/act/public/2020/0038/latest/whole.html#LMS274511</w:t>
        </w:r>
      </w:hyperlink>
      <w:r w:rsidRPr="00BB0D1F">
        <w:rPr>
          <w:rFonts w:cstheme="minorHAnsi"/>
        </w:rPr>
        <w:t>; see Education section below.</w:t>
      </w:r>
    </w:p>
  </w:footnote>
  <w:footnote w:id="91">
    <w:p w14:paraId="7C0CC4A8" w14:textId="6B0D30B7" w:rsidR="00A44524" w:rsidRPr="00BB0D1F" w:rsidRDefault="00A44524" w:rsidP="00E20FF1">
      <w:pPr>
        <w:pStyle w:val="FootnoteText"/>
        <w:rPr>
          <w:rFonts w:asciiTheme="minorHAnsi" w:hAnsiTheme="minorHAnsi" w:cstheme="minorHAnsi"/>
          <w:lang w:val="mi-NZ"/>
        </w:rPr>
      </w:pPr>
      <w:r w:rsidRPr="00BB0D1F">
        <w:rPr>
          <w:rStyle w:val="FootnoteReference"/>
          <w:rFonts w:asciiTheme="minorHAnsi" w:hAnsiTheme="minorHAnsi" w:cstheme="minorHAnsi"/>
        </w:rPr>
        <w:footnoteRef/>
      </w:r>
      <w:r w:rsidRPr="00BB0D1F">
        <w:rPr>
          <w:rFonts w:asciiTheme="minorHAnsi" w:hAnsiTheme="minorHAnsi" w:cstheme="minorHAnsi"/>
        </w:rPr>
        <w:t xml:space="preserve"> </w:t>
      </w:r>
      <w:r w:rsidR="00165172">
        <w:rPr>
          <w:rFonts w:asciiTheme="minorHAnsi" w:hAnsiTheme="minorHAnsi" w:cstheme="minorHAnsi"/>
          <w:lang w:val="mi-NZ"/>
        </w:rPr>
        <w:t>See paras 249–253 below.</w:t>
      </w:r>
    </w:p>
  </w:footnote>
  <w:footnote w:id="92">
    <w:p w14:paraId="10E168CE" w14:textId="77777777" w:rsidR="00A44524" w:rsidRPr="00BB0D1F" w:rsidRDefault="00A44524" w:rsidP="00E20FF1">
      <w:pPr>
        <w:pStyle w:val="FootnoteText"/>
        <w:rPr>
          <w:rFonts w:asciiTheme="minorHAnsi" w:hAnsiTheme="minorHAnsi" w:cstheme="minorHAnsi"/>
          <w:lang w:val="mi-NZ"/>
        </w:rPr>
      </w:pPr>
      <w:r w:rsidRPr="00BB0D1F">
        <w:rPr>
          <w:rStyle w:val="FootnoteReference"/>
          <w:rFonts w:asciiTheme="minorHAnsi" w:hAnsiTheme="minorHAnsi" w:cstheme="minorHAnsi"/>
        </w:rPr>
        <w:footnoteRef/>
      </w:r>
      <w:r w:rsidRPr="00BB0D1F">
        <w:rPr>
          <w:rFonts w:asciiTheme="minorHAnsi" w:hAnsiTheme="minorHAnsi" w:cstheme="minorHAnsi"/>
        </w:rPr>
        <w:t xml:space="preserve"> </w:t>
      </w:r>
      <w:r w:rsidRPr="00BB0D1F">
        <w:rPr>
          <w:rFonts w:asciiTheme="minorHAnsi" w:hAnsiTheme="minorHAnsi" w:cstheme="minorHAnsi"/>
          <w:lang w:val="mi-NZ"/>
        </w:rPr>
        <w:t xml:space="preserve">Government </w:t>
      </w:r>
      <w:r>
        <w:rPr>
          <w:rFonts w:asciiTheme="minorHAnsi" w:hAnsiTheme="minorHAnsi" w:cstheme="minorHAnsi"/>
          <w:lang w:val="mi-NZ"/>
        </w:rPr>
        <w:t>R</w:t>
      </w:r>
      <w:r w:rsidRPr="00BB0D1F">
        <w:rPr>
          <w:rFonts w:asciiTheme="minorHAnsi" w:hAnsiTheme="minorHAnsi" w:cstheme="minorHAnsi"/>
          <w:lang w:val="mi-NZ"/>
        </w:rPr>
        <w:t>eport, para 20.</w:t>
      </w:r>
    </w:p>
  </w:footnote>
  <w:footnote w:id="93">
    <w:p w14:paraId="327E5F68" w14:textId="593DA357" w:rsidR="00A44524" w:rsidRPr="00BB0D1F" w:rsidRDefault="00A44524" w:rsidP="00E20FF1">
      <w:pPr>
        <w:pStyle w:val="FootnoteText"/>
        <w:rPr>
          <w:rFonts w:asciiTheme="minorHAnsi" w:hAnsiTheme="minorHAnsi" w:cstheme="minorHAnsi"/>
          <w:lang w:val="mi-NZ"/>
        </w:rPr>
      </w:pPr>
      <w:r w:rsidRPr="00BB0D1F">
        <w:rPr>
          <w:rStyle w:val="FootnoteReference"/>
          <w:rFonts w:asciiTheme="minorHAnsi" w:hAnsiTheme="minorHAnsi" w:cstheme="minorHAnsi"/>
        </w:rPr>
        <w:footnoteRef/>
      </w:r>
      <w:r w:rsidRPr="00BB0D1F">
        <w:rPr>
          <w:rFonts w:asciiTheme="minorHAnsi" w:hAnsiTheme="minorHAnsi" w:cstheme="minorHAnsi"/>
        </w:rPr>
        <w:t xml:space="preserve"> </w:t>
      </w:r>
      <w:r w:rsidRPr="00BB0D1F">
        <w:rPr>
          <w:rFonts w:asciiTheme="minorHAnsi" w:hAnsiTheme="minorHAnsi" w:cstheme="minorHAnsi"/>
          <w:lang w:val="mi-NZ"/>
        </w:rPr>
        <w:t>UNCRPD, Article 7</w:t>
      </w:r>
      <w:r w:rsidR="003F3D76">
        <w:rPr>
          <w:rFonts w:asciiTheme="minorHAnsi" w:hAnsiTheme="minorHAnsi" w:cstheme="minorHAnsi"/>
          <w:lang w:val="mi-NZ"/>
        </w:rPr>
        <w:t>.</w:t>
      </w:r>
    </w:p>
  </w:footnote>
  <w:footnote w:id="94">
    <w:p w14:paraId="5C68037D" w14:textId="788EC4E5" w:rsidR="00A44524" w:rsidRPr="00BB0D1F" w:rsidRDefault="00A44524" w:rsidP="00E20FF1">
      <w:pPr>
        <w:pStyle w:val="FootnoteText"/>
        <w:rPr>
          <w:rFonts w:asciiTheme="minorHAnsi" w:hAnsiTheme="minorHAnsi" w:cstheme="minorHAnsi"/>
          <w:lang w:val="mi-NZ"/>
        </w:rPr>
      </w:pPr>
      <w:r w:rsidRPr="00BB0D1F">
        <w:rPr>
          <w:rStyle w:val="FootnoteReference"/>
          <w:rFonts w:asciiTheme="minorHAnsi" w:hAnsiTheme="minorHAnsi" w:cstheme="minorHAnsi"/>
        </w:rPr>
        <w:footnoteRef/>
      </w:r>
      <w:r w:rsidRPr="00BB0D1F">
        <w:rPr>
          <w:rFonts w:asciiTheme="minorHAnsi" w:hAnsiTheme="minorHAnsi" w:cstheme="minorHAnsi"/>
        </w:rPr>
        <w:t xml:space="preserve"> </w:t>
      </w:r>
      <w:r w:rsidR="00165172">
        <w:rPr>
          <w:rFonts w:asciiTheme="minorHAnsi" w:hAnsiTheme="minorHAnsi" w:cstheme="minorHAnsi"/>
        </w:rPr>
        <w:t xml:space="preserve">For an analysis of the policy process underpinning the Bill see: </w:t>
      </w:r>
      <w:r w:rsidR="00165172">
        <w:rPr>
          <w:rFonts w:asciiTheme="minorHAnsi" w:hAnsiTheme="minorHAnsi" w:cstheme="minorHAnsi"/>
          <w:lang w:val="mi-NZ"/>
        </w:rPr>
        <w:t xml:space="preserve">David King and Jonathon Boston </w:t>
      </w:r>
      <w:r w:rsidR="003F3D76">
        <w:rPr>
          <w:rFonts w:asciiTheme="minorHAnsi" w:hAnsiTheme="minorHAnsi" w:cstheme="minorHAnsi"/>
          <w:lang w:val="mi-NZ"/>
        </w:rPr>
        <w:t xml:space="preserve">(27 July 2022) </w:t>
      </w:r>
      <w:r w:rsidR="00165172">
        <w:rPr>
          <w:rFonts w:asciiTheme="minorHAnsi" w:hAnsiTheme="minorHAnsi" w:cstheme="minorHAnsi"/>
          <w:i/>
          <w:iCs/>
          <w:lang w:val="mi-NZ"/>
        </w:rPr>
        <w:t>Improving a system when young lives are at stake: A public policy analysis of the Oversight of Oranga Tamariki System and Children and Young People’s Commission Bill</w:t>
      </w:r>
      <w:r w:rsidR="00165172">
        <w:rPr>
          <w:rFonts w:asciiTheme="minorHAnsi" w:hAnsiTheme="minorHAnsi" w:cstheme="minorHAnsi"/>
          <w:lang w:val="mi-NZ"/>
        </w:rPr>
        <w:t>:</w:t>
      </w:r>
      <w:r w:rsidR="003F3D76">
        <w:rPr>
          <w:rFonts w:asciiTheme="minorHAnsi" w:hAnsiTheme="minorHAnsi" w:cstheme="minorHAnsi"/>
          <w:lang w:val="mi-NZ"/>
        </w:rPr>
        <w:t xml:space="preserve"> </w:t>
      </w:r>
      <w:hyperlink r:id="rId46" w:history="1">
        <w:r w:rsidR="003F3D76" w:rsidRPr="00F85ABD">
          <w:rPr>
            <w:rStyle w:val="Hyperlink"/>
            <w:rFonts w:asciiTheme="minorHAnsi" w:hAnsiTheme="minorHAnsi" w:cstheme="minorHAnsi"/>
            <w:lang w:val="mi-NZ"/>
          </w:rPr>
          <w:t>https://drive.google.com/file/d/1hh6jq9HGa1oyva6EHV3vRBwvjtXVJvV/view</w:t>
        </w:r>
      </w:hyperlink>
    </w:p>
  </w:footnote>
  <w:footnote w:id="95">
    <w:p w14:paraId="2E012D70" w14:textId="77777777" w:rsidR="00A44524" w:rsidRPr="008D6E66" w:rsidRDefault="00A44524" w:rsidP="00E20FF1">
      <w:pPr>
        <w:pStyle w:val="FootnoteText"/>
        <w:rPr>
          <w:lang w:val="mi-NZ"/>
        </w:rPr>
      </w:pPr>
      <w:r>
        <w:rPr>
          <w:rStyle w:val="FootnoteReference"/>
        </w:rPr>
        <w:footnoteRef/>
      </w:r>
      <w:r>
        <w:t xml:space="preserve"> </w:t>
      </w:r>
      <w:r w:rsidRPr="008D6E66">
        <w:rPr>
          <w:rFonts w:asciiTheme="minorHAnsi" w:hAnsiTheme="minorHAnsi" w:cstheme="minorHAnsi"/>
          <w:lang w:val="mi-NZ"/>
        </w:rPr>
        <w:t>United Nations Convention on the Rights of Persons with Disabilities.</w:t>
      </w:r>
    </w:p>
  </w:footnote>
  <w:footnote w:id="96">
    <w:p w14:paraId="44B3642A" w14:textId="4D323906" w:rsidR="00DA7899" w:rsidRPr="00AE22A0" w:rsidRDefault="00DA7899" w:rsidP="00E20FF1">
      <w:pPr>
        <w:pStyle w:val="FootnoteText"/>
        <w:rPr>
          <w:rFonts w:asciiTheme="minorHAnsi" w:hAnsiTheme="minorHAnsi" w:cstheme="minorHAnsi"/>
          <w:lang w:val="mi-NZ"/>
        </w:rPr>
      </w:pPr>
      <w:r>
        <w:rPr>
          <w:rStyle w:val="FootnoteReference"/>
        </w:rPr>
        <w:footnoteRef/>
      </w:r>
      <w:r>
        <w:t xml:space="preserve"> </w:t>
      </w:r>
      <w:r w:rsidRPr="00AE22A0">
        <w:rPr>
          <w:rFonts w:asciiTheme="minorHAnsi" w:hAnsiTheme="minorHAnsi" w:cstheme="minorHAnsi"/>
          <w:lang w:val="mi-NZ"/>
        </w:rPr>
        <w:t xml:space="preserve">Consistent with the CRC, </w:t>
      </w:r>
      <w:r w:rsidR="003F3D76">
        <w:rPr>
          <w:rFonts w:asciiTheme="minorHAnsi" w:hAnsiTheme="minorHAnsi" w:cstheme="minorHAnsi"/>
          <w:lang w:val="mi-NZ"/>
        </w:rPr>
        <w:t>T</w:t>
      </w:r>
      <w:r w:rsidRPr="00AE22A0">
        <w:rPr>
          <w:rFonts w:asciiTheme="minorHAnsi" w:hAnsiTheme="minorHAnsi" w:cstheme="minorHAnsi"/>
          <w:lang w:val="mi-NZ"/>
        </w:rPr>
        <w:t>e Tiriti o Waitangi and other relevant international human rights obligations</w:t>
      </w:r>
      <w:r>
        <w:rPr>
          <w:rFonts w:asciiTheme="minorHAnsi" w:hAnsiTheme="minorHAnsi" w:cstheme="minorHAnsi"/>
          <w:lang w:val="mi-NZ"/>
        </w:rPr>
        <w:t>.</w:t>
      </w:r>
    </w:p>
  </w:footnote>
  <w:footnote w:id="97">
    <w:p w14:paraId="2B16C4BC" w14:textId="1AC26F8D" w:rsidR="000357D3" w:rsidRPr="00BA36C9" w:rsidRDefault="000357D3" w:rsidP="00E20FF1">
      <w:pPr>
        <w:pStyle w:val="FootnoteText"/>
        <w:rPr>
          <w:lang w:val="mi-NZ"/>
        </w:rPr>
      </w:pPr>
      <w:r>
        <w:rPr>
          <w:rStyle w:val="FootnoteReference"/>
        </w:rPr>
        <w:footnoteRef/>
      </w:r>
      <w:r>
        <w:t xml:space="preserve"> </w:t>
      </w:r>
      <w:r w:rsidRPr="00BA36C9">
        <w:rPr>
          <w:rFonts w:asciiTheme="minorHAnsi" w:hAnsiTheme="minorHAnsi" w:cstheme="minorHAnsi"/>
          <w:lang w:val="mi-NZ"/>
        </w:rPr>
        <w:t>Oranga Tamariki Act 1989, s</w:t>
      </w:r>
      <w:r w:rsidR="003F3D76">
        <w:rPr>
          <w:rFonts w:asciiTheme="minorHAnsi" w:hAnsiTheme="minorHAnsi" w:cstheme="minorHAnsi"/>
          <w:lang w:val="mi-NZ"/>
        </w:rPr>
        <w:t xml:space="preserve"> </w:t>
      </w:r>
      <w:r w:rsidRPr="00BA36C9">
        <w:rPr>
          <w:rFonts w:asciiTheme="minorHAnsi" w:hAnsiTheme="minorHAnsi" w:cstheme="minorHAnsi"/>
          <w:lang w:val="mi-NZ"/>
        </w:rPr>
        <w:t>5.</w:t>
      </w:r>
    </w:p>
  </w:footnote>
  <w:footnote w:id="98">
    <w:p w14:paraId="238619C5" w14:textId="064704E9" w:rsidR="000357D3" w:rsidRPr="00BB0D1F" w:rsidRDefault="000357D3" w:rsidP="00E20FF1">
      <w:pPr>
        <w:pStyle w:val="FootnoteText"/>
        <w:rPr>
          <w:rFonts w:asciiTheme="minorHAnsi" w:hAnsiTheme="minorHAnsi" w:cstheme="minorHAnsi"/>
          <w:lang w:val="mi-NZ"/>
        </w:rPr>
      </w:pPr>
      <w:r w:rsidRPr="00BB0D1F">
        <w:rPr>
          <w:rStyle w:val="FootnoteReference"/>
          <w:rFonts w:asciiTheme="minorHAnsi" w:hAnsiTheme="minorHAnsi" w:cstheme="minorHAnsi"/>
        </w:rPr>
        <w:footnoteRef/>
      </w:r>
      <w:r w:rsidRPr="00BB0D1F">
        <w:rPr>
          <w:rFonts w:asciiTheme="minorHAnsi" w:hAnsiTheme="minorHAnsi" w:cstheme="minorHAnsi"/>
        </w:rPr>
        <w:t xml:space="preserve"> See </w:t>
      </w:r>
      <w:proofErr w:type="spellStart"/>
      <w:r w:rsidRPr="00BB0D1F">
        <w:rPr>
          <w:rFonts w:asciiTheme="minorHAnsi" w:eastAsiaTheme="minorHAnsi" w:hAnsiTheme="minorHAnsi" w:cstheme="minorHAnsi"/>
          <w:color w:val="000000"/>
          <w:lang w:val="en-GB" w:eastAsia="en-US"/>
        </w:rPr>
        <w:t>Te</w:t>
      </w:r>
      <w:proofErr w:type="spellEnd"/>
      <w:r w:rsidRPr="00BB0D1F">
        <w:rPr>
          <w:rFonts w:asciiTheme="minorHAnsi" w:eastAsiaTheme="minorHAnsi" w:hAnsiTheme="minorHAnsi" w:cstheme="minorHAnsi"/>
          <w:color w:val="000000"/>
          <w:lang w:val="en-GB" w:eastAsia="en-US"/>
        </w:rPr>
        <w:t xml:space="preserve"> </w:t>
      </w:r>
      <w:proofErr w:type="spellStart"/>
      <w:r w:rsidRPr="00BB0D1F">
        <w:rPr>
          <w:rFonts w:asciiTheme="minorHAnsi" w:eastAsiaTheme="minorHAnsi" w:hAnsiTheme="minorHAnsi" w:cstheme="minorHAnsi"/>
          <w:color w:val="000000"/>
          <w:lang w:val="en-GB" w:eastAsia="en-US"/>
        </w:rPr>
        <w:t>Rōpū</w:t>
      </w:r>
      <w:proofErr w:type="spellEnd"/>
      <w:r w:rsidRPr="00BB0D1F">
        <w:rPr>
          <w:rFonts w:asciiTheme="minorHAnsi" w:eastAsiaTheme="minorHAnsi" w:hAnsiTheme="minorHAnsi" w:cstheme="minorHAnsi"/>
          <w:color w:val="000000"/>
          <w:lang w:val="en-GB" w:eastAsia="en-US"/>
        </w:rPr>
        <w:t xml:space="preserve"> </w:t>
      </w:r>
      <w:proofErr w:type="spellStart"/>
      <w:r w:rsidRPr="00BB0D1F">
        <w:rPr>
          <w:rFonts w:asciiTheme="minorHAnsi" w:eastAsiaTheme="minorHAnsi" w:hAnsiTheme="minorHAnsi" w:cstheme="minorHAnsi"/>
          <w:color w:val="000000"/>
          <w:lang w:val="en-GB" w:eastAsia="en-US"/>
        </w:rPr>
        <w:t>Arotahi</w:t>
      </w:r>
      <w:proofErr w:type="spellEnd"/>
      <w:r w:rsidRPr="00BB0D1F">
        <w:rPr>
          <w:rFonts w:asciiTheme="minorHAnsi" w:eastAsiaTheme="minorHAnsi" w:hAnsiTheme="minorHAnsi" w:cstheme="minorHAnsi"/>
          <w:color w:val="000000"/>
          <w:lang w:val="en-GB" w:eastAsia="en-US"/>
        </w:rPr>
        <w:t xml:space="preserve"> (2022) </w:t>
      </w:r>
      <w:r w:rsidRPr="00BB0D1F">
        <w:rPr>
          <w:rFonts w:asciiTheme="minorHAnsi" w:eastAsiaTheme="minorHAnsi" w:hAnsiTheme="minorHAnsi" w:cstheme="minorHAnsi"/>
          <w:i/>
          <w:iCs/>
          <w:color w:val="000000"/>
          <w:lang w:val="en-GB" w:eastAsia="en-US"/>
        </w:rPr>
        <w:t xml:space="preserve">Kia Tika, Kia </w:t>
      </w:r>
      <w:proofErr w:type="spellStart"/>
      <w:r w:rsidRPr="00BB0D1F">
        <w:rPr>
          <w:rFonts w:asciiTheme="minorHAnsi" w:eastAsiaTheme="minorHAnsi" w:hAnsiTheme="minorHAnsi" w:cstheme="minorHAnsi"/>
          <w:i/>
          <w:iCs/>
          <w:color w:val="000000"/>
          <w:lang w:val="en-GB" w:eastAsia="en-US"/>
        </w:rPr>
        <w:t>Pono</w:t>
      </w:r>
      <w:proofErr w:type="spellEnd"/>
      <w:r w:rsidRPr="00BB0D1F">
        <w:rPr>
          <w:rFonts w:asciiTheme="minorHAnsi" w:eastAsiaTheme="minorHAnsi" w:hAnsiTheme="minorHAnsi" w:cstheme="minorHAnsi"/>
          <w:i/>
          <w:iCs/>
          <w:color w:val="000000"/>
          <w:lang w:val="en-GB" w:eastAsia="en-US"/>
        </w:rPr>
        <w:t xml:space="preserve"> – Honouring Truths: An Ethical Framework for Engaging with Children and Young People who are Care Experienced</w:t>
      </w:r>
      <w:r w:rsidRPr="00BB0D1F">
        <w:rPr>
          <w:rFonts w:asciiTheme="minorHAnsi" w:eastAsiaTheme="minorHAnsi" w:hAnsiTheme="minorHAnsi" w:cstheme="minorHAnsi"/>
          <w:color w:val="000000"/>
          <w:lang w:val="en-GB" w:eastAsia="en-US"/>
        </w:rPr>
        <w:t xml:space="preserve">: </w:t>
      </w:r>
      <w:hyperlink r:id="rId47" w:history="1">
        <w:r w:rsidRPr="00A17B56">
          <w:rPr>
            <w:rFonts w:asciiTheme="minorHAnsi" w:eastAsiaTheme="minorHAnsi" w:hAnsiTheme="minorHAnsi" w:cstheme="minorHAnsi"/>
            <w:color w:val="25409A" w:themeColor="text2"/>
            <w:u w:val="single" w:color="094FD1"/>
            <w:lang w:val="en-GB" w:eastAsia="en-US"/>
          </w:rPr>
          <w:t>https://voyce.org.nz/kiatikakiapono</w:t>
        </w:r>
      </w:hyperlink>
    </w:p>
  </w:footnote>
  <w:footnote w:id="99">
    <w:p w14:paraId="26DE8FF8" w14:textId="068F7F6A" w:rsidR="000357D3" w:rsidRPr="00BB0D1F" w:rsidRDefault="000357D3" w:rsidP="00E20FF1">
      <w:pPr>
        <w:pStyle w:val="FootnoteText"/>
        <w:rPr>
          <w:rFonts w:asciiTheme="minorHAnsi" w:hAnsiTheme="minorHAnsi" w:cstheme="minorHAnsi"/>
          <w:lang w:val="mi-NZ"/>
        </w:rPr>
      </w:pPr>
      <w:r w:rsidRPr="00BB0D1F">
        <w:rPr>
          <w:rStyle w:val="FootnoteReference"/>
          <w:rFonts w:asciiTheme="minorHAnsi" w:hAnsiTheme="minorHAnsi" w:cstheme="minorHAnsi"/>
        </w:rPr>
        <w:footnoteRef/>
      </w:r>
      <w:r w:rsidRPr="00BB0D1F">
        <w:rPr>
          <w:rFonts w:asciiTheme="minorHAnsi" w:hAnsiTheme="minorHAnsi" w:cstheme="minorHAnsi"/>
        </w:rPr>
        <w:t xml:space="preserve"> Government Report, para</w:t>
      </w:r>
      <w:r>
        <w:rPr>
          <w:rFonts w:asciiTheme="minorHAnsi" w:hAnsiTheme="minorHAnsi" w:cstheme="minorHAnsi"/>
        </w:rPr>
        <w:t xml:space="preserve"> 6</w:t>
      </w:r>
      <w:r w:rsidRPr="00BB0D1F">
        <w:rPr>
          <w:rFonts w:asciiTheme="minorHAnsi" w:hAnsiTheme="minorHAnsi" w:cstheme="minorHAnsi"/>
        </w:rPr>
        <w:t>.</w:t>
      </w:r>
    </w:p>
  </w:footnote>
  <w:footnote w:id="100">
    <w:p w14:paraId="4345D823" w14:textId="4A17C6B2" w:rsidR="000357D3" w:rsidRPr="00F70C12" w:rsidRDefault="000357D3" w:rsidP="00E20FF1">
      <w:pPr>
        <w:pStyle w:val="FootnoteText"/>
        <w:rPr>
          <w:lang w:val="mi-NZ"/>
        </w:rPr>
      </w:pPr>
      <w:r>
        <w:rPr>
          <w:rStyle w:val="FootnoteReference"/>
        </w:rPr>
        <w:footnoteRef/>
      </w:r>
      <w:r>
        <w:t xml:space="preserve"> </w:t>
      </w:r>
      <w:r w:rsidRPr="00E7687D">
        <w:rPr>
          <w:rFonts w:asciiTheme="minorHAnsi" w:hAnsiTheme="minorHAnsi" w:cstheme="minorHAnsi"/>
          <w:lang w:val="mi-NZ"/>
        </w:rPr>
        <w:t>Child Poverty Reduction Act 2018</w:t>
      </w:r>
      <w:r w:rsidR="00E65891">
        <w:rPr>
          <w:rFonts w:asciiTheme="minorHAnsi" w:hAnsiTheme="minorHAnsi" w:cstheme="minorHAnsi"/>
          <w:lang w:val="mi-NZ"/>
        </w:rPr>
        <w:t>.</w:t>
      </w:r>
    </w:p>
  </w:footnote>
  <w:footnote w:id="101">
    <w:p w14:paraId="698195A6" w14:textId="1537F4DD" w:rsidR="000357D3" w:rsidRPr="00F70C12" w:rsidRDefault="000357D3" w:rsidP="00E20FF1">
      <w:pPr>
        <w:pStyle w:val="FootnoteText"/>
        <w:rPr>
          <w:lang w:val="mi-NZ"/>
        </w:rPr>
      </w:pPr>
      <w:r>
        <w:rPr>
          <w:rStyle w:val="FootnoteReference"/>
        </w:rPr>
        <w:footnoteRef/>
      </w:r>
      <w:r>
        <w:t xml:space="preserve"> </w:t>
      </w:r>
      <w:r w:rsidRPr="00E7687D">
        <w:rPr>
          <w:rFonts w:asciiTheme="minorHAnsi" w:hAnsiTheme="minorHAnsi" w:cstheme="minorHAnsi"/>
          <w:lang w:val="mi-NZ"/>
        </w:rPr>
        <w:t>Children’s Act 2014</w:t>
      </w:r>
      <w:r>
        <w:rPr>
          <w:rFonts w:asciiTheme="minorHAnsi" w:hAnsiTheme="minorHAnsi" w:cstheme="minorHAnsi"/>
          <w:lang w:val="mi-NZ"/>
        </w:rPr>
        <w:t>, ss 4 and 7D.</w:t>
      </w:r>
    </w:p>
  </w:footnote>
  <w:footnote w:id="102">
    <w:p w14:paraId="2B56E077" w14:textId="6E6B4C05" w:rsidR="000357D3" w:rsidRPr="00967F32" w:rsidRDefault="000357D3" w:rsidP="00E20FF1">
      <w:pPr>
        <w:pStyle w:val="FootnoteText"/>
        <w:rPr>
          <w:lang w:val="mi-NZ"/>
        </w:rPr>
      </w:pPr>
      <w:r>
        <w:rPr>
          <w:rStyle w:val="FootnoteReference"/>
        </w:rPr>
        <w:footnoteRef/>
      </w:r>
      <w:r>
        <w:t xml:space="preserve"> </w:t>
      </w:r>
      <w:r w:rsidRPr="00E7687D">
        <w:rPr>
          <w:rFonts w:asciiTheme="minorHAnsi" w:hAnsiTheme="minorHAnsi" w:cstheme="minorHAnsi"/>
          <w:lang w:val="mi-NZ"/>
        </w:rPr>
        <w:t>T</w:t>
      </w:r>
      <w:r w:rsidRPr="00E7687D">
        <w:rPr>
          <w:rFonts w:asciiTheme="minorHAnsi" w:eastAsiaTheme="minorHAnsi" w:hAnsiTheme="minorHAnsi" w:cstheme="minorHAnsi"/>
          <w:color w:val="000000"/>
          <w:lang w:val="en-GB" w:eastAsia="en-US"/>
        </w:rPr>
        <w:t xml:space="preserve">he inaugural </w:t>
      </w:r>
      <w:proofErr w:type="spellStart"/>
      <w:r w:rsidRPr="00E7687D">
        <w:rPr>
          <w:rFonts w:asciiTheme="minorHAnsi" w:eastAsiaTheme="minorHAnsi" w:hAnsiTheme="minorHAnsi" w:cstheme="minorHAnsi"/>
          <w:color w:val="000000"/>
          <w:lang w:val="en-GB" w:eastAsia="en-US"/>
        </w:rPr>
        <w:t>Oranga</w:t>
      </w:r>
      <w:proofErr w:type="spellEnd"/>
      <w:r w:rsidRPr="00E7687D">
        <w:rPr>
          <w:rFonts w:asciiTheme="minorHAnsi" w:eastAsiaTheme="minorHAnsi" w:hAnsiTheme="minorHAnsi" w:cstheme="minorHAnsi"/>
          <w:color w:val="000000"/>
          <w:lang w:val="en-GB" w:eastAsia="en-US"/>
        </w:rPr>
        <w:t xml:space="preserve"> Tamariki Action Plan was released in July 2022.</w:t>
      </w:r>
      <w:r w:rsidRPr="007C6EE5">
        <w:rPr>
          <w:rFonts w:asciiTheme="minorHAnsi" w:eastAsiaTheme="minorHAnsi" w:hAnsiTheme="minorHAnsi" w:cstheme="minorHAnsi"/>
          <w:color w:val="000000"/>
          <w:lang w:val="en-GB" w:eastAsia="en-US"/>
        </w:rPr>
        <w:t xml:space="preserve"> </w:t>
      </w:r>
      <w:r w:rsidRPr="00BB0D1F">
        <w:rPr>
          <w:rFonts w:asciiTheme="minorHAnsi" w:eastAsiaTheme="minorHAnsi" w:hAnsiTheme="minorHAnsi" w:cstheme="minorHAnsi"/>
          <w:color w:val="000000"/>
          <w:lang w:val="en-GB" w:eastAsia="en-US"/>
        </w:rPr>
        <w:t>T</w:t>
      </w:r>
      <w:r w:rsidR="007069BB">
        <w:rPr>
          <w:rFonts w:asciiTheme="minorHAnsi" w:eastAsiaTheme="minorHAnsi" w:hAnsiTheme="minorHAnsi" w:cstheme="minorHAnsi"/>
          <w:color w:val="000000"/>
          <w:lang w:val="en-GB" w:eastAsia="en-US"/>
        </w:rPr>
        <w:t xml:space="preserve">his </w:t>
      </w:r>
      <w:r w:rsidRPr="00BB0D1F">
        <w:rPr>
          <w:rFonts w:asciiTheme="minorHAnsi" w:eastAsiaTheme="minorHAnsi" w:hAnsiTheme="minorHAnsi" w:cstheme="minorHAnsi"/>
          <w:color w:val="000000"/>
          <w:lang w:val="en-GB" w:eastAsia="en-US"/>
        </w:rPr>
        <w:t xml:space="preserve">sits under the CYWS, as required by the Children’s Act 2014, and sets out how CEOs from a range of agencies will improve </w:t>
      </w:r>
      <w:r>
        <w:rPr>
          <w:rFonts w:asciiTheme="minorHAnsi" w:eastAsiaTheme="minorHAnsi" w:hAnsiTheme="minorHAnsi" w:cstheme="minorHAnsi"/>
          <w:color w:val="000000"/>
          <w:lang w:val="en-GB" w:eastAsia="en-US"/>
        </w:rPr>
        <w:t>children’s</w:t>
      </w:r>
      <w:r w:rsidRPr="00BB0D1F">
        <w:rPr>
          <w:rFonts w:asciiTheme="minorHAnsi" w:eastAsiaTheme="minorHAnsi" w:hAnsiTheme="minorHAnsi" w:cstheme="minorHAnsi"/>
          <w:color w:val="000000"/>
          <w:lang w:val="en-GB" w:eastAsia="en-US"/>
        </w:rPr>
        <w:t xml:space="preserve"> wellbeing</w:t>
      </w:r>
      <w:r>
        <w:rPr>
          <w:rFonts w:asciiTheme="minorHAnsi" w:eastAsiaTheme="minorHAnsi" w:hAnsiTheme="minorHAnsi" w:cstheme="minorHAnsi"/>
          <w:color w:val="000000"/>
          <w:lang w:val="en-GB" w:eastAsia="en-US"/>
        </w:rPr>
        <w:t>:</w:t>
      </w:r>
      <w:r w:rsidRPr="00BB0D1F">
        <w:rPr>
          <w:rFonts w:asciiTheme="minorHAnsi" w:hAnsiTheme="minorHAnsi" w:cstheme="minorHAnsi"/>
        </w:rPr>
        <w:t xml:space="preserve"> </w:t>
      </w:r>
      <w:hyperlink r:id="rId48" w:history="1">
        <w:r w:rsidRPr="00BB0D1F">
          <w:rPr>
            <w:rStyle w:val="Hyperlink"/>
            <w:rFonts w:asciiTheme="minorHAnsi" w:hAnsiTheme="minorHAnsi" w:cstheme="minorHAnsi"/>
          </w:rPr>
          <w:t>https://www.orangatamariki.govt.nz/about-us/how-we-work/oranga-tamariki-action-plan/</w:t>
        </w:r>
      </w:hyperlink>
    </w:p>
  </w:footnote>
  <w:footnote w:id="103">
    <w:p w14:paraId="7C8F6CEC" w14:textId="77777777" w:rsidR="00A7332A" w:rsidRPr="007C6EE5" w:rsidRDefault="00A7332A" w:rsidP="00E20FF1">
      <w:pPr>
        <w:pStyle w:val="FootnoteText"/>
        <w:rPr>
          <w:lang w:val="mi-NZ"/>
        </w:rPr>
      </w:pPr>
      <w:r>
        <w:rPr>
          <w:rStyle w:val="FootnoteReference"/>
        </w:rPr>
        <w:footnoteRef/>
      </w:r>
      <w:r>
        <w:t xml:space="preserve"> </w:t>
      </w:r>
      <w:hyperlink r:id="rId49" w:history="1">
        <w:r w:rsidRPr="00F06804">
          <w:rPr>
            <w:rStyle w:val="Hyperlink"/>
            <w:rFonts w:asciiTheme="minorHAnsi" w:hAnsiTheme="minorHAnsi" w:cstheme="minorHAnsi"/>
          </w:rPr>
          <w:t>https://www.childyouthwellbeing.govt.nz</w:t>
        </w:r>
      </w:hyperlink>
      <w:r>
        <w:rPr>
          <w:rFonts w:asciiTheme="minorHAnsi" w:hAnsiTheme="minorHAnsi" w:cstheme="minorHAnsi"/>
          <w:color w:val="000000"/>
        </w:rPr>
        <w:t xml:space="preserve"> </w:t>
      </w:r>
    </w:p>
  </w:footnote>
  <w:footnote w:id="104">
    <w:p w14:paraId="2552A4BA" w14:textId="77777777" w:rsidR="00A7332A" w:rsidRPr="00BB0D1F" w:rsidRDefault="00A7332A" w:rsidP="00E20FF1">
      <w:pPr>
        <w:pStyle w:val="FootnoteText"/>
        <w:rPr>
          <w:rFonts w:asciiTheme="minorHAnsi" w:hAnsiTheme="minorHAnsi" w:cstheme="minorHAnsi"/>
          <w:lang w:val="mi-NZ"/>
        </w:rPr>
      </w:pPr>
      <w:r w:rsidRPr="00BB0D1F">
        <w:rPr>
          <w:rStyle w:val="FootnoteReference"/>
          <w:rFonts w:asciiTheme="minorHAnsi" w:hAnsiTheme="minorHAnsi" w:cstheme="minorHAnsi"/>
        </w:rPr>
        <w:footnoteRef/>
      </w:r>
      <w:r w:rsidRPr="00BB0D1F">
        <w:rPr>
          <w:rFonts w:asciiTheme="minorHAnsi" w:hAnsiTheme="minorHAnsi" w:cstheme="minorHAnsi"/>
        </w:rPr>
        <w:t xml:space="preserve"> The CYWS inten</w:t>
      </w:r>
      <w:r>
        <w:rPr>
          <w:rFonts w:asciiTheme="minorHAnsi" w:hAnsiTheme="minorHAnsi" w:cstheme="minorHAnsi"/>
        </w:rPr>
        <w:t>ds</w:t>
      </w:r>
      <w:r w:rsidRPr="00BB0D1F">
        <w:rPr>
          <w:rFonts w:asciiTheme="minorHAnsi" w:hAnsiTheme="minorHAnsi" w:cstheme="minorHAnsi"/>
        </w:rPr>
        <w:t xml:space="preserve"> to provide a unifying framework to plan for and improve children’s wellbeing.</w:t>
      </w:r>
    </w:p>
  </w:footnote>
  <w:footnote w:id="105">
    <w:p w14:paraId="6E864B4F" w14:textId="452F66FD" w:rsidR="00A7332A" w:rsidRPr="00BB0D1F" w:rsidRDefault="00A7332A" w:rsidP="00E20FF1">
      <w:pPr>
        <w:pStyle w:val="FootnoteText"/>
        <w:rPr>
          <w:rFonts w:asciiTheme="minorHAnsi" w:hAnsiTheme="minorHAnsi" w:cstheme="minorHAnsi"/>
          <w:lang w:val="mi-NZ"/>
        </w:rPr>
      </w:pPr>
      <w:r w:rsidRPr="00BB0D1F">
        <w:rPr>
          <w:rStyle w:val="FootnoteReference"/>
          <w:rFonts w:asciiTheme="minorHAnsi" w:hAnsiTheme="minorHAnsi" w:cstheme="minorHAnsi"/>
        </w:rPr>
        <w:footnoteRef/>
      </w:r>
      <w:r w:rsidRPr="00BB0D1F">
        <w:rPr>
          <w:rFonts w:asciiTheme="minorHAnsi" w:hAnsiTheme="minorHAnsi" w:cstheme="minorHAnsi"/>
        </w:rPr>
        <w:t xml:space="preserve"> </w:t>
      </w:r>
      <w:r w:rsidRPr="00F97288">
        <w:rPr>
          <w:rFonts w:asciiTheme="minorHAnsi" w:hAnsiTheme="minorHAnsi" w:cstheme="minorHAnsi"/>
        </w:rPr>
        <w:t xml:space="preserve">For example, the significant fluctuations in rates of baby removal into State care (see </w:t>
      </w:r>
      <w:r w:rsidR="00AB5DA9" w:rsidRPr="00F97288">
        <w:rPr>
          <w:rFonts w:asciiTheme="minorHAnsi" w:hAnsiTheme="minorHAnsi" w:cstheme="minorHAnsi"/>
        </w:rPr>
        <w:t>Appendix Two</w:t>
      </w:r>
      <w:r w:rsidRPr="00F97288">
        <w:rPr>
          <w:rFonts w:asciiTheme="minorHAnsi" w:hAnsiTheme="minorHAnsi" w:cstheme="minorHAnsi"/>
        </w:rPr>
        <w:t xml:space="preserve">) during 2018/19, arguably demonstrates insufficient consideration being given to children’s right to, as far as possible, know and be cared for by their family and their right to identity; for </w:t>
      </w:r>
      <w:proofErr w:type="spellStart"/>
      <w:r w:rsidRPr="00F97288">
        <w:rPr>
          <w:rFonts w:asciiTheme="minorHAnsi" w:hAnsiTheme="minorHAnsi" w:cstheme="minorHAnsi"/>
        </w:rPr>
        <w:t>tamariki</w:t>
      </w:r>
      <w:proofErr w:type="spellEnd"/>
      <w:r w:rsidRPr="00F97288">
        <w:rPr>
          <w:rFonts w:asciiTheme="minorHAnsi" w:hAnsiTheme="minorHAnsi" w:cstheme="minorHAnsi"/>
        </w:rPr>
        <w:t xml:space="preserve"> Māori, their right to whakapapa. The significant, intergenerational impact of disrupting whakapapa and failing to uphold identity rights is clear from the evidence that has been presented to the Royal Commission.</w:t>
      </w:r>
    </w:p>
  </w:footnote>
  <w:footnote w:id="106">
    <w:p w14:paraId="31040A70" w14:textId="77777777" w:rsidR="00A7332A" w:rsidRPr="00BB0D1F" w:rsidRDefault="00A7332A" w:rsidP="00E20FF1">
      <w:pPr>
        <w:spacing w:after="0" w:line="240" w:lineRule="auto"/>
        <w:rPr>
          <w:rFonts w:cstheme="minorHAnsi"/>
        </w:rPr>
      </w:pPr>
      <w:r w:rsidRPr="00BB0D1F">
        <w:rPr>
          <w:rStyle w:val="FootnoteReference"/>
          <w:rFonts w:cstheme="minorHAnsi"/>
        </w:rPr>
        <w:footnoteRef/>
      </w:r>
      <w:r w:rsidRPr="00BB0D1F">
        <w:rPr>
          <w:rFonts w:cstheme="minorHAnsi"/>
        </w:rPr>
        <w:t xml:space="preserve"> </w:t>
      </w:r>
      <w:r w:rsidRPr="00BB0D1F">
        <w:rPr>
          <w:rFonts w:cstheme="minorHAnsi"/>
          <w:color w:val="000000"/>
        </w:rPr>
        <w:t>Very little of the CYWS applies directly to children under five years of age</w:t>
      </w:r>
      <w:r>
        <w:rPr>
          <w:rFonts w:cstheme="minorHAnsi"/>
          <w:color w:val="000000"/>
        </w:rPr>
        <w:t xml:space="preserve"> and is </w:t>
      </w:r>
      <w:r w:rsidRPr="00BB0D1F">
        <w:rPr>
          <w:rFonts w:cstheme="minorHAnsi"/>
          <w:color w:val="000000"/>
        </w:rPr>
        <w:t>a missed opportunity to ensure every child has the best start in life.</w:t>
      </w:r>
    </w:p>
  </w:footnote>
  <w:footnote w:id="107">
    <w:p w14:paraId="734BD05D" w14:textId="77777777" w:rsidR="00A7332A" w:rsidRPr="00162836" w:rsidRDefault="00A7332A" w:rsidP="00E20FF1">
      <w:pPr>
        <w:pStyle w:val="NoSpacing"/>
        <w:rPr>
          <w:rFonts w:cstheme="minorHAnsi"/>
        </w:rPr>
      </w:pPr>
      <w:r w:rsidRPr="00162836">
        <w:rPr>
          <w:rStyle w:val="FootnoteReference"/>
          <w:rFonts w:cstheme="minorHAnsi"/>
        </w:rPr>
        <w:footnoteRef/>
      </w:r>
      <w:r w:rsidRPr="00162836">
        <w:rPr>
          <w:rFonts w:cstheme="minorHAnsi"/>
        </w:rPr>
        <w:t xml:space="preserve"> The Child Impact Assessment Tool was developed to guide public servants considering the impact on children of policy or legislative proposals</w:t>
      </w:r>
      <w:r>
        <w:rPr>
          <w:rFonts w:cstheme="minorHAnsi"/>
        </w:rPr>
        <w:t>: s</w:t>
      </w:r>
      <w:r w:rsidRPr="00162836">
        <w:rPr>
          <w:rFonts w:cstheme="minorHAnsi"/>
        </w:rPr>
        <w:t xml:space="preserve">ee </w:t>
      </w:r>
      <w:hyperlink r:id="rId50">
        <w:r w:rsidRPr="00162836">
          <w:rPr>
            <w:rFonts w:cstheme="minorHAnsi"/>
            <w:color w:val="1B2F73" w:themeColor="text2" w:themeShade="BF"/>
            <w:u w:val="single"/>
          </w:rPr>
          <w:t>https://www.msd.govt.nz/about-msd-and-our-work/publications-resources/resources/child-impact-assessment.html</w:t>
        </w:r>
      </w:hyperlink>
      <w:r w:rsidRPr="00162836">
        <w:rPr>
          <w:rFonts w:cstheme="minorHAnsi"/>
          <w:color w:val="1B2F73" w:themeColor="text2" w:themeShade="BF"/>
        </w:rPr>
        <w:t xml:space="preserve"> </w:t>
      </w:r>
    </w:p>
  </w:footnote>
  <w:footnote w:id="108">
    <w:p w14:paraId="668697E7" w14:textId="77777777" w:rsidR="00DA7899" w:rsidRPr="00162836" w:rsidRDefault="00DA7899" w:rsidP="00E20FF1">
      <w:pPr>
        <w:pStyle w:val="FootnoteText"/>
        <w:rPr>
          <w:rFonts w:asciiTheme="minorHAnsi" w:hAnsiTheme="minorHAnsi" w:cstheme="minorHAnsi"/>
          <w:lang w:val="en-US"/>
        </w:rPr>
      </w:pPr>
      <w:r w:rsidRPr="00162836">
        <w:rPr>
          <w:rStyle w:val="FootnoteReference"/>
          <w:rFonts w:asciiTheme="minorHAnsi" w:hAnsiTheme="minorHAnsi" w:cstheme="minorHAnsi"/>
        </w:rPr>
        <w:footnoteRef/>
      </w:r>
      <w:r w:rsidRPr="00162836">
        <w:rPr>
          <w:rFonts w:asciiTheme="minorHAnsi" w:hAnsiTheme="minorHAnsi" w:cstheme="minorHAnsi"/>
        </w:rPr>
        <w:t xml:space="preserve"> </w:t>
      </w:r>
      <w:r>
        <w:rPr>
          <w:rFonts w:asciiTheme="minorHAnsi" w:hAnsiTheme="minorHAnsi" w:cstheme="minorHAnsi"/>
          <w:lang w:val="en-US"/>
        </w:rPr>
        <w:t xml:space="preserve">See for example, Budget Policy Statement 2022. </w:t>
      </w:r>
      <w:hyperlink r:id="rId51" w:anchor="section-3" w:history="1">
        <w:r w:rsidRPr="00F06804">
          <w:rPr>
            <w:rStyle w:val="Hyperlink"/>
            <w:rFonts w:asciiTheme="minorHAnsi" w:hAnsiTheme="minorHAnsi" w:cstheme="minorHAnsi"/>
            <w:lang w:val="en-US"/>
          </w:rPr>
          <w:t>https://www.treasury.govt.nz/publications/budget-policy-statement/budget-policy-statement-2022-html#section-3</w:t>
        </w:r>
      </w:hyperlink>
      <w:r>
        <w:rPr>
          <w:rFonts w:asciiTheme="minorHAnsi" w:hAnsiTheme="minorHAnsi" w:cstheme="minorHAnsi"/>
          <w:lang w:val="en-US"/>
        </w:rPr>
        <w:t xml:space="preserve"> </w:t>
      </w:r>
    </w:p>
  </w:footnote>
  <w:footnote w:id="109">
    <w:p w14:paraId="547E7261" w14:textId="21FB8F53" w:rsidR="00DA7899" w:rsidRPr="00162836" w:rsidRDefault="00DA7899" w:rsidP="00E20FF1">
      <w:pPr>
        <w:pStyle w:val="FootnoteText"/>
        <w:rPr>
          <w:rFonts w:asciiTheme="minorHAnsi" w:hAnsiTheme="minorHAnsi" w:cstheme="minorHAnsi"/>
          <w:lang w:val="mi-NZ"/>
        </w:rPr>
      </w:pPr>
      <w:r w:rsidRPr="00162836">
        <w:rPr>
          <w:rStyle w:val="FootnoteReference"/>
          <w:rFonts w:asciiTheme="minorHAnsi" w:hAnsiTheme="minorHAnsi" w:cstheme="minorHAnsi"/>
        </w:rPr>
        <w:footnoteRef/>
      </w:r>
      <w:r w:rsidRPr="00162836">
        <w:rPr>
          <w:rFonts w:asciiTheme="minorHAnsi" w:hAnsiTheme="minorHAnsi" w:cstheme="minorHAnsi"/>
        </w:rPr>
        <w:t xml:space="preserve"> As outlined in </w:t>
      </w:r>
      <w:r>
        <w:rPr>
          <w:rFonts w:asciiTheme="minorHAnsi" w:hAnsiTheme="minorHAnsi" w:cstheme="minorHAnsi"/>
        </w:rPr>
        <w:t xml:space="preserve">the UN Committee </w:t>
      </w:r>
      <w:r w:rsidR="0073635F">
        <w:rPr>
          <w:rFonts w:asciiTheme="minorHAnsi" w:hAnsiTheme="minorHAnsi" w:cstheme="minorHAnsi"/>
        </w:rPr>
        <w:t>o</w:t>
      </w:r>
      <w:r>
        <w:rPr>
          <w:rFonts w:asciiTheme="minorHAnsi" w:hAnsiTheme="minorHAnsi" w:cstheme="minorHAnsi"/>
        </w:rPr>
        <w:t xml:space="preserve">n the Rights of the Child’s </w:t>
      </w:r>
      <w:r w:rsidRPr="00162836">
        <w:rPr>
          <w:rFonts w:asciiTheme="minorHAnsi" w:hAnsiTheme="minorHAnsi" w:cstheme="minorHAnsi"/>
        </w:rPr>
        <w:t>General Comment No.</w:t>
      </w:r>
      <w:r>
        <w:rPr>
          <w:rFonts w:asciiTheme="minorHAnsi" w:hAnsiTheme="minorHAnsi" w:cstheme="minorHAnsi"/>
        </w:rPr>
        <w:t xml:space="preserve"> </w:t>
      </w:r>
      <w:r w:rsidRPr="00162836">
        <w:rPr>
          <w:rFonts w:asciiTheme="minorHAnsi" w:hAnsiTheme="minorHAnsi" w:cstheme="minorHAnsi"/>
        </w:rPr>
        <w:t>19.</w:t>
      </w:r>
    </w:p>
  </w:footnote>
  <w:footnote w:id="110">
    <w:p w14:paraId="11F6C30A" w14:textId="77777777" w:rsidR="00DA7899" w:rsidRPr="00162836" w:rsidRDefault="00DA7899" w:rsidP="00E20FF1">
      <w:pPr>
        <w:pStyle w:val="FootnoteText"/>
        <w:rPr>
          <w:rFonts w:asciiTheme="minorHAnsi" w:hAnsiTheme="minorHAnsi" w:cstheme="minorHAnsi"/>
          <w:lang w:val="mi-NZ"/>
        </w:rPr>
      </w:pPr>
      <w:r w:rsidRPr="00162836">
        <w:rPr>
          <w:rStyle w:val="FootnoteReference"/>
          <w:rFonts w:asciiTheme="minorHAnsi" w:hAnsiTheme="minorHAnsi" w:cstheme="minorHAnsi"/>
        </w:rPr>
        <w:footnoteRef/>
      </w:r>
      <w:r w:rsidRPr="00162836">
        <w:rPr>
          <w:rFonts w:asciiTheme="minorHAnsi" w:hAnsiTheme="minorHAnsi" w:cstheme="minorHAnsi"/>
        </w:rPr>
        <w:t xml:space="preserve"> </w:t>
      </w:r>
      <w:r w:rsidRPr="00162836">
        <w:rPr>
          <w:rFonts w:asciiTheme="minorHAnsi" w:hAnsiTheme="minorHAnsi" w:cstheme="minorHAnsi"/>
          <w:lang w:val="mi-NZ"/>
        </w:rPr>
        <w:t xml:space="preserve">See </w:t>
      </w:r>
      <w:hyperlink r:id="rId52" w:history="1">
        <w:r w:rsidRPr="00CB1230">
          <w:rPr>
            <w:rStyle w:val="Hyperlink"/>
            <w:rFonts w:asciiTheme="minorHAnsi" w:hAnsiTheme="minorHAnsi" w:cstheme="minorHAnsi"/>
          </w:rPr>
          <w:t>https://budget.govt.nz/budget/2022/wellbeing/approach/index.htm</w:t>
        </w:r>
      </w:hyperlink>
      <w:r>
        <w:t xml:space="preserve"> </w:t>
      </w:r>
    </w:p>
  </w:footnote>
  <w:footnote w:id="111">
    <w:p w14:paraId="0B5FC18B" w14:textId="77777777" w:rsidR="00307A9D" w:rsidRPr="00162836" w:rsidRDefault="00307A9D" w:rsidP="00E20FF1">
      <w:pPr>
        <w:pStyle w:val="FootnoteText"/>
        <w:rPr>
          <w:rFonts w:asciiTheme="minorHAnsi" w:hAnsiTheme="minorHAnsi" w:cstheme="minorHAnsi"/>
          <w:lang w:val="mi-NZ"/>
        </w:rPr>
      </w:pPr>
      <w:r w:rsidRPr="00162836">
        <w:rPr>
          <w:rStyle w:val="FootnoteReference"/>
          <w:rFonts w:asciiTheme="minorHAnsi" w:hAnsiTheme="minorHAnsi" w:cstheme="minorHAnsi"/>
        </w:rPr>
        <w:footnoteRef/>
      </w:r>
      <w:r w:rsidRPr="00162836">
        <w:rPr>
          <w:rFonts w:asciiTheme="minorHAnsi" w:hAnsiTheme="minorHAnsi" w:cstheme="minorHAnsi"/>
        </w:rPr>
        <w:t xml:space="preserve"> </w:t>
      </w:r>
      <w:hyperlink r:id="rId53" w:history="1">
        <w:r w:rsidRPr="00162836">
          <w:rPr>
            <w:rStyle w:val="Hyperlink"/>
            <w:rFonts w:asciiTheme="minorHAnsi" w:hAnsiTheme="minorHAnsi" w:cstheme="minorHAnsi"/>
          </w:rPr>
          <w:t>https://www.treasury.govt.nz/information-and-services/nz-economy/higher-living-standards/our-living-standards-framework</w:t>
        </w:r>
      </w:hyperlink>
      <w:r w:rsidRPr="00162836">
        <w:rPr>
          <w:rFonts w:asciiTheme="minorHAnsi" w:hAnsiTheme="minorHAnsi" w:cstheme="minorHAnsi"/>
        </w:rPr>
        <w:t xml:space="preserve"> </w:t>
      </w:r>
    </w:p>
  </w:footnote>
  <w:footnote w:id="112">
    <w:p w14:paraId="7390B0F5" w14:textId="0A2067AB" w:rsidR="00307A9D" w:rsidRPr="00CB1230" w:rsidRDefault="00307A9D" w:rsidP="00E20FF1">
      <w:pPr>
        <w:pStyle w:val="FootnoteText"/>
        <w:rPr>
          <w:lang w:val="mi-NZ"/>
        </w:rPr>
      </w:pPr>
      <w:r>
        <w:rPr>
          <w:rStyle w:val="FootnoteReference"/>
        </w:rPr>
        <w:footnoteRef/>
      </w:r>
      <w:r>
        <w:t xml:space="preserve"> </w:t>
      </w:r>
      <w:r w:rsidRPr="00CA3D0B">
        <w:rPr>
          <w:rFonts w:asciiTheme="minorHAnsi" w:hAnsiTheme="minorHAnsi" w:cstheme="minorHAnsi"/>
          <w:lang w:val="mi-NZ"/>
        </w:rPr>
        <w:t xml:space="preserve">Processes for civil engagement in investment of public funds are not child-friendly. For example, the Government </w:t>
      </w:r>
      <w:r w:rsidR="0073635F">
        <w:rPr>
          <w:rFonts w:asciiTheme="minorHAnsi" w:hAnsiTheme="minorHAnsi" w:cstheme="minorHAnsi"/>
          <w:lang w:val="mi-NZ"/>
        </w:rPr>
        <w:t>R</w:t>
      </w:r>
      <w:r w:rsidRPr="00CA3D0B">
        <w:rPr>
          <w:rFonts w:asciiTheme="minorHAnsi" w:hAnsiTheme="minorHAnsi" w:cstheme="minorHAnsi"/>
          <w:lang w:val="mi-NZ"/>
        </w:rPr>
        <w:t>eport notes that at the broadest level this involves free and fair elections, but children can’t vote</w:t>
      </w:r>
      <w:r w:rsidR="0073635F">
        <w:rPr>
          <w:rFonts w:asciiTheme="minorHAnsi" w:hAnsiTheme="minorHAnsi" w:cstheme="minorHAnsi"/>
          <w:lang w:val="mi-NZ"/>
        </w:rPr>
        <w:t xml:space="preserve"> (</w:t>
      </w:r>
      <w:r w:rsidRPr="00CA3D0B">
        <w:rPr>
          <w:rFonts w:asciiTheme="minorHAnsi" w:hAnsiTheme="minorHAnsi" w:cstheme="minorHAnsi"/>
        </w:rPr>
        <w:t>paras 35-37</w:t>
      </w:r>
      <w:r w:rsidR="0073635F">
        <w:rPr>
          <w:rFonts w:asciiTheme="minorHAnsi" w:hAnsiTheme="minorHAnsi" w:cstheme="minorHAnsi"/>
        </w:rPr>
        <w:t>)</w:t>
      </w:r>
      <w:r w:rsidRPr="00CA3D0B">
        <w:rPr>
          <w:rFonts w:asciiTheme="minorHAnsi" w:hAnsiTheme="minorHAnsi" w:cstheme="minorHAnsi"/>
        </w:rPr>
        <w:t>.</w:t>
      </w:r>
      <w:r>
        <w:t xml:space="preserve"> </w:t>
      </w:r>
    </w:p>
  </w:footnote>
  <w:footnote w:id="113">
    <w:p w14:paraId="02298DBB" w14:textId="3D4638E3" w:rsidR="00307A9D" w:rsidRPr="00423739" w:rsidRDefault="00307A9D" w:rsidP="00E20FF1">
      <w:pPr>
        <w:pStyle w:val="FootnoteText"/>
        <w:rPr>
          <w:lang w:val="mi-NZ"/>
        </w:rPr>
      </w:pPr>
      <w:r>
        <w:rPr>
          <w:rStyle w:val="FootnoteReference"/>
        </w:rPr>
        <w:footnoteRef/>
      </w:r>
      <w:r>
        <w:t xml:space="preserve"> </w:t>
      </w:r>
      <w:r w:rsidRPr="009D70CA">
        <w:rPr>
          <w:rFonts w:ascii="Verdana" w:hAnsi="Verdana"/>
          <w:lang w:val="mi-NZ"/>
        </w:rPr>
        <w:t>For example,</w:t>
      </w:r>
      <w:r w:rsidRPr="00423739">
        <w:rPr>
          <w:lang w:val="mi-NZ"/>
        </w:rPr>
        <w:t xml:space="preserve"> </w:t>
      </w:r>
      <w:r w:rsidRPr="00423739">
        <w:rPr>
          <w:rFonts w:asciiTheme="minorHAnsi" w:hAnsiTheme="minorHAnsi" w:cstheme="minorHAnsi"/>
        </w:rPr>
        <w:t>CYWS indicators</w:t>
      </w:r>
      <w:r>
        <w:rPr>
          <w:rFonts w:asciiTheme="minorHAnsi" w:hAnsiTheme="minorHAnsi" w:cstheme="minorHAnsi"/>
        </w:rPr>
        <w:t xml:space="preserve"> </w:t>
      </w:r>
      <w:hyperlink r:id="rId54" w:history="1">
        <w:r w:rsidRPr="00F06804">
          <w:rPr>
            <w:rStyle w:val="Hyperlink"/>
            <w:rFonts w:asciiTheme="minorHAnsi" w:hAnsiTheme="minorHAnsi" w:cstheme="minorHAnsi"/>
          </w:rPr>
          <w:t>https://www.childyouthwellbeing.govt.nz/measuring-success/indicators</w:t>
        </w:r>
      </w:hyperlink>
      <w:r>
        <w:rPr>
          <w:rFonts w:asciiTheme="minorHAnsi" w:hAnsiTheme="minorHAnsi" w:cstheme="minorHAnsi"/>
        </w:rPr>
        <w:t>.</w:t>
      </w:r>
      <w:r w:rsidR="00D24999">
        <w:rPr>
          <w:rFonts w:asciiTheme="minorHAnsi" w:hAnsiTheme="minorHAnsi" w:cstheme="minorHAnsi"/>
        </w:rPr>
        <w:t xml:space="preserve"> </w:t>
      </w:r>
      <w:r>
        <w:rPr>
          <w:rFonts w:asciiTheme="minorHAnsi" w:hAnsiTheme="minorHAnsi" w:cstheme="minorHAnsi"/>
        </w:rPr>
        <w:t>Also</w:t>
      </w:r>
      <w:r w:rsidR="00D24999">
        <w:rPr>
          <w:rFonts w:asciiTheme="minorHAnsi" w:hAnsiTheme="minorHAnsi" w:cstheme="minorHAnsi"/>
        </w:rPr>
        <w:t>,</w:t>
      </w:r>
      <w:r>
        <w:rPr>
          <w:rFonts w:asciiTheme="minorHAnsi" w:hAnsiTheme="minorHAnsi" w:cstheme="minorHAnsi"/>
        </w:rPr>
        <w:t xml:space="preserve"> there has been</w:t>
      </w:r>
      <w:r w:rsidRPr="00423739">
        <w:rPr>
          <w:rFonts w:asciiTheme="minorHAnsi" w:hAnsiTheme="minorHAnsi" w:cstheme="minorHAnsi"/>
        </w:rPr>
        <w:t xml:space="preserve"> increased focus on the views of children</w:t>
      </w:r>
      <w:r>
        <w:rPr>
          <w:rFonts w:asciiTheme="minorHAnsi" w:hAnsiTheme="minorHAnsi" w:cstheme="minorHAnsi"/>
        </w:rPr>
        <w:t xml:space="preserve">, see paras </w:t>
      </w:r>
      <w:r w:rsidR="00C55A19">
        <w:rPr>
          <w:rFonts w:asciiTheme="minorHAnsi" w:hAnsiTheme="minorHAnsi" w:cstheme="minorHAnsi"/>
        </w:rPr>
        <w:t>9</w:t>
      </w:r>
      <w:r w:rsidR="009D70CA">
        <w:rPr>
          <w:rFonts w:asciiTheme="minorHAnsi" w:hAnsiTheme="minorHAnsi" w:cstheme="minorHAnsi"/>
        </w:rPr>
        <w:t>1</w:t>
      </w:r>
      <w:r w:rsidR="00C55A19">
        <w:rPr>
          <w:rFonts w:asciiTheme="minorHAnsi" w:hAnsiTheme="minorHAnsi" w:cstheme="minorHAnsi"/>
        </w:rPr>
        <w:t>-9</w:t>
      </w:r>
      <w:r w:rsidR="009D70CA">
        <w:rPr>
          <w:rFonts w:asciiTheme="minorHAnsi" w:hAnsiTheme="minorHAnsi" w:cstheme="minorHAnsi"/>
        </w:rPr>
        <w:t>4</w:t>
      </w:r>
      <w:r w:rsidR="00C55A19">
        <w:rPr>
          <w:rFonts w:asciiTheme="minorHAnsi" w:hAnsiTheme="minorHAnsi" w:cstheme="minorHAnsi"/>
        </w:rPr>
        <w:t xml:space="preserve"> below.</w:t>
      </w:r>
    </w:p>
  </w:footnote>
  <w:footnote w:id="114">
    <w:p w14:paraId="0F2EFB7B" w14:textId="77777777" w:rsidR="00307A9D" w:rsidRPr="00162836" w:rsidRDefault="00307A9D" w:rsidP="00E20FF1">
      <w:pPr>
        <w:pStyle w:val="NoSpacing"/>
        <w:rPr>
          <w:rFonts w:cstheme="minorHAnsi"/>
        </w:rPr>
      </w:pPr>
      <w:r w:rsidRPr="00162836">
        <w:rPr>
          <w:rStyle w:val="FootnoteReference"/>
          <w:rFonts w:cstheme="minorHAnsi"/>
        </w:rPr>
        <w:footnoteRef/>
      </w:r>
      <w:r w:rsidRPr="00162836">
        <w:rPr>
          <w:rFonts w:cstheme="minorHAnsi"/>
        </w:rPr>
        <w:t xml:space="preserve"> For example: </w:t>
      </w:r>
      <w:r>
        <w:rPr>
          <w:rFonts w:cstheme="minorHAnsi"/>
        </w:rPr>
        <w:t>t</w:t>
      </w:r>
      <w:r w:rsidRPr="00162836">
        <w:rPr>
          <w:rFonts w:cstheme="minorHAnsi"/>
        </w:rPr>
        <w:t xml:space="preserve">he Child Poverty Reduction Act 2018 requires the Government Statistician to report annually on </w:t>
      </w:r>
      <w:r>
        <w:rPr>
          <w:rFonts w:cstheme="minorHAnsi"/>
        </w:rPr>
        <w:t>Aotearoa’s</w:t>
      </w:r>
      <w:r w:rsidRPr="00162836">
        <w:rPr>
          <w:rFonts w:cstheme="minorHAnsi"/>
        </w:rPr>
        <w:t xml:space="preserve"> child poverty rates</w:t>
      </w:r>
      <w:r w:rsidRPr="00162836">
        <w:rPr>
          <w:rFonts w:cstheme="minorHAnsi"/>
          <w:highlight w:val="white"/>
        </w:rPr>
        <w:t xml:space="preserve"> and its progress towards meeting key targets</w:t>
      </w:r>
      <w:r>
        <w:rPr>
          <w:rFonts w:cstheme="minorHAnsi"/>
          <w:highlight w:val="white"/>
        </w:rPr>
        <w:t xml:space="preserve"> and </w:t>
      </w:r>
      <w:r w:rsidRPr="00162836">
        <w:rPr>
          <w:rFonts w:cstheme="minorHAnsi"/>
          <w:highlight w:val="white"/>
        </w:rPr>
        <w:t xml:space="preserve">to provide analysis on </w:t>
      </w:r>
      <w:r>
        <w:rPr>
          <w:rFonts w:cstheme="minorHAnsi"/>
          <w:highlight w:val="white"/>
        </w:rPr>
        <w:t>“</w:t>
      </w:r>
      <w:r w:rsidRPr="00162836">
        <w:rPr>
          <w:rFonts w:cstheme="minorHAnsi"/>
          <w:highlight w:val="white"/>
        </w:rPr>
        <w:t>identified populations</w:t>
      </w:r>
      <w:r>
        <w:rPr>
          <w:rFonts w:cstheme="minorHAnsi"/>
          <w:highlight w:val="white"/>
        </w:rPr>
        <w:t>”</w:t>
      </w:r>
      <w:r w:rsidRPr="00162836">
        <w:rPr>
          <w:rFonts w:cstheme="minorHAnsi"/>
          <w:highlight w:val="white"/>
        </w:rPr>
        <w:t xml:space="preserve"> including Māori and Pacific children, disabled children, and children with a disabled parent, guardian, or caregiver in </w:t>
      </w:r>
      <w:r>
        <w:rPr>
          <w:rFonts w:cstheme="minorHAnsi"/>
          <w:highlight w:val="white"/>
        </w:rPr>
        <w:t>their</w:t>
      </w:r>
      <w:r w:rsidRPr="00162836">
        <w:rPr>
          <w:rFonts w:cstheme="minorHAnsi"/>
          <w:highlight w:val="white"/>
        </w:rPr>
        <w:t xml:space="preserve"> annual report</w:t>
      </w:r>
      <w:r>
        <w:rPr>
          <w:rFonts w:cstheme="minorHAnsi"/>
          <w:highlight w:val="white"/>
        </w:rPr>
        <w:t>,</w:t>
      </w:r>
      <w:r w:rsidRPr="00162836">
        <w:rPr>
          <w:rFonts w:cstheme="minorHAnsi"/>
          <w:highlight w:val="white"/>
        </w:rPr>
        <w:t xml:space="preserve"> but only if “data is available.”</w:t>
      </w:r>
      <w:r w:rsidRPr="00162836">
        <w:rPr>
          <w:rFonts w:cstheme="minorHAnsi"/>
        </w:rPr>
        <w:t xml:space="preserve"> The Child Wellbeing Strategy requires an annual report to Parliament on</w:t>
      </w:r>
      <w:r w:rsidRPr="00162836">
        <w:rPr>
          <w:rFonts w:cstheme="minorHAnsi"/>
          <w:highlight w:val="white"/>
        </w:rPr>
        <w:t xml:space="preserve"> progress in achieving social, </w:t>
      </w:r>
      <w:proofErr w:type="gramStart"/>
      <w:r w:rsidRPr="00162836">
        <w:rPr>
          <w:rFonts w:cstheme="minorHAnsi"/>
          <w:highlight w:val="white"/>
        </w:rPr>
        <w:t>economic</w:t>
      </w:r>
      <w:proofErr w:type="gramEnd"/>
      <w:r w:rsidRPr="00162836">
        <w:rPr>
          <w:rFonts w:cstheme="minorHAnsi"/>
          <w:highlight w:val="white"/>
        </w:rPr>
        <w:t xml:space="preserve"> and environmental factors needed for child and youth wellbeing</w:t>
      </w:r>
      <w:r w:rsidRPr="00162836">
        <w:rPr>
          <w:rFonts w:cstheme="minorHAnsi"/>
        </w:rPr>
        <w:t>. As part of monitoring the CYWS, a new annual data collection effort will sample 15-year-olds</w:t>
      </w:r>
      <w:r>
        <w:rPr>
          <w:rFonts w:cstheme="minorHAnsi"/>
        </w:rPr>
        <w:t xml:space="preserve"> and t</w:t>
      </w:r>
      <w:r w:rsidRPr="00162836">
        <w:rPr>
          <w:rFonts w:cstheme="minorHAnsi"/>
        </w:rPr>
        <w:t>he data will be used to measure CYWS outcomes.</w:t>
      </w:r>
      <w:r>
        <w:rPr>
          <w:rFonts w:cstheme="minorHAnsi"/>
        </w:rPr>
        <w:t xml:space="preserve"> </w:t>
      </w:r>
      <w:r w:rsidRPr="00162836">
        <w:rPr>
          <w:rFonts w:cstheme="minorHAnsi"/>
        </w:rPr>
        <w:t>The Household Economic Survey will begin to collect data on disabled children and their households.</w:t>
      </w:r>
    </w:p>
  </w:footnote>
  <w:footnote w:id="115">
    <w:p w14:paraId="1872482C" w14:textId="77777777" w:rsidR="00307A9D" w:rsidRPr="00162836" w:rsidRDefault="00307A9D" w:rsidP="00E20FF1">
      <w:pPr>
        <w:pStyle w:val="FootnoteText"/>
        <w:rPr>
          <w:rFonts w:asciiTheme="minorHAnsi" w:hAnsiTheme="minorHAnsi" w:cstheme="minorHAnsi"/>
          <w:lang w:val="mi-NZ"/>
        </w:rPr>
      </w:pPr>
      <w:r w:rsidRPr="00162836">
        <w:rPr>
          <w:rStyle w:val="FootnoteReference"/>
          <w:rFonts w:asciiTheme="minorHAnsi" w:hAnsiTheme="minorHAnsi" w:cstheme="minorHAnsi"/>
        </w:rPr>
        <w:footnoteRef/>
      </w:r>
      <w:r w:rsidRPr="00162836">
        <w:rPr>
          <w:rFonts w:asciiTheme="minorHAnsi" w:hAnsiTheme="minorHAnsi" w:cstheme="minorHAnsi"/>
        </w:rPr>
        <w:t xml:space="preserve"> </w:t>
      </w:r>
      <w:r w:rsidRPr="00162836">
        <w:rPr>
          <w:rFonts w:asciiTheme="minorHAnsi" w:hAnsiTheme="minorHAnsi" w:cstheme="minorHAnsi"/>
          <w:noProof/>
        </w:rPr>
        <w:t xml:space="preserve">In the Aotearoa context, our </w:t>
      </w:r>
      <w:r>
        <w:rPr>
          <w:rFonts w:asciiTheme="minorHAnsi" w:hAnsiTheme="minorHAnsi" w:cstheme="minorHAnsi"/>
          <w:noProof/>
        </w:rPr>
        <w:t xml:space="preserve">small </w:t>
      </w:r>
      <w:r w:rsidRPr="00162836">
        <w:rPr>
          <w:rFonts w:asciiTheme="minorHAnsi" w:hAnsiTheme="minorHAnsi" w:cstheme="minorHAnsi"/>
          <w:noProof/>
        </w:rPr>
        <w:t>population size</w:t>
      </w:r>
      <w:r>
        <w:rPr>
          <w:rFonts w:asciiTheme="minorHAnsi" w:hAnsiTheme="minorHAnsi" w:cstheme="minorHAnsi"/>
          <w:noProof/>
        </w:rPr>
        <w:t xml:space="preserve"> </w:t>
      </w:r>
      <w:r w:rsidRPr="00162836">
        <w:rPr>
          <w:rFonts w:asciiTheme="minorHAnsi" w:hAnsiTheme="minorHAnsi" w:cstheme="minorHAnsi"/>
          <w:noProof/>
        </w:rPr>
        <w:t xml:space="preserve">can make it difficult to understand wellbeing among various population groups and to be able to present statistics in a way that is both confidential (does not identify individuals) and </w:t>
      </w:r>
      <w:r>
        <w:rPr>
          <w:rFonts w:asciiTheme="minorHAnsi" w:hAnsiTheme="minorHAnsi" w:cstheme="minorHAnsi"/>
          <w:noProof/>
        </w:rPr>
        <w:t>provid</w:t>
      </w:r>
      <w:r w:rsidRPr="00162836">
        <w:rPr>
          <w:rFonts w:asciiTheme="minorHAnsi" w:hAnsiTheme="minorHAnsi" w:cstheme="minorHAnsi"/>
          <w:noProof/>
        </w:rPr>
        <w:t xml:space="preserve">es confidence in the estimates. </w:t>
      </w:r>
      <w:r>
        <w:rPr>
          <w:rFonts w:asciiTheme="minorHAnsi" w:hAnsiTheme="minorHAnsi" w:cstheme="minorHAnsi"/>
          <w:noProof/>
        </w:rPr>
        <w:t>R</w:t>
      </w:r>
      <w:r w:rsidRPr="00162836">
        <w:rPr>
          <w:rFonts w:asciiTheme="minorHAnsi" w:hAnsiTheme="minorHAnsi" w:cstheme="minorHAnsi"/>
          <w:noProof/>
        </w:rPr>
        <w:t>el</w:t>
      </w:r>
      <w:r>
        <w:rPr>
          <w:rFonts w:asciiTheme="minorHAnsi" w:hAnsiTheme="minorHAnsi" w:cstheme="minorHAnsi"/>
          <w:noProof/>
        </w:rPr>
        <w:t>iance on</w:t>
      </w:r>
      <w:r w:rsidRPr="00162836">
        <w:rPr>
          <w:rFonts w:asciiTheme="minorHAnsi" w:hAnsiTheme="minorHAnsi" w:cstheme="minorHAnsi"/>
          <w:noProof/>
        </w:rPr>
        <w:t xml:space="preserve"> more</w:t>
      </w:r>
      <w:r>
        <w:rPr>
          <w:rFonts w:asciiTheme="minorHAnsi" w:hAnsiTheme="minorHAnsi" w:cstheme="minorHAnsi"/>
          <w:noProof/>
        </w:rPr>
        <w:t xml:space="preserve"> </w:t>
      </w:r>
      <w:r w:rsidRPr="00162836">
        <w:rPr>
          <w:rFonts w:asciiTheme="minorHAnsi" w:hAnsiTheme="minorHAnsi" w:cstheme="minorHAnsi"/>
          <w:noProof/>
        </w:rPr>
        <w:t>surveys targeted at certain groups</w:t>
      </w:r>
      <w:r>
        <w:rPr>
          <w:rFonts w:asciiTheme="minorHAnsi" w:hAnsiTheme="minorHAnsi" w:cstheme="minorHAnsi"/>
          <w:noProof/>
        </w:rPr>
        <w:t xml:space="preserve"> is needed</w:t>
      </w:r>
      <w:r w:rsidRPr="00162836">
        <w:rPr>
          <w:rFonts w:asciiTheme="minorHAnsi" w:hAnsiTheme="minorHAnsi" w:cstheme="minorHAnsi"/>
          <w:noProof/>
        </w:rPr>
        <w:t>.</w:t>
      </w:r>
    </w:p>
  </w:footnote>
  <w:footnote w:id="116">
    <w:p w14:paraId="73478A16" w14:textId="77777777" w:rsidR="00307A9D" w:rsidRPr="00162836" w:rsidRDefault="00307A9D" w:rsidP="00E20FF1">
      <w:pPr>
        <w:pStyle w:val="NoSpacing"/>
        <w:rPr>
          <w:rFonts w:cstheme="minorHAnsi"/>
          <w:color w:val="1B2F73" w:themeColor="text2" w:themeShade="BF"/>
        </w:rPr>
      </w:pPr>
      <w:r w:rsidRPr="00162836">
        <w:rPr>
          <w:rStyle w:val="FootnoteReference"/>
          <w:rFonts w:cstheme="minorHAnsi"/>
        </w:rPr>
        <w:footnoteRef/>
      </w:r>
      <w:r w:rsidRPr="00162836">
        <w:rPr>
          <w:rFonts w:cstheme="minorHAnsi"/>
        </w:rPr>
        <w:t xml:space="preserve"> Although some insight can be gained from looking at data from the Ongoing Resourcing Scheme (ORS)</w:t>
      </w:r>
      <w:r>
        <w:rPr>
          <w:rFonts w:cstheme="minorHAnsi"/>
        </w:rPr>
        <w:t>: s</w:t>
      </w:r>
      <w:r w:rsidRPr="00162836">
        <w:rPr>
          <w:rFonts w:cstheme="minorHAnsi"/>
        </w:rPr>
        <w:t>ee CCS Disability Action</w:t>
      </w:r>
      <w:r>
        <w:rPr>
          <w:rFonts w:cstheme="minorHAnsi"/>
        </w:rPr>
        <w:t xml:space="preserve"> (</w:t>
      </w:r>
      <w:r w:rsidRPr="00162836">
        <w:rPr>
          <w:rFonts w:cstheme="minorHAnsi"/>
        </w:rPr>
        <w:t>2019</w:t>
      </w:r>
      <w:r>
        <w:rPr>
          <w:rFonts w:cstheme="minorHAnsi"/>
        </w:rPr>
        <w:t xml:space="preserve">) </w:t>
      </w:r>
      <w:hyperlink r:id="rId55" w:history="1">
        <w:r w:rsidRPr="00162836">
          <w:rPr>
            <w:rStyle w:val="Hyperlink"/>
            <w:rFonts w:cstheme="minorHAnsi"/>
            <w:color w:val="1B2F73" w:themeColor="text2" w:themeShade="BF"/>
          </w:rPr>
          <w:t xml:space="preserve">The state of wellbeing and equality for disabled people, their families, and </w:t>
        </w:r>
        <w:proofErr w:type="spellStart"/>
        <w:r w:rsidRPr="00162836">
          <w:rPr>
            <w:rStyle w:val="Hyperlink"/>
            <w:rFonts w:cstheme="minorHAnsi"/>
            <w:color w:val="1B2F73" w:themeColor="text2" w:themeShade="BF"/>
          </w:rPr>
          <w:t>whānau</w:t>
        </w:r>
        <w:proofErr w:type="spellEnd"/>
      </w:hyperlink>
      <w:r w:rsidRPr="00162836">
        <w:rPr>
          <w:rFonts w:cstheme="minorHAnsi"/>
          <w:color w:val="1B2F73" w:themeColor="text2" w:themeShade="BF"/>
        </w:rPr>
        <w:t>.</w:t>
      </w:r>
    </w:p>
  </w:footnote>
  <w:footnote w:id="117">
    <w:p w14:paraId="1A89607C" w14:textId="243D0833" w:rsidR="00307A9D" w:rsidRPr="00162836" w:rsidRDefault="00307A9D" w:rsidP="00E20FF1">
      <w:pPr>
        <w:pStyle w:val="NoSpacing"/>
        <w:rPr>
          <w:rFonts w:cstheme="minorHAnsi"/>
        </w:rPr>
      </w:pPr>
      <w:r w:rsidRPr="00162836">
        <w:rPr>
          <w:rStyle w:val="FootnoteReference"/>
          <w:rFonts w:cstheme="minorHAnsi"/>
        </w:rPr>
        <w:footnoteRef/>
      </w:r>
      <w:r w:rsidRPr="00162836">
        <w:rPr>
          <w:rFonts w:cstheme="minorHAnsi"/>
        </w:rPr>
        <w:t xml:space="preserve"> The survey, previously implemented by the University of Auckland Adolescent Health Research Group, was conducted in 2001, 2007 and 2012 and has been a rich source of data on school</w:t>
      </w:r>
      <w:r w:rsidR="00D24999">
        <w:rPr>
          <w:rFonts w:cstheme="minorHAnsi"/>
        </w:rPr>
        <w:t>-</w:t>
      </w:r>
      <w:r w:rsidRPr="00162836">
        <w:rPr>
          <w:rFonts w:cstheme="minorHAnsi"/>
        </w:rPr>
        <w:t>age children used in policy development. In 2016/17</w:t>
      </w:r>
      <w:r w:rsidR="00633572">
        <w:rPr>
          <w:rFonts w:cstheme="minorHAnsi"/>
        </w:rPr>
        <w:t>,</w:t>
      </w:r>
      <w:r w:rsidRPr="00162836">
        <w:rPr>
          <w:rFonts w:cstheme="minorHAnsi"/>
        </w:rPr>
        <w:t xml:space="preserve"> Government outsourced the Youth2000 survey series to </w:t>
      </w:r>
      <w:proofErr w:type="spellStart"/>
      <w:r w:rsidRPr="00162836">
        <w:rPr>
          <w:rFonts w:cstheme="minorHAnsi"/>
        </w:rPr>
        <w:t>Malatest</w:t>
      </w:r>
      <w:proofErr w:type="spellEnd"/>
      <w:r w:rsidRPr="00162836">
        <w:rPr>
          <w:rFonts w:cstheme="minorHAnsi"/>
        </w:rPr>
        <w:t xml:space="preserve">, an international research company. </w:t>
      </w:r>
    </w:p>
  </w:footnote>
  <w:footnote w:id="118">
    <w:p w14:paraId="23473D81" w14:textId="1609C4A4" w:rsidR="00307A9D" w:rsidRPr="00162836" w:rsidRDefault="00307A9D" w:rsidP="00E20FF1">
      <w:pPr>
        <w:pStyle w:val="FootnoteText"/>
        <w:rPr>
          <w:rFonts w:asciiTheme="minorHAnsi" w:hAnsiTheme="minorHAnsi" w:cstheme="minorHAnsi"/>
          <w:lang w:val="mi-NZ"/>
        </w:rPr>
      </w:pPr>
      <w:r w:rsidRPr="00162836">
        <w:rPr>
          <w:rStyle w:val="FootnoteReference"/>
          <w:rFonts w:asciiTheme="minorHAnsi" w:hAnsiTheme="minorHAnsi" w:cstheme="minorHAnsi"/>
        </w:rPr>
        <w:footnoteRef/>
      </w:r>
      <w:r w:rsidRPr="00162836">
        <w:rPr>
          <w:rFonts w:asciiTheme="minorHAnsi" w:hAnsiTheme="minorHAnsi" w:cstheme="minorHAnsi"/>
        </w:rPr>
        <w:t xml:space="preserve"> </w:t>
      </w:r>
      <w:r w:rsidRPr="00162836">
        <w:rPr>
          <w:rFonts w:asciiTheme="minorHAnsi" w:eastAsiaTheme="minorHAnsi" w:hAnsiTheme="minorHAnsi" w:cstheme="minorHAnsi"/>
          <w:color w:val="000000"/>
          <w:lang w:val="en-GB" w:eastAsia="en-US"/>
        </w:rPr>
        <w:t>Youth</w:t>
      </w:r>
      <w:r>
        <w:rPr>
          <w:rFonts w:asciiTheme="minorHAnsi" w:eastAsiaTheme="minorHAnsi" w:hAnsiTheme="minorHAnsi" w:cstheme="minorHAnsi"/>
          <w:color w:val="000000"/>
          <w:lang w:val="en-GB" w:eastAsia="en-US"/>
        </w:rPr>
        <w:t xml:space="preserve"> </w:t>
      </w:r>
      <w:r w:rsidRPr="00162836">
        <w:rPr>
          <w:rFonts w:asciiTheme="minorHAnsi" w:eastAsiaTheme="minorHAnsi" w:hAnsiTheme="minorHAnsi" w:cstheme="minorHAnsi"/>
          <w:color w:val="000000"/>
          <w:lang w:val="en-GB" w:eastAsia="en-US"/>
        </w:rPr>
        <w:t xml:space="preserve">19 was completed by </w:t>
      </w:r>
      <w:r>
        <w:rPr>
          <w:rFonts w:asciiTheme="minorHAnsi" w:eastAsiaTheme="minorHAnsi" w:hAnsiTheme="minorHAnsi" w:cstheme="minorHAnsi"/>
          <w:color w:val="000000"/>
          <w:lang w:val="en-GB" w:eastAsia="en-US"/>
        </w:rPr>
        <w:t xml:space="preserve">the </w:t>
      </w:r>
      <w:r w:rsidRPr="00162836">
        <w:rPr>
          <w:rFonts w:asciiTheme="minorHAnsi" w:eastAsiaTheme="minorHAnsi" w:hAnsiTheme="minorHAnsi" w:cstheme="minorHAnsi"/>
          <w:color w:val="000000"/>
          <w:lang w:val="en-GB" w:eastAsia="en-US"/>
        </w:rPr>
        <w:t xml:space="preserve">University of Auckland Adolescent Health Research </w:t>
      </w:r>
      <w:proofErr w:type="gramStart"/>
      <w:r w:rsidRPr="00162836">
        <w:rPr>
          <w:rFonts w:asciiTheme="minorHAnsi" w:eastAsiaTheme="minorHAnsi" w:hAnsiTheme="minorHAnsi" w:cstheme="minorHAnsi"/>
          <w:color w:val="000000"/>
          <w:lang w:val="en-GB" w:eastAsia="en-US"/>
        </w:rPr>
        <w:t>Group</w:t>
      </w:r>
      <w:r>
        <w:rPr>
          <w:rFonts w:asciiTheme="minorHAnsi" w:eastAsiaTheme="minorHAnsi" w:hAnsiTheme="minorHAnsi" w:cstheme="minorHAnsi"/>
          <w:color w:val="000000"/>
          <w:lang w:val="en-GB" w:eastAsia="en-US"/>
        </w:rPr>
        <w:t>,</w:t>
      </w:r>
      <w:r w:rsidRPr="00162836">
        <w:rPr>
          <w:rFonts w:asciiTheme="minorHAnsi" w:eastAsiaTheme="minorHAnsi" w:hAnsiTheme="minorHAnsi" w:cstheme="minorHAnsi"/>
          <w:color w:val="000000"/>
          <w:lang w:val="en-GB" w:eastAsia="en-US"/>
        </w:rPr>
        <w:t xml:space="preserve"> but</w:t>
      </w:r>
      <w:proofErr w:type="gramEnd"/>
      <w:r w:rsidRPr="00162836">
        <w:rPr>
          <w:rFonts w:asciiTheme="minorHAnsi" w:eastAsiaTheme="minorHAnsi" w:hAnsiTheme="minorHAnsi" w:cstheme="minorHAnsi"/>
          <w:color w:val="000000"/>
          <w:lang w:val="en-GB" w:eastAsia="en-US"/>
        </w:rPr>
        <w:t xml:space="preserve"> was limited to only part of the country (Auckland </w:t>
      </w:r>
      <w:r w:rsidR="00633572">
        <w:rPr>
          <w:rFonts w:asciiTheme="minorHAnsi" w:eastAsiaTheme="minorHAnsi" w:hAnsiTheme="minorHAnsi" w:cstheme="minorHAnsi"/>
          <w:color w:val="000000"/>
          <w:lang w:val="en-GB" w:eastAsia="en-US"/>
        </w:rPr>
        <w:t>and</w:t>
      </w:r>
      <w:r w:rsidRPr="00162836">
        <w:rPr>
          <w:rFonts w:asciiTheme="minorHAnsi" w:eastAsiaTheme="minorHAnsi" w:hAnsiTheme="minorHAnsi" w:cstheme="minorHAnsi"/>
          <w:color w:val="000000"/>
          <w:lang w:val="en-GB" w:eastAsia="en-US"/>
        </w:rPr>
        <w:t xml:space="preserve"> Northland). </w:t>
      </w:r>
      <w:hyperlink r:id="rId56" w:history="1">
        <w:r w:rsidRPr="00021517">
          <w:rPr>
            <w:rFonts w:asciiTheme="minorHAnsi" w:eastAsiaTheme="minorHAnsi" w:hAnsiTheme="minorHAnsi" w:cstheme="minorHAnsi"/>
            <w:color w:val="25409A" w:themeColor="text2"/>
            <w:u w:val="single" w:color="094FD1"/>
            <w:lang w:val="en-GB" w:eastAsia="en-US"/>
          </w:rPr>
          <w:t>https://www.youth19.ac.nz/</w:t>
        </w:r>
      </w:hyperlink>
      <w:r w:rsidRPr="00162836">
        <w:rPr>
          <w:rFonts w:asciiTheme="minorHAnsi" w:eastAsiaTheme="minorHAnsi" w:hAnsiTheme="minorHAnsi" w:cstheme="minorHAnsi"/>
          <w:color w:val="000000"/>
          <w:lang w:val="en-GB" w:eastAsia="en-US"/>
        </w:rPr>
        <w:t xml:space="preserve">; The </w:t>
      </w:r>
      <w:proofErr w:type="spellStart"/>
      <w:r w:rsidRPr="00162836">
        <w:rPr>
          <w:rFonts w:asciiTheme="minorHAnsi" w:eastAsiaTheme="minorHAnsi" w:hAnsiTheme="minorHAnsi" w:cstheme="minorHAnsi"/>
          <w:color w:val="000000"/>
          <w:lang w:val="en-GB" w:eastAsia="en-US"/>
        </w:rPr>
        <w:t>Malatest</w:t>
      </w:r>
      <w:proofErr w:type="spellEnd"/>
      <w:r w:rsidRPr="00162836">
        <w:rPr>
          <w:rFonts w:asciiTheme="minorHAnsi" w:eastAsiaTheme="minorHAnsi" w:hAnsiTheme="minorHAnsi" w:cstheme="minorHAnsi"/>
          <w:color w:val="000000"/>
          <w:lang w:val="en-GB" w:eastAsia="en-US"/>
        </w:rPr>
        <w:t xml:space="preserve"> survey was delayed to 2021: </w:t>
      </w:r>
      <w:hyperlink r:id="rId57" w:history="1">
        <w:r w:rsidRPr="00021517">
          <w:rPr>
            <w:rFonts w:asciiTheme="minorHAnsi" w:eastAsiaTheme="minorHAnsi" w:hAnsiTheme="minorHAnsi" w:cstheme="minorHAnsi"/>
            <w:color w:val="25409A" w:themeColor="text2"/>
            <w:u w:val="single" w:color="094FD1"/>
            <w:lang w:val="en-GB" w:eastAsia="en-US"/>
          </w:rPr>
          <w:t>https://www.whataboutme.nz/#</w:t>
        </w:r>
      </w:hyperlink>
      <w:r w:rsidRPr="00162836">
        <w:rPr>
          <w:rFonts w:asciiTheme="minorHAnsi" w:eastAsiaTheme="minorHAnsi" w:hAnsiTheme="minorHAnsi" w:cstheme="minorHAnsi"/>
          <w:color w:val="000000"/>
          <w:lang w:val="en-GB" w:eastAsia="en-US"/>
        </w:rPr>
        <w:t xml:space="preserve"> </w:t>
      </w:r>
    </w:p>
  </w:footnote>
  <w:footnote w:id="119">
    <w:p w14:paraId="7F0F4A23" w14:textId="77777777" w:rsidR="00307A9D" w:rsidRPr="004F20E1" w:rsidRDefault="00307A9D" w:rsidP="00E20FF1">
      <w:pPr>
        <w:spacing w:after="0" w:line="240" w:lineRule="auto"/>
        <w:rPr>
          <w:rFonts w:cstheme="minorHAnsi"/>
        </w:rPr>
      </w:pPr>
      <w:r w:rsidRPr="00162836">
        <w:rPr>
          <w:rStyle w:val="FootnoteReference"/>
          <w:rFonts w:cstheme="minorHAnsi"/>
        </w:rPr>
        <w:footnoteRef/>
      </w:r>
      <w:r w:rsidRPr="004F20E1">
        <w:rPr>
          <w:rFonts w:cstheme="minorHAnsi"/>
        </w:rPr>
        <w:t xml:space="preserve"> Government stated that: The 2018 Census collection response rates generally, and for Māori and Pacific people in particular, are unacceptably low and are a significant concern </w:t>
      </w:r>
      <w:hyperlink r:id="rId58" w:history="1">
        <w:r w:rsidRPr="00021517">
          <w:rPr>
            <w:rFonts w:cstheme="minorHAnsi"/>
            <w:color w:val="25409A" w:themeColor="text2"/>
            <w:u w:val="single" w:color="094FD1"/>
          </w:rPr>
          <w:t>https://www.stats.govt.nz/methods/2018-census-collection-response-rates-unacceptably-low</w:t>
        </w:r>
      </w:hyperlink>
      <w:r w:rsidRPr="00021517">
        <w:rPr>
          <w:rFonts w:cstheme="minorHAnsi"/>
          <w:color w:val="25409A" w:themeColor="text2"/>
        </w:rPr>
        <w:t xml:space="preserve"> </w:t>
      </w:r>
    </w:p>
  </w:footnote>
  <w:footnote w:id="120">
    <w:p w14:paraId="089C1D79" w14:textId="77777777" w:rsidR="00307A9D" w:rsidRPr="00DC06D8" w:rsidRDefault="00307A9D" w:rsidP="00E20FF1">
      <w:pPr>
        <w:pStyle w:val="FootnoteText"/>
        <w:rPr>
          <w:lang w:val="mi-NZ"/>
        </w:rPr>
      </w:pPr>
      <w:r>
        <w:rPr>
          <w:rStyle w:val="FootnoteReference"/>
        </w:rPr>
        <w:footnoteRef/>
      </w:r>
      <w:r>
        <w:t xml:space="preserve"> </w:t>
      </w:r>
      <w:hyperlink r:id="rId59" w:history="1">
        <w:r w:rsidRPr="00F06804">
          <w:rPr>
            <w:rStyle w:val="Hyperlink"/>
            <w:rFonts w:asciiTheme="minorHAnsi" w:eastAsiaTheme="minorHAnsi" w:hAnsiTheme="minorHAnsi" w:cstheme="minorHAnsi"/>
            <w:lang w:val="en-GB" w:eastAsia="en-US"/>
          </w:rPr>
          <w:t>https://www.stuff.co.nz/national/politics/126720006/aotearoas-rainbow-communities-to-be-formally-quantified</w:t>
        </w:r>
      </w:hyperlink>
      <w:r>
        <w:rPr>
          <w:rFonts w:asciiTheme="minorHAnsi" w:eastAsiaTheme="minorHAnsi" w:hAnsiTheme="minorHAnsi" w:cstheme="minorHAnsi"/>
          <w:color w:val="000000"/>
          <w:lang w:val="en-GB" w:eastAsia="en-US"/>
        </w:rPr>
        <w:t xml:space="preserve"> </w:t>
      </w:r>
    </w:p>
  </w:footnote>
  <w:footnote w:id="121">
    <w:p w14:paraId="1513F910" w14:textId="77777777" w:rsidR="00307A9D" w:rsidRPr="004F20E1" w:rsidRDefault="00307A9D" w:rsidP="00E20FF1">
      <w:pPr>
        <w:pStyle w:val="FootnoteText"/>
        <w:rPr>
          <w:lang w:val="mi-NZ"/>
        </w:rPr>
      </w:pPr>
      <w:r>
        <w:rPr>
          <w:rStyle w:val="FootnoteReference"/>
        </w:rPr>
        <w:footnoteRef/>
      </w:r>
      <w:r>
        <w:t xml:space="preserve"> </w:t>
      </w:r>
      <w:r>
        <w:rPr>
          <w:rFonts w:asciiTheme="minorHAnsi" w:eastAsiaTheme="minorHAnsi" w:hAnsiTheme="minorHAnsi" w:cstheme="minorHAnsi"/>
          <w:color w:val="000000"/>
          <w:lang w:val="en-GB" w:eastAsia="en-US"/>
        </w:rPr>
        <w:t>U</w:t>
      </w:r>
      <w:r w:rsidRPr="00E7687D">
        <w:rPr>
          <w:rFonts w:asciiTheme="minorHAnsi" w:eastAsiaTheme="minorHAnsi" w:hAnsiTheme="minorHAnsi" w:cstheme="minorHAnsi"/>
          <w:color w:val="000000"/>
          <w:lang w:val="en-GB" w:eastAsia="en-US"/>
        </w:rPr>
        <w:t>nder the Child Poverty Reduction Act</w:t>
      </w:r>
      <w:r>
        <w:rPr>
          <w:rFonts w:asciiTheme="minorHAnsi" w:eastAsiaTheme="minorHAnsi" w:hAnsiTheme="minorHAnsi" w:cstheme="minorHAnsi"/>
          <w:color w:val="000000"/>
          <w:lang w:val="en-GB" w:eastAsia="en-US"/>
        </w:rPr>
        <w:t xml:space="preserve"> 2018.</w:t>
      </w:r>
    </w:p>
  </w:footnote>
  <w:footnote w:id="122">
    <w:p w14:paraId="6FE8BC5D" w14:textId="6A94459E" w:rsidR="00CB3F87" w:rsidRPr="00CB3F87" w:rsidRDefault="00307A9D" w:rsidP="00E20FF1">
      <w:pPr>
        <w:spacing w:after="0" w:line="240" w:lineRule="auto"/>
        <w:rPr>
          <w:rFonts w:eastAsiaTheme="majorEastAsia" w:cstheme="minorHAnsi"/>
          <w:color w:val="1B2F73" w:themeColor="text2" w:themeShade="BF"/>
          <w:u w:val="single"/>
        </w:rPr>
      </w:pPr>
      <w:r w:rsidRPr="00464D13">
        <w:rPr>
          <w:rStyle w:val="FootnoteReference"/>
          <w:rFonts w:cstheme="minorHAnsi"/>
        </w:rPr>
        <w:footnoteRef/>
      </w:r>
      <w:r w:rsidRPr="00464D13">
        <w:rPr>
          <w:rFonts w:cstheme="minorHAnsi"/>
        </w:rPr>
        <w:t xml:space="preserve"> Māori data sovereignty recognises that Māori data should be subject to Māori governance</w:t>
      </w:r>
      <w:r>
        <w:rPr>
          <w:rFonts w:cstheme="minorHAnsi"/>
        </w:rPr>
        <w:t>: s</w:t>
      </w:r>
      <w:r w:rsidRPr="00464D13">
        <w:rPr>
          <w:rFonts w:cstheme="minorHAnsi"/>
        </w:rPr>
        <w:t xml:space="preserve">ee </w:t>
      </w:r>
      <w:hyperlink r:id="rId60" w:history="1">
        <w:r w:rsidRPr="00464D13">
          <w:rPr>
            <w:rStyle w:val="Hyperlink"/>
            <w:rFonts w:eastAsiaTheme="majorEastAsia" w:cstheme="minorHAnsi"/>
            <w:color w:val="1B2F73" w:themeColor="text2" w:themeShade="BF"/>
          </w:rPr>
          <w:t>https://www.temanararaunga.maori.nz/</w:t>
        </w:r>
      </w:hyperlink>
      <w:r w:rsidRPr="00464D13">
        <w:rPr>
          <w:rStyle w:val="Hyperlink"/>
          <w:rFonts w:eastAsiaTheme="majorEastAsia" w:cstheme="minorHAnsi"/>
          <w:color w:val="1B2F73" w:themeColor="text2" w:themeShade="BF"/>
        </w:rPr>
        <w:t xml:space="preserve"> </w:t>
      </w:r>
      <w:r w:rsidR="00F5528E">
        <w:rPr>
          <w:rFonts w:cstheme="minorHAnsi"/>
        </w:rPr>
        <w:t>and para 10</w:t>
      </w:r>
      <w:r w:rsidR="009D70CA">
        <w:rPr>
          <w:rFonts w:cstheme="minorHAnsi"/>
        </w:rPr>
        <w:t>7</w:t>
      </w:r>
      <w:r w:rsidR="00F5528E">
        <w:rPr>
          <w:rFonts w:cstheme="minorHAnsi"/>
        </w:rPr>
        <w:t xml:space="preserve"> below.</w:t>
      </w:r>
    </w:p>
  </w:footnote>
  <w:footnote w:id="123">
    <w:p w14:paraId="2C4C6B13" w14:textId="77777777" w:rsidR="00307A9D" w:rsidRPr="00AF426D" w:rsidRDefault="00307A9D" w:rsidP="00E20FF1">
      <w:pPr>
        <w:pStyle w:val="FootnoteText"/>
        <w:rPr>
          <w:lang w:val="mi-NZ"/>
        </w:rPr>
      </w:pPr>
      <w:r>
        <w:rPr>
          <w:rStyle w:val="FootnoteReference"/>
        </w:rPr>
        <w:footnoteRef/>
      </w:r>
      <w:r>
        <w:t xml:space="preserve"> </w:t>
      </w:r>
      <w:hyperlink r:id="rId61" w:history="1">
        <w:r w:rsidRPr="00AF426D">
          <w:rPr>
            <w:rStyle w:val="Hyperlink"/>
            <w:rFonts w:asciiTheme="minorHAnsi" w:hAnsiTheme="minorHAnsi" w:cstheme="minorHAnsi"/>
          </w:rPr>
          <w:t>https://www.stats.govt.nz/integrated-data/integrated-data-infrastructure/</w:t>
        </w:r>
      </w:hyperlink>
      <w:r>
        <w:t xml:space="preserve"> </w:t>
      </w:r>
    </w:p>
  </w:footnote>
  <w:footnote w:id="124">
    <w:p w14:paraId="10904338" w14:textId="77777777" w:rsidR="00D92620" w:rsidRPr="00E142FA" w:rsidRDefault="00D92620" w:rsidP="00E20FF1">
      <w:pPr>
        <w:pStyle w:val="FootnoteText"/>
        <w:rPr>
          <w:lang w:val="mi-NZ"/>
        </w:rPr>
      </w:pPr>
      <w:r>
        <w:rPr>
          <w:rStyle w:val="FootnoteReference"/>
        </w:rPr>
        <w:footnoteRef/>
      </w:r>
      <w:r>
        <w:t xml:space="preserve"> </w:t>
      </w:r>
      <w:hyperlink r:id="rId62" w:history="1">
        <w:r w:rsidRPr="00E142FA">
          <w:rPr>
            <w:rStyle w:val="Hyperlink"/>
            <w:rFonts w:asciiTheme="minorHAnsi" w:hAnsiTheme="minorHAnsi" w:cstheme="minorHAnsi"/>
          </w:rPr>
          <w:t>https://www.parliament.nz/en/pb/bills-and-laws/bills-proposed-laws/document/BILL_116701/oversight-of-oranga-tamariki-system-and-children-and-young</w:t>
        </w:r>
      </w:hyperlink>
      <w:r>
        <w:t xml:space="preserve"> </w:t>
      </w:r>
    </w:p>
  </w:footnote>
  <w:footnote w:id="125">
    <w:p w14:paraId="096F800F" w14:textId="46D2A67C" w:rsidR="00D92620" w:rsidRPr="007B33BD" w:rsidRDefault="00D92620" w:rsidP="00E20FF1">
      <w:pPr>
        <w:pStyle w:val="FootnoteText"/>
        <w:rPr>
          <w:lang w:val="mi-NZ"/>
        </w:rPr>
      </w:pPr>
      <w:r>
        <w:rPr>
          <w:rStyle w:val="FootnoteReference"/>
        </w:rPr>
        <w:footnoteRef/>
      </w:r>
      <w:r>
        <w:t xml:space="preserve"> </w:t>
      </w:r>
      <w:r w:rsidRPr="007B33BD">
        <w:rPr>
          <w:rFonts w:asciiTheme="minorHAnsi" w:hAnsiTheme="minorHAnsi" w:cstheme="minorHAnsi"/>
          <w:lang w:val="mi-NZ"/>
        </w:rPr>
        <w:t xml:space="preserve">Consistent with the CRC, </w:t>
      </w:r>
      <w:r w:rsidR="00E26F7F">
        <w:rPr>
          <w:rFonts w:asciiTheme="minorHAnsi" w:hAnsiTheme="minorHAnsi" w:cstheme="minorHAnsi"/>
          <w:lang w:val="mi-NZ"/>
        </w:rPr>
        <w:t>T</w:t>
      </w:r>
      <w:r w:rsidRPr="007B33BD">
        <w:rPr>
          <w:rFonts w:asciiTheme="minorHAnsi" w:hAnsiTheme="minorHAnsi" w:cstheme="minorHAnsi"/>
          <w:lang w:val="mi-NZ"/>
        </w:rPr>
        <w:t>e Tiriti o Waitangi and other relevant international human rights obligations.</w:t>
      </w:r>
    </w:p>
  </w:footnote>
  <w:footnote w:id="126">
    <w:p w14:paraId="115478A2" w14:textId="2CAD0BC9" w:rsidR="001A518D" w:rsidRPr="00105156" w:rsidRDefault="001A518D" w:rsidP="001A518D">
      <w:pPr>
        <w:rPr>
          <w:rFonts w:cstheme="minorHAnsi"/>
          <w:lang w:val="mi-NZ"/>
        </w:rPr>
      </w:pPr>
      <w:r>
        <w:rPr>
          <w:rStyle w:val="FootnoteReference"/>
        </w:rPr>
        <w:footnoteRef/>
      </w:r>
      <w:r>
        <w:t xml:space="preserve"> </w:t>
      </w:r>
      <w:r>
        <w:rPr>
          <w:lang w:val="mi-NZ"/>
        </w:rPr>
        <w:t xml:space="preserve">See the </w:t>
      </w:r>
      <w:r>
        <w:rPr>
          <w:rFonts w:cstheme="minorHAnsi"/>
          <w:lang w:val="mi-NZ"/>
        </w:rPr>
        <w:t xml:space="preserve">Rights of Tamariki Māori in Aotearoa New Zealand Thematic Report, submitted by </w:t>
      </w:r>
      <w:proofErr w:type="spellStart"/>
      <w:r>
        <w:rPr>
          <w:rFonts w:cstheme="minorHAnsi"/>
        </w:rPr>
        <w:t>Te</w:t>
      </w:r>
      <w:proofErr w:type="spellEnd"/>
      <w:r>
        <w:rPr>
          <w:rFonts w:cstheme="minorHAnsi"/>
        </w:rPr>
        <w:t xml:space="preserve"> Puna </w:t>
      </w:r>
      <w:proofErr w:type="spellStart"/>
      <w:r>
        <w:rPr>
          <w:rFonts w:cstheme="minorHAnsi"/>
        </w:rPr>
        <w:t>Rangahau</w:t>
      </w:r>
      <w:proofErr w:type="spellEnd"/>
      <w:r>
        <w:rPr>
          <w:rFonts w:cstheme="minorHAnsi"/>
        </w:rPr>
        <w:t xml:space="preserve"> o </w:t>
      </w:r>
      <w:proofErr w:type="spellStart"/>
      <w:r>
        <w:rPr>
          <w:rFonts w:cstheme="minorHAnsi"/>
        </w:rPr>
        <w:t>Te</w:t>
      </w:r>
      <w:proofErr w:type="spellEnd"/>
      <w:r>
        <w:rPr>
          <w:rFonts w:cstheme="minorHAnsi"/>
        </w:rPr>
        <w:t xml:space="preserve"> Wai Ariki | Aotearoa New Zealand Centre for Indigenous Peoples and the Law</w:t>
      </w:r>
      <w:r>
        <w:rPr>
          <w:rFonts w:cstheme="minorHAnsi"/>
          <w:lang w:val="mi-NZ"/>
        </w:rPr>
        <w:t xml:space="preserve">. Recommendation 2 in that report </w:t>
      </w:r>
      <w:r>
        <w:rPr>
          <w:rFonts w:ascii="Verdana" w:eastAsia="Times New Roman" w:hAnsi="Verdana" w:cs="Times New Roman"/>
          <w:color w:val="000000"/>
          <w:lang w:val="en-NZ" w:eastAsia="en-GB"/>
        </w:rPr>
        <w:t>c</w:t>
      </w:r>
      <w:r w:rsidRPr="00105156">
        <w:rPr>
          <w:rFonts w:ascii="Verdana" w:eastAsia="Times New Roman" w:hAnsi="Verdana" w:cs="Times New Roman"/>
          <w:color w:val="000000"/>
          <w:lang w:val="en-NZ" w:eastAsia="en-GB"/>
        </w:rPr>
        <w:t xml:space="preserve">alls upon the New Zealand Government to develop mechanisms, like a monitoring body and/or the rights framework put forward in </w:t>
      </w:r>
      <w:r>
        <w:rPr>
          <w:rFonts w:ascii="Verdana" w:eastAsia="Times New Roman" w:hAnsi="Verdana" w:cs="Times New Roman"/>
          <w:color w:val="000000"/>
          <w:lang w:val="en-NZ" w:eastAsia="en-GB"/>
        </w:rPr>
        <w:t xml:space="preserve">that </w:t>
      </w:r>
      <w:r w:rsidRPr="00105156">
        <w:rPr>
          <w:rFonts w:ascii="Verdana" w:eastAsia="Times New Roman" w:hAnsi="Verdana" w:cs="Times New Roman"/>
          <w:color w:val="000000"/>
          <w:lang w:val="en-NZ" w:eastAsia="en-GB"/>
        </w:rPr>
        <w:t>report, in partnership with M</w:t>
      </w:r>
      <w:r w:rsidRPr="00105156">
        <w:rPr>
          <w:rFonts w:ascii="Verdana" w:eastAsia="Times New Roman" w:hAnsi="Verdana" w:cs="Times New Roman"/>
          <w:color w:val="000000"/>
          <w:lang w:val="mi-NZ" w:eastAsia="en-GB"/>
        </w:rPr>
        <w:t>āori, including tamariki Māori, to ensure that all the rights of tamariki Māori are recognised and provided for in</w:t>
      </w:r>
      <w:r w:rsidRPr="00105156">
        <w:rPr>
          <w:rFonts w:ascii="Verdana" w:eastAsia="Times New Roman" w:hAnsi="Verdana" w:cs="Times New Roman"/>
          <w:color w:val="000000"/>
          <w:lang w:val="en-NZ" w:eastAsia="en-GB"/>
        </w:rPr>
        <w:t xml:space="preserve"> government-led action going forward. This mechanism will also provide a way to monitor whether the New Zealand Government is meeting its specific obligations to </w:t>
      </w:r>
      <w:proofErr w:type="spellStart"/>
      <w:r w:rsidRPr="00105156">
        <w:rPr>
          <w:rFonts w:ascii="Verdana" w:eastAsia="Times New Roman" w:hAnsi="Verdana" w:cs="Times New Roman"/>
          <w:color w:val="000000"/>
          <w:lang w:val="en-NZ" w:eastAsia="en-GB"/>
        </w:rPr>
        <w:t>tamariki</w:t>
      </w:r>
      <w:proofErr w:type="spellEnd"/>
      <w:r w:rsidRPr="00105156">
        <w:rPr>
          <w:rFonts w:ascii="Verdana" w:eastAsia="Times New Roman" w:hAnsi="Verdana" w:cs="Times New Roman"/>
          <w:color w:val="000000"/>
          <w:lang w:val="en-NZ" w:eastAsia="en-GB"/>
        </w:rPr>
        <w:t xml:space="preserve"> Māori</w:t>
      </w:r>
      <w:r>
        <w:rPr>
          <w:rFonts w:ascii="Verdana" w:eastAsia="Times New Roman" w:hAnsi="Verdana" w:cs="Times New Roman"/>
          <w:color w:val="000000"/>
          <w:lang w:val="en-NZ" w:eastAsia="en-GB"/>
        </w:rPr>
        <w:t xml:space="preserve">. </w:t>
      </w:r>
    </w:p>
    <w:p w14:paraId="70A49AF1" w14:textId="77777777" w:rsidR="001A518D" w:rsidRPr="00105156" w:rsidRDefault="001A518D" w:rsidP="001A518D">
      <w:pPr>
        <w:pStyle w:val="FootnoteText"/>
        <w:rPr>
          <w:lang w:val="mi-NZ"/>
        </w:rPr>
      </w:pPr>
    </w:p>
  </w:footnote>
  <w:footnote w:id="127">
    <w:p w14:paraId="15906238" w14:textId="77777777" w:rsidR="00D92620" w:rsidRPr="00464D13" w:rsidRDefault="00D92620" w:rsidP="00E20FF1">
      <w:pPr>
        <w:pStyle w:val="NoSpacing"/>
        <w:rPr>
          <w:rFonts w:cstheme="minorHAnsi"/>
          <w:lang w:val="mi-NZ"/>
        </w:rPr>
      </w:pPr>
      <w:r w:rsidRPr="00464D13">
        <w:rPr>
          <w:rStyle w:val="FootnoteReference"/>
          <w:rFonts w:cstheme="minorHAnsi"/>
        </w:rPr>
        <w:footnoteRef/>
      </w:r>
      <w:r w:rsidRPr="00464D13">
        <w:rPr>
          <w:rFonts w:cstheme="minorHAnsi"/>
        </w:rPr>
        <w:t xml:space="preserve"> U</w:t>
      </w:r>
      <w:r w:rsidRPr="009D70CA">
        <w:rPr>
          <w:rFonts w:cstheme="minorHAnsi"/>
          <w:color w:val="000000" w:themeColor="text1"/>
        </w:rPr>
        <w:t>N Committee on the Rights of the Child (2002). </w:t>
      </w:r>
      <w:hyperlink r:id="rId63" w:history="1">
        <w:r w:rsidRPr="00464D13">
          <w:rPr>
            <w:rStyle w:val="Hyperlink"/>
            <w:rFonts w:cstheme="minorHAnsi"/>
            <w:color w:val="1B2F73" w:themeColor="text2" w:themeShade="BF"/>
          </w:rPr>
          <w:t xml:space="preserve">General </w:t>
        </w:r>
        <w:r>
          <w:rPr>
            <w:rStyle w:val="Hyperlink"/>
            <w:rFonts w:cstheme="minorHAnsi"/>
            <w:color w:val="1B2F73" w:themeColor="text2" w:themeShade="BF"/>
          </w:rPr>
          <w:t>C</w:t>
        </w:r>
        <w:r w:rsidRPr="00464D13">
          <w:rPr>
            <w:rStyle w:val="Hyperlink"/>
            <w:rFonts w:cstheme="minorHAnsi"/>
            <w:color w:val="1B2F73" w:themeColor="text2" w:themeShade="BF"/>
          </w:rPr>
          <w:t>omment No. 2: The Role of Independent National Human Rights Institutions in the Promotion and Protection of the Rights of the Child</w:t>
        </w:r>
      </w:hyperlink>
      <w:r w:rsidRPr="00464D13">
        <w:rPr>
          <w:rFonts w:cstheme="minorHAnsi"/>
          <w:color w:val="1B2F73" w:themeColor="text2" w:themeShade="BF"/>
        </w:rPr>
        <w:t>.</w:t>
      </w:r>
    </w:p>
  </w:footnote>
  <w:footnote w:id="128">
    <w:p w14:paraId="24729FF8" w14:textId="5370CB2B" w:rsidR="00C41EA3" w:rsidRPr="00464D13" w:rsidRDefault="00C41EA3" w:rsidP="00E20FF1">
      <w:pPr>
        <w:spacing w:after="0" w:line="240" w:lineRule="auto"/>
        <w:rPr>
          <w:rFonts w:cstheme="minorHAnsi"/>
          <w:lang w:val="mi-NZ"/>
        </w:rPr>
      </w:pPr>
      <w:r w:rsidRPr="00464D13">
        <w:rPr>
          <w:rStyle w:val="FootnoteReference"/>
          <w:rFonts w:cstheme="minorHAnsi"/>
        </w:rPr>
        <w:footnoteRef/>
      </w:r>
      <w:r w:rsidRPr="00464D13">
        <w:rPr>
          <w:rFonts w:cstheme="minorHAnsi"/>
        </w:rPr>
        <w:t xml:space="preserve"> </w:t>
      </w:r>
      <w:r w:rsidRPr="00464D13">
        <w:rPr>
          <w:rFonts w:cstheme="minorHAnsi"/>
          <w:lang w:val="mi-NZ"/>
        </w:rPr>
        <w:t xml:space="preserve">See paras </w:t>
      </w:r>
      <w:r w:rsidR="003D6B39">
        <w:rPr>
          <w:rFonts w:cstheme="minorHAnsi"/>
          <w:lang w:val="mi-NZ"/>
        </w:rPr>
        <w:t>249</w:t>
      </w:r>
      <w:r w:rsidRPr="00464D13">
        <w:rPr>
          <w:rFonts w:cstheme="minorHAnsi"/>
          <w:lang w:val="mi-NZ"/>
        </w:rPr>
        <w:t xml:space="preserve"> and </w:t>
      </w:r>
      <w:r w:rsidR="003D6B39">
        <w:rPr>
          <w:rFonts w:cstheme="minorHAnsi"/>
          <w:lang w:val="mi-NZ"/>
        </w:rPr>
        <w:t>253</w:t>
      </w:r>
      <w:r w:rsidRPr="00464D13">
        <w:rPr>
          <w:rFonts w:cstheme="minorHAnsi"/>
          <w:lang w:val="mi-NZ"/>
        </w:rPr>
        <w:t xml:space="preserve"> below. The Alliance strongly supports these calls to include all 17-year-olds in the Youth Court jurisdiction and </w:t>
      </w:r>
      <w:r>
        <w:rPr>
          <w:rFonts w:cstheme="minorHAnsi"/>
          <w:lang w:val="mi-NZ"/>
        </w:rPr>
        <w:t xml:space="preserve">to </w:t>
      </w:r>
      <w:r w:rsidRPr="00464D13">
        <w:rPr>
          <w:rFonts w:cstheme="minorHAnsi"/>
          <w:lang w:val="mi-NZ"/>
        </w:rPr>
        <w:t>raise the minimum age of criminal responsibility to 14 immediately.</w:t>
      </w:r>
    </w:p>
  </w:footnote>
  <w:footnote w:id="129">
    <w:p w14:paraId="4CF91789" w14:textId="77777777" w:rsidR="0008115A" w:rsidRPr="00464D13" w:rsidRDefault="0008115A" w:rsidP="00E20FF1">
      <w:pPr>
        <w:spacing w:after="0" w:line="240" w:lineRule="auto"/>
        <w:rPr>
          <w:rFonts w:cstheme="minorHAnsi"/>
          <w:lang w:val="mi-NZ"/>
        </w:rPr>
      </w:pPr>
      <w:r w:rsidRPr="00464D13">
        <w:rPr>
          <w:rStyle w:val="FootnoteReference"/>
          <w:rFonts w:cstheme="minorHAnsi"/>
        </w:rPr>
        <w:footnoteRef/>
      </w:r>
      <w:r w:rsidRPr="00464D13">
        <w:rPr>
          <w:rFonts w:cstheme="minorHAnsi"/>
        </w:rPr>
        <w:t xml:space="preserve"> </w:t>
      </w:r>
      <w:r w:rsidRPr="00464D13">
        <w:rPr>
          <w:rFonts w:cstheme="minorHAnsi"/>
          <w:lang w:val="mi-NZ"/>
        </w:rPr>
        <w:t>The former Children’s Commissioner Andrew Becroft has said:</w:t>
      </w:r>
      <w:r w:rsidRPr="00464D13">
        <w:rPr>
          <w:rFonts w:cstheme="minorHAnsi"/>
          <w:i/>
          <w:iCs/>
          <w:color w:val="000000"/>
        </w:rPr>
        <w:t xml:space="preserve"> “The Youth Court should be empowered to deal with all offending by all under 18-year-olds, and be responsible for all sentencing. …. This would promote a consistent and youth-specific approach that prioritises alternatives to charging in court and emphasises rehabilitation for people under 18, still leaving all sentencing options open.”</w:t>
      </w:r>
    </w:p>
    <w:p w14:paraId="0B08C5FA" w14:textId="77777777" w:rsidR="0008115A" w:rsidRPr="00464D13" w:rsidRDefault="0008115A" w:rsidP="00E20FF1">
      <w:pPr>
        <w:pStyle w:val="FootnoteText"/>
        <w:rPr>
          <w:rFonts w:asciiTheme="minorHAnsi" w:hAnsiTheme="minorHAnsi" w:cstheme="minorHAnsi"/>
          <w:lang w:val="en-US"/>
        </w:rPr>
      </w:pPr>
      <w:r w:rsidRPr="00464D13">
        <w:rPr>
          <w:rFonts w:asciiTheme="minorHAnsi" w:hAnsiTheme="minorHAnsi" w:cstheme="minorHAnsi"/>
        </w:rPr>
        <w:t>https://www.occ.org.nz/publications/news/some-stark-injustices-in-our-youth-justice-system-need-fixing-and-heres-how/</w:t>
      </w:r>
    </w:p>
  </w:footnote>
  <w:footnote w:id="130">
    <w:p w14:paraId="6A9FCE2D" w14:textId="77777777" w:rsidR="0008115A" w:rsidRPr="00464D13" w:rsidRDefault="0008115A" w:rsidP="00E20FF1">
      <w:pPr>
        <w:pStyle w:val="FootnoteText"/>
        <w:rPr>
          <w:rFonts w:asciiTheme="minorHAnsi" w:hAnsiTheme="minorHAnsi" w:cstheme="minorHAnsi"/>
          <w:lang w:val="mi-NZ"/>
        </w:rPr>
      </w:pPr>
      <w:r w:rsidRPr="00464D13">
        <w:rPr>
          <w:rStyle w:val="FootnoteReference"/>
          <w:rFonts w:asciiTheme="minorHAnsi" w:hAnsiTheme="minorHAnsi" w:cstheme="minorHAnsi"/>
        </w:rPr>
        <w:footnoteRef/>
      </w:r>
      <w:r w:rsidRPr="00464D13">
        <w:rPr>
          <w:rFonts w:asciiTheme="minorHAnsi" w:hAnsiTheme="minorHAnsi" w:cstheme="minorHAnsi"/>
        </w:rPr>
        <w:t xml:space="preserve"> </w:t>
      </w:r>
      <w:r w:rsidRPr="00464D13">
        <w:rPr>
          <w:rFonts w:asciiTheme="minorHAnsi" w:eastAsiaTheme="minorHAnsi" w:hAnsiTheme="minorHAnsi" w:cstheme="minorHAnsi"/>
          <w:color w:val="000000"/>
          <w:lang w:val="en-GB" w:eastAsia="en-US"/>
        </w:rPr>
        <w:t xml:space="preserve">See also: </w:t>
      </w:r>
      <w:hyperlink r:id="rId64" w:history="1">
        <w:r w:rsidRPr="00021517">
          <w:rPr>
            <w:rFonts w:asciiTheme="minorHAnsi" w:eastAsiaTheme="minorHAnsi" w:hAnsiTheme="minorHAnsi" w:cstheme="minorHAnsi"/>
            <w:color w:val="25409A" w:themeColor="text2"/>
            <w:u w:val="single" w:color="094FD1"/>
            <w:lang w:val="en-GB" w:eastAsia="en-US"/>
          </w:rPr>
          <w:t>https://www.wgtn.ac.nz/news/2021/10/youth-justice-experts-call-for-urgent-law-changes-to-reduce-harm-in-the-youth-justice-system</w:t>
        </w:r>
      </w:hyperlink>
    </w:p>
  </w:footnote>
  <w:footnote w:id="131">
    <w:p w14:paraId="0FB583B2" w14:textId="77777777" w:rsidR="0008115A" w:rsidRPr="00464D13" w:rsidRDefault="0008115A" w:rsidP="00E20FF1">
      <w:pPr>
        <w:pStyle w:val="FootnoteText"/>
        <w:rPr>
          <w:rFonts w:asciiTheme="minorHAnsi" w:hAnsiTheme="minorHAnsi" w:cstheme="minorHAnsi"/>
          <w:lang w:val="mi-NZ"/>
        </w:rPr>
      </w:pPr>
      <w:r w:rsidRPr="00464D13">
        <w:rPr>
          <w:rStyle w:val="FootnoteReference"/>
          <w:rFonts w:asciiTheme="minorHAnsi" w:hAnsiTheme="minorHAnsi" w:cstheme="minorHAnsi"/>
        </w:rPr>
        <w:footnoteRef/>
      </w:r>
      <w:r w:rsidRPr="00464D13">
        <w:rPr>
          <w:rFonts w:asciiTheme="minorHAnsi" w:hAnsiTheme="minorHAnsi" w:cstheme="minorHAnsi"/>
        </w:rPr>
        <w:t xml:space="preserve"> </w:t>
      </w:r>
      <w:r w:rsidRPr="00464D13">
        <w:rPr>
          <w:rFonts w:asciiTheme="minorHAnsi" w:hAnsiTheme="minorHAnsi" w:cstheme="minorHAnsi"/>
          <w:lang w:val="mi-NZ"/>
        </w:rPr>
        <w:t>The former Children’s Commissioner is calling for the minimum age of criminal responsiblity to be raised to 14</w:t>
      </w:r>
      <w:r>
        <w:rPr>
          <w:rFonts w:asciiTheme="minorHAnsi" w:hAnsiTheme="minorHAnsi" w:cstheme="minorHAnsi"/>
          <w:lang w:val="mi-NZ"/>
        </w:rPr>
        <w:t>:</w:t>
      </w:r>
      <w:r w:rsidRPr="00464D13">
        <w:rPr>
          <w:rFonts w:asciiTheme="minorHAnsi" w:hAnsiTheme="minorHAnsi" w:cstheme="minorHAnsi"/>
          <w:i/>
          <w:iCs/>
          <w:color w:val="000000"/>
        </w:rPr>
        <w:t xml:space="preserve"> “The present age is 10, which is unconscionably and unarguably too low and completely out of step with what we know of child development. It should be set at 12 and soon moved to 14 as soon as New Zealand’s care and protection system is transformed to become fit for purpose.” </w:t>
      </w:r>
      <w:r w:rsidRPr="00464D13">
        <w:rPr>
          <w:rFonts w:asciiTheme="minorHAnsi" w:hAnsiTheme="minorHAnsi" w:cstheme="minorHAnsi"/>
          <w:lang w:val="mi-NZ"/>
        </w:rPr>
        <w:t>See</w:t>
      </w:r>
      <w:r>
        <w:rPr>
          <w:rFonts w:asciiTheme="minorHAnsi" w:hAnsiTheme="minorHAnsi" w:cstheme="minorHAnsi"/>
          <w:lang w:val="mi-NZ"/>
        </w:rPr>
        <w:t xml:space="preserve">: </w:t>
      </w:r>
      <w:hyperlink r:id="rId65" w:history="1">
        <w:r w:rsidRPr="00247584">
          <w:rPr>
            <w:rStyle w:val="Hyperlink"/>
            <w:rFonts w:asciiTheme="minorHAnsi" w:hAnsiTheme="minorHAnsi" w:cstheme="minorHAnsi"/>
            <w:lang w:val="mi-NZ"/>
          </w:rPr>
          <w:t>https://www.rnz.co.nz/news/national/424271/children-s-commissioner-wants-age-of-criminal-responsibility-raised-to-14</w:t>
        </w:r>
      </w:hyperlink>
      <w:r w:rsidRPr="00464D13">
        <w:rPr>
          <w:rFonts w:asciiTheme="minorHAnsi" w:hAnsiTheme="minorHAnsi" w:cstheme="minorHAnsi"/>
          <w:lang w:val="mi-NZ"/>
        </w:rPr>
        <w:t xml:space="preserve"> </w:t>
      </w:r>
    </w:p>
  </w:footnote>
  <w:footnote w:id="132">
    <w:p w14:paraId="4189F3FE" w14:textId="77777777" w:rsidR="0008115A" w:rsidRPr="00464D13" w:rsidRDefault="0008115A" w:rsidP="00E20FF1">
      <w:pPr>
        <w:pStyle w:val="FootnoteText"/>
        <w:rPr>
          <w:rFonts w:asciiTheme="minorHAnsi" w:hAnsiTheme="minorHAnsi" w:cstheme="minorHAnsi"/>
          <w:lang w:val="en-US"/>
        </w:rPr>
      </w:pPr>
      <w:r w:rsidRPr="00464D13">
        <w:rPr>
          <w:rStyle w:val="FootnoteReference"/>
          <w:rFonts w:asciiTheme="minorHAnsi" w:hAnsiTheme="minorHAnsi" w:cstheme="minorHAnsi"/>
        </w:rPr>
        <w:footnoteRef/>
      </w:r>
      <w:r w:rsidRPr="00464D13">
        <w:rPr>
          <w:rFonts w:asciiTheme="minorHAnsi" w:hAnsiTheme="minorHAnsi" w:cstheme="minorHAnsi"/>
        </w:rPr>
        <w:t xml:space="preserve"> </w:t>
      </w:r>
      <w:hyperlink r:id="rId66" w:history="1">
        <w:r w:rsidRPr="00464D13">
          <w:rPr>
            <w:rStyle w:val="Hyperlink"/>
            <w:rFonts w:asciiTheme="minorHAnsi" w:hAnsiTheme="minorHAnsi" w:cstheme="minorHAnsi"/>
          </w:rPr>
          <w:t>https://www.occ.org.nz/publications/news/some-stark-injustices-in-our-youth-justice-system-need-fixing-and-heres-how/</w:t>
        </w:r>
      </w:hyperlink>
      <w:r w:rsidRPr="00464D13">
        <w:rPr>
          <w:rFonts w:asciiTheme="minorHAnsi" w:hAnsiTheme="minorHAnsi" w:cstheme="minorHAnsi"/>
        </w:rPr>
        <w:t xml:space="preserve"> </w:t>
      </w:r>
    </w:p>
  </w:footnote>
  <w:footnote w:id="133">
    <w:p w14:paraId="71D67ECE" w14:textId="77777777" w:rsidR="0008115A" w:rsidRPr="000B3F5F" w:rsidRDefault="0008115A" w:rsidP="00E20FF1">
      <w:pPr>
        <w:pStyle w:val="FootnoteText"/>
        <w:rPr>
          <w:rFonts w:asciiTheme="minorHAnsi" w:hAnsiTheme="minorHAnsi" w:cstheme="minorHAnsi"/>
          <w:lang w:val="mi-NZ"/>
        </w:rPr>
      </w:pPr>
      <w:r w:rsidRPr="000B3F5F">
        <w:rPr>
          <w:rStyle w:val="FootnoteReference"/>
          <w:rFonts w:asciiTheme="minorHAnsi" w:hAnsiTheme="minorHAnsi" w:cstheme="minorHAnsi"/>
        </w:rPr>
        <w:footnoteRef/>
      </w:r>
      <w:r w:rsidRPr="000B3F5F">
        <w:rPr>
          <w:rFonts w:asciiTheme="minorHAnsi" w:hAnsiTheme="minorHAnsi" w:cstheme="minorHAnsi"/>
        </w:rPr>
        <w:t xml:space="preserve"> </w:t>
      </w:r>
      <w:hyperlink r:id="rId67" w:history="1">
        <w:r w:rsidRPr="000B3F5F">
          <w:rPr>
            <w:rStyle w:val="Hyperlink"/>
            <w:rFonts w:asciiTheme="minorHAnsi" w:hAnsiTheme="minorHAnsi" w:cstheme="minorHAnsi"/>
          </w:rPr>
          <w:t>https://www.makeit16.org.nz</w:t>
        </w:r>
      </w:hyperlink>
      <w:r w:rsidRPr="000B3F5F">
        <w:rPr>
          <w:rFonts w:asciiTheme="minorHAnsi" w:hAnsiTheme="minorHAnsi" w:cstheme="minorHAnsi"/>
        </w:rPr>
        <w:t xml:space="preserve"> </w:t>
      </w:r>
    </w:p>
  </w:footnote>
  <w:footnote w:id="134">
    <w:p w14:paraId="4CCBA629" w14:textId="77777777" w:rsidR="0008115A" w:rsidRPr="000B3F5F" w:rsidRDefault="0008115A" w:rsidP="00E20FF1">
      <w:pPr>
        <w:spacing w:after="0" w:line="240" w:lineRule="auto"/>
        <w:rPr>
          <w:rFonts w:cstheme="minorHAnsi"/>
          <w:lang w:val="mi-NZ"/>
        </w:rPr>
      </w:pPr>
      <w:r w:rsidRPr="000B3F5F">
        <w:rPr>
          <w:rStyle w:val="FootnoteReference"/>
          <w:rFonts w:cstheme="minorHAnsi"/>
        </w:rPr>
        <w:footnoteRef/>
      </w:r>
      <w:r w:rsidRPr="000B3F5F">
        <w:rPr>
          <w:rFonts w:cstheme="minorHAnsi"/>
        </w:rPr>
        <w:t xml:space="preserve"> </w:t>
      </w:r>
      <w:hyperlink r:id="rId68" w:history="1">
        <w:r w:rsidRPr="000B3F5F">
          <w:rPr>
            <w:rStyle w:val="Hyperlink"/>
            <w:rFonts w:cstheme="minorHAnsi"/>
            <w:lang w:val="mi-NZ"/>
          </w:rPr>
          <w:t>https://www.renews.co.nz/fight-to-lower-voting-age-to-16-will-head-to-supreme-court</w:t>
        </w:r>
      </w:hyperlink>
      <w:r w:rsidRPr="000B3F5F">
        <w:rPr>
          <w:rFonts w:cstheme="minorHAnsi"/>
          <w:lang w:val="mi-NZ"/>
        </w:rPr>
        <w:t xml:space="preserve"> </w:t>
      </w:r>
    </w:p>
  </w:footnote>
  <w:footnote w:id="135">
    <w:p w14:paraId="3BB26084" w14:textId="77777777" w:rsidR="0008115A" w:rsidRPr="000B3F5F" w:rsidRDefault="0008115A" w:rsidP="00E20FF1">
      <w:pPr>
        <w:pStyle w:val="FootnoteText"/>
        <w:rPr>
          <w:rFonts w:asciiTheme="minorHAnsi" w:hAnsiTheme="minorHAnsi" w:cstheme="minorHAnsi"/>
          <w:lang w:val="mi-NZ"/>
        </w:rPr>
      </w:pPr>
      <w:r w:rsidRPr="000B3F5F">
        <w:rPr>
          <w:rStyle w:val="FootnoteReference"/>
          <w:rFonts w:asciiTheme="minorHAnsi" w:hAnsiTheme="minorHAnsi" w:cstheme="minorHAnsi"/>
        </w:rPr>
        <w:footnoteRef/>
      </w:r>
      <w:r w:rsidRPr="000B3F5F">
        <w:rPr>
          <w:rFonts w:asciiTheme="minorHAnsi" w:hAnsiTheme="minorHAnsi" w:cstheme="minorHAnsi"/>
        </w:rPr>
        <w:t xml:space="preserve"> </w:t>
      </w:r>
      <w:hyperlink r:id="rId69" w:history="1">
        <w:r w:rsidRPr="000B3F5F">
          <w:rPr>
            <w:rStyle w:val="Hyperlink"/>
            <w:rFonts w:asciiTheme="minorHAnsi" w:hAnsiTheme="minorHAnsi" w:cstheme="minorHAnsi"/>
          </w:rPr>
          <w:t>https://www.stuff.co.nz/national/129244852/voting-age-change-for-parliament-and-court-should-bow-out-crown-says</w:t>
        </w:r>
      </w:hyperlink>
      <w:r w:rsidRPr="000B3F5F">
        <w:rPr>
          <w:rFonts w:asciiTheme="minorHAnsi" w:hAnsiTheme="minorHAnsi" w:cstheme="minorHAnsi"/>
        </w:rPr>
        <w:t xml:space="preserve"> </w:t>
      </w:r>
    </w:p>
  </w:footnote>
  <w:footnote w:id="136">
    <w:p w14:paraId="452D77D4" w14:textId="77777777" w:rsidR="0008115A" w:rsidRPr="000B3F5F" w:rsidRDefault="0008115A" w:rsidP="00E20FF1">
      <w:pPr>
        <w:pStyle w:val="FootnoteText"/>
        <w:rPr>
          <w:rFonts w:asciiTheme="minorHAnsi" w:hAnsiTheme="minorHAnsi" w:cstheme="minorHAnsi"/>
          <w:lang w:val="mi-NZ"/>
        </w:rPr>
      </w:pPr>
      <w:r w:rsidRPr="000B3F5F">
        <w:rPr>
          <w:rStyle w:val="FootnoteReference"/>
          <w:rFonts w:asciiTheme="minorHAnsi" w:hAnsiTheme="minorHAnsi" w:cstheme="minorHAnsi"/>
        </w:rPr>
        <w:footnoteRef/>
      </w:r>
      <w:r w:rsidRPr="000B3F5F">
        <w:rPr>
          <w:rFonts w:asciiTheme="minorHAnsi" w:hAnsiTheme="minorHAnsi" w:cstheme="minorHAnsi"/>
        </w:rPr>
        <w:t xml:space="preserve"> </w:t>
      </w:r>
      <w:hyperlink r:id="rId70" w:history="1">
        <w:r w:rsidRPr="000B3F5F">
          <w:rPr>
            <w:rStyle w:val="Hyperlink"/>
            <w:rFonts w:asciiTheme="minorHAnsi" w:hAnsiTheme="minorHAnsi" w:cstheme="minorHAnsi"/>
          </w:rPr>
          <w:t>https://www.makeit16.org.nz/post/pr-cross-party-support-for-make-it-16-at-youth-parliament</w:t>
        </w:r>
      </w:hyperlink>
      <w:r w:rsidRPr="000B3F5F">
        <w:rPr>
          <w:rFonts w:asciiTheme="minorHAnsi" w:hAnsiTheme="minorHAnsi" w:cstheme="minorHAnsi"/>
        </w:rPr>
        <w:t xml:space="preserve"> </w:t>
      </w:r>
    </w:p>
  </w:footnote>
  <w:footnote w:id="137">
    <w:p w14:paraId="7C5ACB9D" w14:textId="77777777" w:rsidR="0008115A" w:rsidRPr="000B3F5F" w:rsidRDefault="0008115A" w:rsidP="00E20FF1">
      <w:pPr>
        <w:pStyle w:val="FootnoteText"/>
        <w:rPr>
          <w:rFonts w:asciiTheme="minorHAnsi" w:hAnsiTheme="minorHAnsi" w:cstheme="minorHAnsi"/>
          <w:lang w:val="mi-NZ"/>
        </w:rPr>
      </w:pPr>
      <w:r w:rsidRPr="000B3F5F">
        <w:rPr>
          <w:rStyle w:val="FootnoteReference"/>
          <w:rFonts w:asciiTheme="minorHAnsi" w:hAnsiTheme="minorHAnsi" w:cstheme="minorHAnsi"/>
        </w:rPr>
        <w:footnoteRef/>
      </w:r>
      <w:r w:rsidRPr="000B3F5F">
        <w:rPr>
          <w:rFonts w:asciiTheme="minorHAnsi" w:hAnsiTheme="minorHAnsi" w:cstheme="minorHAnsi"/>
        </w:rPr>
        <w:t xml:space="preserve"> </w:t>
      </w:r>
      <w:hyperlink r:id="rId71" w:history="1">
        <w:r w:rsidRPr="000B3F5F">
          <w:rPr>
            <w:rStyle w:val="Hyperlink"/>
            <w:rFonts w:asciiTheme="minorHAnsi" w:hAnsiTheme="minorHAnsi" w:cstheme="minorHAnsi"/>
          </w:rPr>
          <w:t>https://www.beehive.govt.nz/release/independent-panel-appointed-review-electoral-law</w:t>
        </w:r>
      </w:hyperlink>
      <w:r w:rsidRPr="000B3F5F">
        <w:rPr>
          <w:rFonts w:asciiTheme="minorHAnsi" w:hAnsiTheme="minorHAnsi" w:cstheme="minorHAnsi"/>
        </w:rPr>
        <w:t xml:space="preserve"> </w:t>
      </w:r>
    </w:p>
  </w:footnote>
  <w:footnote w:id="138">
    <w:p w14:paraId="20E61E74" w14:textId="77777777" w:rsidR="00660FDB" w:rsidRPr="000B3F5F" w:rsidRDefault="00660FDB" w:rsidP="00E20FF1">
      <w:pPr>
        <w:pStyle w:val="FootnoteText"/>
        <w:rPr>
          <w:rFonts w:asciiTheme="minorHAnsi" w:hAnsiTheme="minorHAnsi" w:cstheme="minorHAnsi"/>
          <w:lang w:val="mi-NZ"/>
        </w:rPr>
      </w:pPr>
      <w:r w:rsidRPr="000B3F5F">
        <w:rPr>
          <w:rStyle w:val="FootnoteReference"/>
          <w:rFonts w:asciiTheme="minorHAnsi" w:hAnsiTheme="minorHAnsi" w:cstheme="minorHAnsi"/>
        </w:rPr>
        <w:footnoteRef/>
      </w:r>
      <w:r w:rsidRPr="000B3F5F">
        <w:rPr>
          <w:rFonts w:asciiTheme="minorHAnsi" w:hAnsiTheme="minorHAnsi" w:cstheme="minorHAnsi"/>
        </w:rPr>
        <w:t xml:space="preserve"> </w:t>
      </w:r>
      <w:hyperlink r:id="rId72" w:history="1">
        <w:r w:rsidRPr="00247584">
          <w:rPr>
            <w:rStyle w:val="Hyperlink"/>
            <w:rFonts w:asciiTheme="minorHAnsi" w:eastAsiaTheme="minorHAnsi" w:hAnsiTheme="minorHAnsi" w:cstheme="minorHAnsi"/>
            <w:lang w:val="en-GB" w:eastAsia="en-US"/>
          </w:rPr>
          <w:t>https://www.nzherald.co.nz/nz/horrifying-laws-allowing-consent-as-a-court-defence-for-sex-with-a-minor-need-reform/4Y6DOFVSK3BXZUT5FGJ4DZTVDY/</w:t>
        </w:r>
      </w:hyperlink>
      <w:r w:rsidRPr="000B3F5F">
        <w:rPr>
          <w:rFonts w:asciiTheme="minorHAnsi" w:eastAsiaTheme="minorHAnsi" w:hAnsiTheme="minorHAnsi" w:cstheme="minorHAnsi"/>
          <w:color w:val="000000"/>
          <w:lang w:val="en-GB" w:eastAsia="en-US"/>
        </w:rPr>
        <w:t xml:space="preserve">; </w:t>
      </w:r>
      <w:hyperlink r:id="rId73" w:history="1">
        <w:r w:rsidRPr="00247584">
          <w:rPr>
            <w:rStyle w:val="Hyperlink"/>
            <w:rFonts w:asciiTheme="minorHAnsi" w:eastAsiaTheme="minorHAnsi" w:hAnsiTheme="minorHAnsi" w:cstheme="minorHAnsi"/>
            <w:lang w:val="en-GB" w:eastAsia="en-US"/>
          </w:rPr>
          <w:t>https://www.nzherald.co.nz/nz/verdict-in-man-guilty-on-33-charges-of-sexually-abusing-underage-girls/AULVYUJWJKZ5HCATAWIUZ75VDA/</w:t>
        </w:r>
      </w:hyperlink>
      <w:r w:rsidRPr="000B3F5F">
        <w:rPr>
          <w:rFonts w:asciiTheme="minorHAnsi" w:eastAsiaTheme="minorHAnsi" w:hAnsiTheme="minorHAnsi" w:cstheme="minorHAnsi"/>
          <w:color w:val="000000"/>
          <w:lang w:val="en-GB" w:eastAsia="en-US"/>
        </w:rPr>
        <w:t> </w:t>
      </w:r>
    </w:p>
  </w:footnote>
  <w:footnote w:id="139">
    <w:p w14:paraId="372B0C8D" w14:textId="77777777" w:rsidR="00660FDB" w:rsidRPr="000B3F5F" w:rsidRDefault="00660FDB" w:rsidP="00E20FF1">
      <w:pPr>
        <w:spacing w:after="0" w:line="240" w:lineRule="auto"/>
        <w:rPr>
          <w:rFonts w:cstheme="minorHAnsi"/>
        </w:rPr>
      </w:pPr>
      <w:r w:rsidRPr="000B3F5F">
        <w:rPr>
          <w:rStyle w:val="FootnoteReference"/>
          <w:rFonts w:cstheme="minorHAnsi"/>
        </w:rPr>
        <w:footnoteRef/>
      </w:r>
      <w:r w:rsidRPr="000B3F5F">
        <w:rPr>
          <w:rFonts w:cstheme="minorHAnsi"/>
        </w:rPr>
        <w:t xml:space="preserve"> </w:t>
      </w:r>
      <w:hyperlink r:id="rId74" w:history="1">
        <w:r w:rsidRPr="000B3F5F">
          <w:rPr>
            <w:rStyle w:val="Hyperlink"/>
            <w:rFonts w:cstheme="minorHAnsi"/>
          </w:rPr>
          <w:t>https://www.parliament.nz/en/pb/petitions/document/PET_124116/petition-of-layba-zubair-consent-law-reform</w:t>
        </w:r>
      </w:hyperlink>
      <w:r w:rsidRPr="000B3F5F">
        <w:rPr>
          <w:rFonts w:cstheme="minorHAnsi"/>
        </w:rPr>
        <w:t xml:space="preserve"> </w:t>
      </w:r>
    </w:p>
  </w:footnote>
  <w:footnote w:id="140">
    <w:p w14:paraId="04B06B99" w14:textId="7DA01B7F" w:rsidR="00750C45" w:rsidRPr="00382E53" w:rsidRDefault="00750C45" w:rsidP="00E20FF1">
      <w:pPr>
        <w:spacing w:after="0" w:line="240" w:lineRule="auto"/>
        <w:rPr>
          <w:rFonts w:cstheme="minorHAnsi"/>
          <w:lang w:val="mi-NZ"/>
        </w:rPr>
      </w:pPr>
      <w:r w:rsidRPr="00382E53">
        <w:rPr>
          <w:rStyle w:val="FootnoteReference"/>
          <w:rFonts w:cstheme="minorHAnsi"/>
        </w:rPr>
        <w:footnoteRef/>
      </w:r>
      <w:r w:rsidRPr="00382E53">
        <w:rPr>
          <w:rFonts w:cstheme="minorHAnsi"/>
        </w:rPr>
        <w:t xml:space="preserve"> Care experienced young person – see </w:t>
      </w:r>
      <w:r w:rsidR="003D6B39">
        <w:rPr>
          <w:rFonts w:cstheme="minorHAnsi"/>
          <w:lang w:val="mi-NZ"/>
        </w:rPr>
        <w:t xml:space="preserve">Children in State </w:t>
      </w:r>
      <w:r w:rsidR="003A6A55">
        <w:rPr>
          <w:rFonts w:cstheme="minorHAnsi"/>
          <w:lang w:val="mi-NZ"/>
        </w:rPr>
        <w:t>C</w:t>
      </w:r>
      <w:r w:rsidR="003D6B39">
        <w:rPr>
          <w:rFonts w:cstheme="minorHAnsi"/>
          <w:lang w:val="mi-NZ"/>
        </w:rPr>
        <w:t>are Thematic Report, submitted by VOYCE Whakarongo-Mai.</w:t>
      </w:r>
    </w:p>
  </w:footnote>
  <w:footnote w:id="141">
    <w:p w14:paraId="6347884C" w14:textId="024BC25D" w:rsidR="00750C45" w:rsidRPr="00BF67C7" w:rsidRDefault="00750C45" w:rsidP="00E20FF1">
      <w:pPr>
        <w:pStyle w:val="FootnoteText"/>
        <w:rPr>
          <w:rFonts w:asciiTheme="minorHAnsi" w:hAnsiTheme="minorHAnsi" w:cstheme="minorHAnsi"/>
          <w:lang w:val="mi-NZ"/>
        </w:rPr>
      </w:pPr>
      <w:r w:rsidRPr="00BF67C7">
        <w:rPr>
          <w:rStyle w:val="FootnoteReference"/>
          <w:rFonts w:asciiTheme="minorHAnsi" w:hAnsiTheme="minorHAnsi" w:cstheme="minorHAnsi"/>
        </w:rPr>
        <w:footnoteRef/>
      </w:r>
      <w:r w:rsidRPr="00BF67C7">
        <w:rPr>
          <w:rFonts w:asciiTheme="minorHAnsi" w:hAnsiTheme="minorHAnsi" w:cstheme="minorHAnsi"/>
        </w:rPr>
        <w:t xml:space="preserve"> </w:t>
      </w:r>
      <w:r w:rsidRPr="00BF67C7">
        <w:rPr>
          <w:rFonts w:asciiTheme="minorHAnsi" w:hAnsiTheme="minorHAnsi" w:cstheme="minorHAnsi"/>
          <w:lang w:val="mi-NZ"/>
        </w:rPr>
        <w:t>For example:</w:t>
      </w:r>
      <w:r w:rsidR="003A6A55">
        <w:rPr>
          <w:rFonts w:asciiTheme="minorHAnsi" w:hAnsiTheme="minorHAnsi" w:cstheme="minorHAnsi"/>
          <w:lang w:val="mi-NZ"/>
        </w:rPr>
        <w:t xml:space="preserve"> </w:t>
      </w:r>
      <w:r w:rsidR="003D6B39">
        <w:rPr>
          <w:rFonts w:asciiTheme="minorHAnsi" w:hAnsiTheme="minorHAnsi" w:cstheme="minorHAnsi"/>
          <w:lang w:val="mi-NZ"/>
        </w:rPr>
        <w:t xml:space="preserve">Pacific children are </w:t>
      </w:r>
      <w:r w:rsidR="000F3238">
        <w:rPr>
          <w:rFonts w:asciiTheme="minorHAnsi" w:hAnsiTheme="minorHAnsi" w:cstheme="minorHAnsi"/>
          <w:lang w:val="mi-NZ"/>
        </w:rPr>
        <w:t xml:space="preserve">admitted to hospital for rheumatic fever </w:t>
      </w:r>
      <w:r w:rsidR="0036608A">
        <w:rPr>
          <w:rFonts w:asciiTheme="minorHAnsi" w:hAnsiTheme="minorHAnsi" w:cstheme="minorHAnsi"/>
          <w:lang w:val="mi-NZ"/>
        </w:rPr>
        <w:t>140 times more often that children of European or Other ethnicities (para 15</w:t>
      </w:r>
      <w:r w:rsidR="009D70CA">
        <w:rPr>
          <w:rFonts w:asciiTheme="minorHAnsi" w:hAnsiTheme="minorHAnsi" w:cstheme="minorHAnsi"/>
          <w:lang w:val="mi-NZ"/>
        </w:rPr>
        <w:t>5</w:t>
      </w:r>
      <w:r w:rsidR="0036608A">
        <w:rPr>
          <w:rFonts w:asciiTheme="minorHAnsi" w:hAnsiTheme="minorHAnsi" w:cstheme="minorHAnsi"/>
          <w:lang w:val="mi-NZ"/>
        </w:rPr>
        <w:t xml:space="preserve"> below)</w:t>
      </w:r>
      <w:r w:rsidR="004673E1">
        <w:rPr>
          <w:rFonts w:asciiTheme="minorHAnsi" w:hAnsiTheme="minorHAnsi" w:cstheme="minorHAnsi"/>
          <w:lang w:val="mi-NZ"/>
        </w:rPr>
        <w:t>;</w:t>
      </w:r>
      <w:r w:rsidR="0036608A">
        <w:rPr>
          <w:rFonts w:asciiTheme="minorHAnsi" w:hAnsiTheme="minorHAnsi" w:cstheme="minorHAnsi"/>
          <w:lang w:val="mi-NZ"/>
        </w:rPr>
        <w:t xml:space="preserve"> disabled children have over double the rate of severe material hardship to non-disabled children (para 19</w:t>
      </w:r>
      <w:r w:rsidR="009D70CA">
        <w:rPr>
          <w:rFonts w:asciiTheme="minorHAnsi" w:hAnsiTheme="minorHAnsi" w:cstheme="minorHAnsi"/>
          <w:lang w:val="mi-NZ"/>
        </w:rPr>
        <w:t>3</w:t>
      </w:r>
      <w:r w:rsidR="0036608A">
        <w:rPr>
          <w:rFonts w:asciiTheme="minorHAnsi" w:hAnsiTheme="minorHAnsi" w:cstheme="minorHAnsi"/>
          <w:lang w:val="mi-NZ"/>
        </w:rPr>
        <w:t xml:space="preserve"> below)</w:t>
      </w:r>
      <w:r w:rsidR="004673E1">
        <w:rPr>
          <w:rFonts w:asciiTheme="minorHAnsi" w:hAnsiTheme="minorHAnsi" w:cstheme="minorHAnsi"/>
          <w:lang w:val="mi-NZ"/>
        </w:rPr>
        <w:t>;</w:t>
      </w:r>
      <w:r w:rsidR="0036608A">
        <w:rPr>
          <w:rFonts w:asciiTheme="minorHAnsi" w:hAnsiTheme="minorHAnsi" w:cstheme="minorHAnsi"/>
          <w:lang w:val="mi-NZ"/>
        </w:rPr>
        <w:t xml:space="preserve"> and </w:t>
      </w:r>
      <w:r w:rsidR="004673E1">
        <w:rPr>
          <w:rFonts w:asciiTheme="minorHAnsi" w:hAnsiTheme="minorHAnsi" w:cstheme="minorHAnsi"/>
          <w:lang w:val="mi-NZ"/>
        </w:rPr>
        <w:t>86% of the 140 children in youth justice custody as at 31 March 2022 were tamariki Māori (para 14</w:t>
      </w:r>
      <w:r w:rsidR="009D70CA">
        <w:rPr>
          <w:rFonts w:asciiTheme="minorHAnsi" w:hAnsiTheme="minorHAnsi" w:cstheme="minorHAnsi"/>
          <w:lang w:val="mi-NZ"/>
        </w:rPr>
        <w:t>2</w:t>
      </w:r>
      <w:r w:rsidR="004673E1">
        <w:rPr>
          <w:rFonts w:asciiTheme="minorHAnsi" w:hAnsiTheme="minorHAnsi" w:cstheme="minorHAnsi"/>
          <w:lang w:val="mi-NZ"/>
        </w:rPr>
        <w:t xml:space="preserve"> below).</w:t>
      </w:r>
    </w:p>
  </w:footnote>
  <w:footnote w:id="142">
    <w:p w14:paraId="4A44B0EA" w14:textId="77777777" w:rsidR="00750C45" w:rsidRPr="00DC06D8" w:rsidRDefault="00750C45" w:rsidP="00E20FF1">
      <w:pPr>
        <w:pStyle w:val="FootnoteText"/>
        <w:rPr>
          <w:lang w:val="mi-NZ"/>
        </w:rPr>
      </w:pPr>
      <w:r>
        <w:rPr>
          <w:rStyle w:val="FootnoteReference"/>
        </w:rPr>
        <w:footnoteRef/>
      </w:r>
      <w:r>
        <w:t xml:space="preserve"> </w:t>
      </w:r>
      <w:hyperlink r:id="rId75" w:history="1">
        <w:r w:rsidRPr="00021517">
          <w:rPr>
            <w:rFonts w:asciiTheme="minorHAnsi" w:eastAsiaTheme="minorHAnsi" w:hAnsiTheme="minorHAnsi" w:cstheme="minorHAnsi"/>
            <w:color w:val="25409A" w:themeColor="text2"/>
            <w:u w:val="single" w:color="094FD1"/>
            <w:lang w:val="en-GB" w:eastAsia="en-US"/>
          </w:rPr>
          <w:t>https://www.youth19.ac.nz/publications/sexual-attraction-wellbeing</w:t>
        </w:r>
      </w:hyperlink>
      <w:r w:rsidRPr="00021517">
        <w:rPr>
          <w:rFonts w:asciiTheme="minorHAnsi" w:eastAsiaTheme="minorHAnsi" w:hAnsiTheme="minorHAnsi" w:cstheme="minorHAnsi"/>
          <w:color w:val="25409A" w:themeColor="text2"/>
          <w:lang w:val="en-GB" w:eastAsia="en-US"/>
        </w:rPr>
        <w:t xml:space="preserve">; </w:t>
      </w:r>
      <w:hyperlink r:id="rId76" w:history="1">
        <w:r w:rsidRPr="00021517">
          <w:rPr>
            <w:rFonts w:asciiTheme="minorHAnsi" w:eastAsiaTheme="minorHAnsi" w:hAnsiTheme="minorHAnsi" w:cstheme="minorHAnsi"/>
            <w:color w:val="25409A" w:themeColor="text2"/>
            <w:u w:val="single" w:color="094FD1"/>
            <w:lang w:val="en-GB" w:eastAsia="en-US"/>
          </w:rPr>
          <w:t>https://www.youth19.ac.nz/publications/transgender-and-diverse-students-brief</w:t>
        </w:r>
      </w:hyperlink>
      <w:r w:rsidRPr="00021517">
        <w:rPr>
          <w:rFonts w:asciiTheme="minorHAnsi" w:eastAsiaTheme="minorHAnsi" w:hAnsiTheme="minorHAnsi" w:cstheme="minorHAnsi"/>
          <w:color w:val="25409A" w:themeColor="text2"/>
          <w:lang w:val="en-GB" w:eastAsia="en-US"/>
        </w:rPr>
        <w:t xml:space="preserve">;   </w:t>
      </w:r>
      <w:hyperlink r:id="rId77" w:history="1">
        <w:r w:rsidRPr="00021517">
          <w:rPr>
            <w:rFonts w:asciiTheme="minorHAnsi" w:eastAsiaTheme="minorHAnsi" w:hAnsiTheme="minorHAnsi" w:cstheme="minorHAnsi"/>
            <w:color w:val="25409A" w:themeColor="text2"/>
            <w:u w:val="single" w:color="094FD1"/>
            <w:lang w:val="en-GB" w:eastAsia="en-US"/>
          </w:rPr>
          <w:t>https://www.youth19.ac.nz/publications/negotiating-multiple-identities-report</w:t>
        </w:r>
      </w:hyperlink>
    </w:p>
  </w:footnote>
  <w:footnote w:id="143">
    <w:p w14:paraId="4843CAAA" w14:textId="32CD48EE" w:rsidR="00750C45" w:rsidRPr="000A5E83" w:rsidRDefault="00750C45" w:rsidP="00E20FF1">
      <w:pPr>
        <w:pStyle w:val="FootnoteText"/>
        <w:rPr>
          <w:lang w:val="mi-NZ"/>
        </w:rPr>
      </w:pPr>
      <w:r>
        <w:rPr>
          <w:rStyle w:val="FootnoteReference"/>
        </w:rPr>
        <w:footnoteRef/>
      </w:r>
      <w:r>
        <w:t xml:space="preserve"> </w:t>
      </w:r>
      <w:r w:rsidRPr="004673E1">
        <w:rPr>
          <w:rFonts w:ascii="Verdana" w:hAnsi="Verdana"/>
          <w:lang w:val="mi-NZ"/>
        </w:rPr>
        <w:t xml:space="preserve">See </w:t>
      </w:r>
      <w:r w:rsidR="004673E1" w:rsidRPr="00C96DFF">
        <w:rPr>
          <w:rFonts w:asciiTheme="minorHAnsi" w:hAnsiTheme="minorHAnsi" w:cstheme="minorHAnsi"/>
          <w:lang w:val="mi-NZ"/>
        </w:rPr>
        <w:t xml:space="preserve">Children’s Rights in </w:t>
      </w:r>
      <w:r w:rsidR="00622637">
        <w:rPr>
          <w:rFonts w:asciiTheme="minorHAnsi" w:hAnsiTheme="minorHAnsi" w:cstheme="minorHAnsi"/>
          <w:lang w:val="mi-NZ"/>
        </w:rPr>
        <w:t>a</w:t>
      </w:r>
      <w:r w:rsidR="004673E1" w:rsidRPr="00C96DFF">
        <w:rPr>
          <w:rFonts w:asciiTheme="minorHAnsi" w:hAnsiTheme="minorHAnsi" w:cstheme="minorHAnsi"/>
          <w:lang w:val="mi-NZ"/>
        </w:rPr>
        <w:t xml:space="preserve"> </w:t>
      </w:r>
      <w:r w:rsidR="00622637">
        <w:rPr>
          <w:rFonts w:asciiTheme="minorHAnsi" w:hAnsiTheme="minorHAnsi" w:cstheme="minorHAnsi"/>
          <w:lang w:val="mi-NZ"/>
        </w:rPr>
        <w:t>Changing</w:t>
      </w:r>
      <w:r w:rsidR="004673E1" w:rsidRPr="00C96DFF">
        <w:rPr>
          <w:rFonts w:asciiTheme="minorHAnsi" w:hAnsiTheme="minorHAnsi" w:cstheme="minorHAnsi"/>
          <w:lang w:val="mi-NZ"/>
        </w:rPr>
        <w:t xml:space="preserve"> </w:t>
      </w:r>
      <w:r w:rsidR="00622637">
        <w:rPr>
          <w:rFonts w:asciiTheme="minorHAnsi" w:hAnsiTheme="minorHAnsi" w:cstheme="minorHAnsi"/>
          <w:lang w:val="mi-NZ"/>
        </w:rPr>
        <w:t xml:space="preserve">Climate </w:t>
      </w:r>
      <w:r w:rsidR="004673E1" w:rsidRPr="00C96DFF">
        <w:rPr>
          <w:rFonts w:asciiTheme="minorHAnsi" w:hAnsiTheme="minorHAnsi" w:cstheme="minorHAnsi"/>
          <w:lang w:val="mi-NZ"/>
        </w:rPr>
        <w:t>Thematic Report</w:t>
      </w:r>
      <w:r w:rsidR="004673E1">
        <w:rPr>
          <w:rFonts w:asciiTheme="minorHAnsi" w:hAnsiTheme="minorHAnsi" w:cstheme="minorHAnsi"/>
          <w:lang w:val="mi-NZ"/>
        </w:rPr>
        <w:t>, submitted by OraTaiao: NZ Climate and Health Council.</w:t>
      </w:r>
    </w:p>
  </w:footnote>
  <w:footnote w:id="144">
    <w:p w14:paraId="014CD9D8" w14:textId="77777777" w:rsidR="00750C45" w:rsidRPr="00BF67C7" w:rsidRDefault="00750C45" w:rsidP="00E20FF1">
      <w:pPr>
        <w:spacing w:after="0" w:line="240" w:lineRule="auto"/>
        <w:rPr>
          <w:rFonts w:cstheme="minorHAnsi"/>
          <w:lang w:val="mi-NZ"/>
        </w:rPr>
      </w:pPr>
      <w:r w:rsidRPr="00BF67C7">
        <w:rPr>
          <w:rStyle w:val="FootnoteReference"/>
          <w:rFonts w:cstheme="minorHAnsi"/>
        </w:rPr>
        <w:footnoteRef/>
      </w:r>
      <w:r w:rsidRPr="00BF67C7">
        <w:rPr>
          <w:rFonts w:cstheme="minorHAnsi"/>
        </w:rPr>
        <w:t xml:space="preserve"> </w:t>
      </w:r>
      <w:hyperlink r:id="rId78" w:history="1">
        <w:r w:rsidRPr="00BF67C7">
          <w:rPr>
            <w:rStyle w:val="Hyperlink"/>
            <w:rFonts w:cstheme="minorHAnsi"/>
            <w:lang w:val="mi-NZ"/>
          </w:rPr>
          <w:t>https://www.stuff.co.nz/pou-tiaki/125674843/national-islamic-youth-association-focused-on-empowering-muslim-youth-and-elevating-their-voices</w:t>
        </w:r>
      </w:hyperlink>
      <w:r w:rsidRPr="00BF67C7">
        <w:rPr>
          <w:rFonts w:cstheme="minorHAnsi"/>
          <w:lang w:val="mi-NZ"/>
        </w:rPr>
        <w:t xml:space="preserve"> </w:t>
      </w:r>
    </w:p>
  </w:footnote>
  <w:footnote w:id="145">
    <w:p w14:paraId="0C3B62E3" w14:textId="77777777" w:rsidR="00750C45" w:rsidRPr="00E26876" w:rsidRDefault="00750C45" w:rsidP="00E20FF1">
      <w:pPr>
        <w:spacing w:after="0" w:line="240" w:lineRule="auto"/>
        <w:textAlignment w:val="baseline"/>
        <w:rPr>
          <w:i/>
          <w:iCs/>
          <w:color w:val="404441"/>
          <w:spacing w:val="1"/>
        </w:rPr>
      </w:pPr>
      <w:r w:rsidRPr="00BF67C7">
        <w:rPr>
          <w:rStyle w:val="FootnoteReference"/>
          <w:rFonts w:cstheme="minorHAnsi"/>
        </w:rPr>
        <w:footnoteRef/>
      </w:r>
      <w:r w:rsidRPr="00BF67C7">
        <w:rPr>
          <w:rFonts w:cstheme="minorHAnsi"/>
        </w:rPr>
        <w:t xml:space="preserve"> </w:t>
      </w:r>
      <w:r w:rsidRPr="00BF67C7">
        <w:rPr>
          <w:rFonts w:cstheme="minorHAnsi"/>
          <w:color w:val="000000" w:themeColor="text1"/>
          <w:lang w:val="mi-NZ"/>
        </w:rPr>
        <w:t>Humairaa Saheb</w:t>
      </w:r>
      <w:r w:rsidRPr="00BF67C7">
        <w:rPr>
          <w:rFonts w:cstheme="minorHAnsi"/>
          <w:color w:val="000000" w:themeColor="text1"/>
          <w:spacing w:val="1"/>
        </w:rPr>
        <w:t xml:space="preserve">’s quote </w:t>
      </w:r>
      <w:r>
        <w:rPr>
          <w:rFonts w:cstheme="minorHAnsi"/>
          <w:color w:val="000000" w:themeColor="text1"/>
          <w:spacing w:val="1"/>
        </w:rPr>
        <w:t>continue</w:t>
      </w:r>
      <w:r w:rsidRPr="00BF67C7">
        <w:rPr>
          <w:rFonts w:cstheme="minorHAnsi"/>
          <w:color w:val="000000" w:themeColor="text1"/>
          <w:spacing w:val="1"/>
        </w:rPr>
        <w:t>s</w:t>
      </w:r>
      <w:r w:rsidRPr="00BF67C7">
        <w:rPr>
          <w:rFonts w:cstheme="minorHAnsi"/>
          <w:i/>
          <w:iCs/>
          <w:color w:val="000000" w:themeColor="text1"/>
          <w:spacing w:val="1"/>
        </w:rPr>
        <w:t>: "Our youth are constantly suffering. We are being divided because of our differences, and our schools are not doing enough to conquer the racism. According to the New Zealand Herald, 25 percent of Asian students are treated unfairly because of their ethnicity. Fifteen percent of Māori students and 12 percent of Pasifika students said that teachers treat them unfairly because of their ethnicity. Where is the justice in this? Why must the youth have to struggle with their identity and be ashamed of where they come from?”</w:t>
      </w:r>
      <w:r>
        <w:rPr>
          <w:rFonts w:cstheme="minorHAnsi"/>
          <w:color w:val="000000" w:themeColor="text1"/>
        </w:rPr>
        <w:t xml:space="preserve"> </w:t>
      </w:r>
      <w:hyperlink r:id="rId79" w:history="1">
        <w:r w:rsidRPr="00247584">
          <w:rPr>
            <w:rStyle w:val="Hyperlink"/>
            <w:rFonts w:eastAsiaTheme="majorEastAsia" w:cstheme="minorHAnsi"/>
          </w:rPr>
          <w:t>https://www.rnz.co.nz/national/programmes/the-house/audio/2018851667/youth-mps-in-their-own-words-a-photo-essay</w:t>
        </w:r>
      </w:hyperlink>
    </w:p>
  </w:footnote>
  <w:footnote w:id="146">
    <w:p w14:paraId="43FCC526" w14:textId="77777777" w:rsidR="003A5383" w:rsidRPr="00BF67C7" w:rsidRDefault="003A5383" w:rsidP="00E20FF1">
      <w:pPr>
        <w:pStyle w:val="FootnoteText"/>
        <w:rPr>
          <w:rFonts w:asciiTheme="minorHAnsi" w:hAnsiTheme="minorHAnsi" w:cstheme="minorHAnsi"/>
          <w:lang w:val="mi-NZ"/>
        </w:rPr>
      </w:pPr>
      <w:r w:rsidRPr="00BF67C7">
        <w:rPr>
          <w:rStyle w:val="FootnoteReference"/>
          <w:rFonts w:asciiTheme="minorHAnsi" w:hAnsiTheme="minorHAnsi" w:cstheme="minorHAnsi"/>
        </w:rPr>
        <w:footnoteRef/>
      </w:r>
      <w:r w:rsidRPr="00BF67C7">
        <w:rPr>
          <w:rFonts w:asciiTheme="minorHAnsi" w:hAnsiTheme="minorHAnsi" w:cstheme="minorHAnsi"/>
        </w:rPr>
        <w:t xml:space="preserve"> </w:t>
      </w:r>
      <w:r w:rsidRPr="00BF67C7">
        <w:rPr>
          <w:rFonts w:asciiTheme="minorHAnsi" w:eastAsiaTheme="minorHAnsi" w:hAnsiTheme="minorHAnsi" w:cstheme="minorHAnsi"/>
          <w:color w:val="000000"/>
          <w:lang w:val="en-GB" w:eastAsia="en-US"/>
        </w:rPr>
        <w:t>Sexual Orientation, Gender Identity, Gender Expression and Sex Characteristics.</w:t>
      </w:r>
    </w:p>
  </w:footnote>
  <w:footnote w:id="147">
    <w:p w14:paraId="53242556" w14:textId="1A797D70" w:rsidR="003A5383" w:rsidRPr="00BF67C7" w:rsidRDefault="003A5383" w:rsidP="00E20FF1">
      <w:pPr>
        <w:pStyle w:val="NormalWeb"/>
        <w:spacing w:before="0" w:beforeAutospacing="0" w:after="0" w:afterAutospacing="0"/>
        <w:rPr>
          <w:rFonts w:asciiTheme="minorHAnsi" w:hAnsiTheme="minorHAnsi" w:cstheme="minorHAnsi"/>
          <w:sz w:val="20"/>
          <w:szCs w:val="20"/>
        </w:rPr>
      </w:pPr>
      <w:r w:rsidRPr="00BF67C7">
        <w:rPr>
          <w:rStyle w:val="FootnoteReference"/>
          <w:rFonts w:asciiTheme="minorHAnsi" w:hAnsiTheme="minorHAnsi" w:cstheme="minorHAnsi"/>
          <w:sz w:val="20"/>
          <w:szCs w:val="20"/>
        </w:rPr>
        <w:footnoteRef/>
      </w:r>
      <w:r w:rsidRPr="00BF67C7">
        <w:rPr>
          <w:rFonts w:asciiTheme="minorHAnsi" w:hAnsiTheme="minorHAnsi" w:cstheme="minorHAnsi"/>
          <w:sz w:val="20"/>
          <w:szCs w:val="20"/>
        </w:rPr>
        <w:t xml:space="preserve"> </w:t>
      </w:r>
      <w:r>
        <w:rPr>
          <w:rFonts w:asciiTheme="minorHAnsi" w:hAnsiTheme="minorHAnsi" w:cstheme="minorHAnsi"/>
          <w:sz w:val="20"/>
          <w:szCs w:val="20"/>
        </w:rPr>
        <w:t xml:space="preserve">M </w:t>
      </w:r>
      <w:proofErr w:type="spellStart"/>
      <w:r w:rsidRPr="00BF67C7">
        <w:rPr>
          <w:rFonts w:asciiTheme="minorHAnsi" w:hAnsiTheme="minorHAnsi" w:cstheme="minorHAnsi"/>
          <w:sz w:val="20"/>
          <w:szCs w:val="20"/>
        </w:rPr>
        <w:t>Clunie</w:t>
      </w:r>
      <w:proofErr w:type="spellEnd"/>
      <w:r>
        <w:rPr>
          <w:rFonts w:asciiTheme="minorHAnsi" w:hAnsiTheme="minorHAnsi" w:cstheme="minorHAnsi"/>
          <w:sz w:val="20"/>
          <w:szCs w:val="20"/>
        </w:rPr>
        <w:t xml:space="preserve">, </w:t>
      </w:r>
      <w:r w:rsidRPr="00BF67C7">
        <w:rPr>
          <w:rFonts w:asciiTheme="minorHAnsi" w:hAnsiTheme="minorHAnsi" w:cstheme="minorHAnsi"/>
          <w:sz w:val="20"/>
          <w:szCs w:val="20"/>
        </w:rPr>
        <w:t xml:space="preserve">et al. (2017) </w:t>
      </w:r>
      <w:r w:rsidRPr="00BF67C7">
        <w:rPr>
          <w:rFonts w:asciiTheme="minorHAnsi" w:hAnsiTheme="minorHAnsi" w:cstheme="minorHAnsi"/>
          <w:i/>
          <w:iCs/>
          <w:sz w:val="20"/>
          <w:szCs w:val="20"/>
        </w:rPr>
        <w:t>Suicide prevention and the rainbow population - A submission on A Strategy to Prevent Suicide in New Zealand: Draft for public consultation</w:t>
      </w:r>
      <w:r w:rsidRPr="00BF67C7">
        <w:rPr>
          <w:rFonts w:asciiTheme="minorHAnsi" w:hAnsiTheme="minorHAnsi" w:cstheme="minorHAnsi"/>
          <w:sz w:val="20"/>
          <w:szCs w:val="20"/>
        </w:rPr>
        <w:t>. Retrieved from Mental Health Foundation</w:t>
      </w:r>
      <w:r>
        <w:rPr>
          <w:rFonts w:asciiTheme="minorHAnsi" w:hAnsiTheme="minorHAnsi" w:cstheme="minorHAnsi"/>
          <w:sz w:val="20"/>
          <w:szCs w:val="20"/>
        </w:rPr>
        <w:t>.</w:t>
      </w:r>
    </w:p>
  </w:footnote>
  <w:footnote w:id="148">
    <w:p w14:paraId="2CB9289D" w14:textId="13E5C209" w:rsidR="003A5383" w:rsidRPr="00BF67C7" w:rsidRDefault="003A5383" w:rsidP="00E20FF1">
      <w:pPr>
        <w:pStyle w:val="NormalWeb"/>
        <w:spacing w:before="0" w:beforeAutospacing="0" w:after="0" w:afterAutospacing="0"/>
        <w:rPr>
          <w:rFonts w:asciiTheme="minorHAnsi" w:hAnsiTheme="minorHAnsi" w:cstheme="minorHAnsi"/>
          <w:sz w:val="20"/>
          <w:szCs w:val="20"/>
        </w:rPr>
      </w:pPr>
      <w:r w:rsidRPr="00BF67C7">
        <w:rPr>
          <w:rStyle w:val="FootnoteReference"/>
          <w:rFonts w:asciiTheme="minorHAnsi" w:hAnsiTheme="minorHAnsi" w:cstheme="minorHAnsi"/>
          <w:sz w:val="20"/>
          <w:szCs w:val="20"/>
        </w:rPr>
        <w:footnoteRef/>
      </w:r>
      <w:r w:rsidRPr="00BF67C7">
        <w:rPr>
          <w:rFonts w:asciiTheme="minorHAnsi" w:hAnsiTheme="minorHAnsi" w:cstheme="minorHAnsi"/>
          <w:sz w:val="20"/>
          <w:szCs w:val="20"/>
        </w:rPr>
        <w:t xml:space="preserve"> Housing First Auckland (2019) </w:t>
      </w:r>
      <w:r w:rsidRPr="00650B64">
        <w:rPr>
          <w:rFonts w:asciiTheme="minorHAnsi" w:hAnsiTheme="minorHAnsi" w:cstheme="minorHAnsi"/>
          <w:i/>
          <w:iCs/>
          <w:sz w:val="20"/>
          <w:szCs w:val="20"/>
        </w:rPr>
        <w:t xml:space="preserve">Ira Mata, Ira </w:t>
      </w:r>
      <w:proofErr w:type="spellStart"/>
      <w:r w:rsidRPr="00650B64">
        <w:rPr>
          <w:rFonts w:asciiTheme="minorHAnsi" w:hAnsiTheme="minorHAnsi" w:cstheme="minorHAnsi"/>
          <w:i/>
          <w:iCs/>
          <w:sz w:val="20"/>
          <w:szCs w:val="20"/>
        </w:rPr>
        <w:t>Tangata</w:t>
      </w:r>
      <w:proofErr w:type="spellEnd"/>
      <w:r w:rsidRPr="00650B64">
        <w:rPr>
          <w:rFonts w:asciiTheme="minorHAnsi" w:hAnsiTheme="minorHAnsi" w:cstheme="minorHAnsi"/>
          <w:i/>
          <w:iCs/>
          <w:sz w:val="20"/>
          <w:szCs w:val="20"/>
        </w:rPr>
        <w:t>: Auckland’s Homeless Count Report: Point in time count 2018</w:t>
      </w:r>
      <w:r w:rsidRPr="00BF67C7">
        <w:rPr>
          <w:rFonts w:asciiTheme="minorHAnsi" w:hAnsiTheme="minorHAnsi" w:cstheme="minorHAnsi"/>
          <w:sz w:val="20"/>
          <w:szCs w:val="20"/>
        </w:rPr>
        <w:t>. Retrieved from Auckland Council: https://www.aucklandshomelesscount.org.nz/wp-content/uploads/2019/10/PiT-FinalReport-Final.pdf</w:t>
      </w:r>
      <w:r w:rsidR="00D51F4C">
        <w:rPr>
          <w:rFonts w:asciiTheme="minorHAnsi" w:hAnsiTheme="minorHAnsi" w:cstheme="minorHAnsi"/>
          <w:sz w:val="20"/>
          <w:szCs w:val="20"/>
        </w:rPr>
        <w:t>.</w:t>
      </w:r>
    </w:p>
  </w:footnote>
  <w:footnote w:id="149">
    <w:p w14:paraId="5657D6BE" w14:textId="3CADB1EF" w:rsidR="003A5383" w:rsidRPr="00BF67C7" w:rsidRDefault="003A5383" w:rsidP="00E20FF1">
      <w:pPr>
        <w:pStyle w:val="NormalWeb"/>
        <w:spacing w:before="0" w:beforeAutospacing="0" w:after="0" w:afterAutospacing="0"/>
        <w:rPr>
          <w:rFonts w:asciiTheme="minorHAnsi" w:hAnsiTheme="minorHAnsi" w:cstheme="minorHAnsi"/>
          <w:sz w:val="20"/>
          <w:szCs w:val="20"/>
        </w:rPr>
      </w:pPr>
      <w:r w:rsidRPr="00BF67C7">
        <w:rPr>
          <w:rStyle w:val="FootnoteReference"/>
          <w:rFonts w:asciiTheme="minorHAnsi" w:hAnsiTheme="minorHAnsi" w:cstheme="minorHAnsi"/>
          <w:sz w:val="20"/>
          <w:szCs w:val="20"/>
        </w:rPr>
        <w:footnoteRef/>
      </w:r>
      <w:r w:rsidRPr="00BF67C7">
        <w:rPr>
          <w:rFonts w:asciiTheme="minorHAnsi" w:hAnsiTheme="minorHAnsi" w:cstheme="minorHAnsi"/>
          <w:sz w:val="20"/>
          <w:szCs w:val="20"/>
        </w:rPr>
        <w:t xml:space="preserve"> </w:t>
      </w:r>
      <w:r>
        <w:rPr>
          <w:rFonts w:asciiTheme="minorHAnsi" w:hAnsiTheme="minorHAnsi" w:cstheme="minorHAnsi"/>
          <w:sz w:val="20"/>
          <w:szCs w:val="20"/>
        </w:rPr>
        <w:t xml:space="preserve">J </w:t>
      </w:r>
      <w:r w:rsidRPr="00BF67C7">
        <w:rPr>
          <w:rFonts w:asciiTheme="minorHAnsi" w:hAnsiTheme="minorHAnsi" w:cstheme="minorHAnsi"/>
          <w:sz w:val="20"/>
          <w:szCs w:val="20"/>
        </w:rPr>
        <w:t>Adams,</w:t>
      </w:r>
      <w:r>
        <w:rPr>
          <w:rFonts w:asciiTheme="minorHAnsi" w:hAnsiTheme="minorHAnsi" w:cstheme="minorHAnsi"/>
          <w:sz w:val="20"/>
          <w:szCs w:val="20"/>
        </w:rPr>
        <w:t xml:space="preserve"> P </w:t>
      </w:r>
      <w:r w:rsidRPr="00BF67C7">
        <w:rPr>
          <w:rFonts w:asciiTheme="minorHAnsi" w:hAnsiTheme="minorHAnsi" w:cstheme="minorHAnsi"/>
          <w:sz w:val="20"/>
          <w:szCs w:val="20"/>
        </w:rPr>
        <w:t>Dickinson</w:t>
      </w:r>
      <w:r>
        <w:rPr>
          <w:rFonts w:asciiTheme="minorHAnsi" w:hAnsiTheme="minorHAnsi" w:cstheme="minorHAnsi"/>
          <w:sz w:val="20"/>
          <w:szCs w:val="20"/>
        </w:rPr>
        <w:t xml:space="preserve"> &amp; L</w:t>
      </w:r>
      <w:r w:rsidRPr="00BF67C7">
        <w:rPr>
          <w:rFonts w:asciiTheme="minorHAnsi" w:hAnsiTheme="minorHAnsi" w:cstheme="minorHAnsi"/>
          <w:sz w:val="20"/>
          <w:szCs w:val="20"/>
        </w:rPr>
        <w:t xml:space="preserve"> </w:t>
      </w:r>
      <w:proofErr w:type="spellStart"/>
      <w:r w:rsidRPr="00BF67C7">
        <w:rPr>
          <w:rFonts w:asciiTheme="minorHAnsi" w:hAnsiTheme="minorHAnsi" w:cstheme="minorHAnsi"/>
          <w:sz w:val="20"/>
          <w:szCs w:val="20"/>
        </w:rPr>
        <w:t>Asiasiga</w:t>
      </w:r>
      <w:proofErr w:type="spellEnd"/>
      <w:r w:rsidRPr="00BF67C7">
        <w:rPr>
          <w:rFonts w:asciiTheme="minorHAnsi" w:hAnsiTheme="minorHAnsi" w:cstheme="minorHAnsi"/>
          <w:sz w:val="20"/>
          <w:szCs w:val="20"/>
        </w:rPr>
        <w:t xml:space="preserve"> (2012) </w:t>
      </w:r>
      <w:r w:rsidRPr="00650B64">
        <w:rPr>
          <w:rFonts w:asciiTheme="minorHAnsi" w:hAnsiTheme="minorHAnsi" w:cstheme="minorHAnsi"/>
          <w:i/>
          <w:iCs/>
          <w:sz w:val="20"/>
          <w:szCs w:val="20"/>
        </w:rPr>
        <w:t>Mental health promotion and prevention services to gay, lesbian, bisexual, transgender and intersex populations in New Zealand: Needs assessment report</w:t>
      </w:r>
      <w:r w:rsidR="00D51F4C">
        <w:rPr>
          <w:rFonts w:asciiTheme="minorHAnsi" w:hAnsiTheme="minorHAnsi" w:cstheme="minorHAnsi"/>
          <w:sz w:val="20"/>
          <w:szCs w:val="20"/>
        </w:rPr>
        <w:t>,</w:t>
      </w:r>
      <w:r w:rsidRPr="00BF67C7">
        <w:rPr>
          <w:rFonts w:asciiTheme="minorHAnsi" w:hAnsiTheme="minorHAnsi" w:cstheme="minorHAnsi"/>
          <w:sz w:val="20"/>
          <w:szCs w:val="20"/>
        </w:rPr>
        <w:t xml:space="preserve"> </w:t>
      </w:r>
      <w:proofErr w:type="spellStart"/>
      <w:r w:rsidRPr="00BF67C7">
        <w:rPr>
          <w:rFonts w:asciiTheme="minorHAnsi" w:hAnsiTheme="minorHAnsi" w:cstheme="minorHAnsi"/>
          <w:sz w:val="20"/>
          <w:szCs w:val="20"/>
        </w:rPr>
        <w:t>Te</w:t>
      </w:r>
      <w:proofErr w:type="spellEnd"/>
      <w:r w:rsidRPr="00BF67C7">
        <w:rPr>
          <w:rFonts w:asciiTheme="minorHAnsi" w:hAnsiTheme="minorHAnsi" w:cstheme="minorHAnsi"/>
          <w:sz w:val="20"/>
          <w:szCs w:val="20"/>
        </w:rPr>
        <w:t xml:space="preserve"> </w:t>
      </w:r>
      <w:proofErr w:type="spellStart"/>
      <w:r w:rsidRPr="00BF67C7">
        <w:rPr>
          <w:rFonts w:asciiTheme="minorHAnsi" w:hAnsiTheme="minorHAnsi" w:cstheme="minorHAnsi"/>
          <w:sz w:val="20"/>
          <w:szCs w:val="20"/>
        </w:rPr>
        <w:t>Pou</w:t>
      </w:r>
      <w:proofErr w:type="spellEnd"/>
      <w:r>
        <w:rPr>
          <w:rFonts w:asciiTheme="minorHAnsi" w:hAnsiTheme="minorHAnsi" w:cstheme="minorHAnsi"/>
          <w:sz w:val="20"/>
          <w:szCs w:val="20"/>
        </w:rPr>
        <w:t>,</w:t>
      </w:r>
      <w:r w:rsidRPr="00BF67C7">
        <w:rPr>
          <w:rFonts w:asciiTheme="minorHAnsi" w:hAnsiTheme="minorHAnsi" w:cstheme="minorHAnsi"/>
          <w:sz w:val="20"/>
          <w:szCs w:val="20"/>
        </w:rPr>
        <w:t xml:space="preserve"> Auckland, New Zealand.</w:t>
      </w:r>
    </w:p>
  </w:footnote>
  <w:footnote w:id="150">
    <w:p w14:paraId="02D60A59" w14:textId="77777777" w:rsidR="003A5383" w:rsidRPr="00021517" w:rsidRDefault="003A5383" w:rsidP="00E20FF1">
      <w:pPr>
        <w:pStyle w:val="FootnoteText"/>
        <w:rPr>
          <w:color w:val="25409A" w:themeColor="text2"/>
          <w:lang w:val="mi-NZ"/>
        </w:rPr>
      </w:pPr>
      <w:r>
        <w:rPr>
          <w:rStyle w:val="FootnoteReference"/>
        </w:rPr>
        <w:footnoteRef/>
      </w:r>
      <w:r>
        <w:t xml:space="preserve"> </w:t>
      </w:r>
      <w:r w:rsidRPr="00BF67C7">
        <w:rPr>
          <w:rFonts w:asciiTheme="minorHAnsi" w:hAnsiTheme="minorHAnsi" w:cstheme="minorHAnsi"/>
          <w:lang w:val="mi-NZ"/>
        </w:rPr>
        <w:t xml:space="preserve">See also: </w:t>
      </w:r>
      <w:hyperlink r:id="rId80" w:history="1">
        <w:r w:rsidRPr="00021517">
          <w:rPr>
            <w:rFonts w:asciiTheme="minorHAnsi" w:eastAsiaTheme="minorHAnsi" w:hAnsiTheme="minorHAnsi" w:cstheme="minorHAnsi"/>
            <w:color w:val="25409A" w:themeColor="text2"/>
            <w:u w:val="single" w:color="094FD1"/>
            <w:lang w:val="en-GB" w:eastAsia="en-US"/>
          </w:rPr>
          <w:t>https://tewhariki.org.nz/assets/Honour-Project-Aotearoa-Final-Report.pdf</w:t>
        </w:r>
      </w:hyperlink>
      <w:r w:rsidRPr="00021517">
        <w:rPr>
          <w:rFonts w:asciiTheme="minorHAnsi" w:eastAsiaTheme="minorHAnsi" w:hAnsiTheme="minorHAnsi" w:cstheme="minorHAnsi"/>
          <w:color w:val="25409A" w:themeColor="text2"/>
          <w:lang w:val="en-GB" w:eastAsia="en-US"/>
        </w:rPr>
        <w:t xml:space="preserve">; </w:t>
      </w:r>
      <w:hyperlink r:id="rId81" w:history="1">
        <w:r w:rsidRPr="00021517">
          <w:rPr>
            <w:rFonts w:asciiTheme="minorHAnsi" w:eastAsiaTheme="minorHAnsi" w:hAnsiTheme="minorHAnsi" w:cstheme="minorHAnsi"/>
            <w:color w:val="25409A" w:themeColor="text2"/>
            <w:u w:val="single" w:color="094FD1"/>
            <w:lang w:val="en-GB" w:eastAsia="en-US"/>
          </w:rPr>
          <w:t>https://researchspace.auckland.ac.nz/handle/2292/49090</w:t>
        </w:r>
      </w:hyperlink>
      <w:r w:rsidRPr="00021517">
        <w:rPr>
          <w:rFonts w:asciiTheme="minorHAnsi" w:eastAsiaTheme="minorHAnsi" w:hAnsiTheme="minorHAnsi" w:cstheme="minorHAnsi"/>
          <w:color w:val="25409A" w:themeColor="text2"/>
          <w:lang w:val="en-GB" w:eastAsia="en-US"/>
        </w:rPr>
        <w:t xml:space="preserve">; </w:t>
      </w:r>
      <w:hyperlink r:id="rId82" w:history="1">
        <w:r w:rsidRPr="00021517">
          <w:rPr>
            <w:rFonts w:asciiTheme="minorHAnsi" w:eastAsiaTheme="minorHAnsi" w:hAnsiTheme="minorHAnsi" w:cstheme="minorHAnsi"/>
            <w:color w:val="25409A" w:themeColor="text2"/>
            <w:u w:val="single" w:color="094FD1"/>
            <w:lang w:val="en-GB" w:eastAsia="en-US"/>
          </w:rPr>
          <w:t>https://static1.squarespace.com/static/5bdbb75ccef37259122e59aa/t/629e7d2d64349d3b11b08919/1654553906843/Same+and+Multiple+Sex+Attracted_030622.pdf</w:t>
        </w:r>
      </w:hyperlink>
    </w:p>
  </w:footnote>
  <w:footnote w:id="151">
    <w:p w14:paraId="6857AB35" w14:textId="77777777" w:rsidR="003A5383" w:rsidRPr="00DC06D8" w:rsidRDefault="003A5383" w:rsidP="00E20FF1">
      <w:pPr>
        <w:pStyle w:val="FootnoteText"/>
        <w:rPr>
          <w:rFonts w:asciiTheme="minorHAnsi" w:hAnsiTheme="minorHAnsi" w:cstheme="minorHAnsi"/>
          <w:lang w:val="mi-NZ"/>
        </w:rPr>
      </w:pPr>
      <w:r w:rsidRPr="00021517">
        <w:rPr>
          <w:rStyle w:val="FootnoteReference"/>
          <w:rFonts w:asciiTheme="minorHAnsi" w:hAnsiTheme="minorHAnsi" w:cstheme="minorHAnsi"/>
          <w:color w:val="25409A" w:themeColor="text2"/>
        </w:rPr>
        <w:footnoteRef/>
      </w:r>
      <w:r w:rsidRPr="00021517">
        <w:rPr>
          <w:rFonts w:asciiTheme="minorHAnsi" w:hAnsiTheme="minorHAnsi" w:cstheme="minorHAnsi"/>
          <w:color w:val="25409A" w:themeColor="text2"/>
        </w:rPr>
        <w:t xml:space="preserve"> </w:t>
      </w:r>
      <w:hyperlink r:id="rId83" w:history="1">
        <w:r w:rsidRPr="00021517">
          <w:rPr>
            <w:rFonts w:asciiTheme="minorHAnsi" w:eastAsiaTheme="minorHAnsi" w:hAnsiTheme="minorHAnsi" w:cstheme="minorHAnsi"/>
            <w:color w:val="25409A" w:themeColor="text2"/>
            <w:u w:val="single" w:color="094FD1"/>
            <w:lang w:val="en-GB" w:eastAsia="en-US"/>
          </w:rPr>
          <w:t>https://www.youth19.ac.nz/publications/negotiating-multiple-identities-report</w:t>
        </w:r>
      </w:hyperlink>
      <w:r w:rsidRPr="00021517">
        <w:rPr>
          <w:rFonts w:asciiTheme="minorHAnsi" w:eastAsiaTheme="minorHAnsi" w:hAnsiTheme="minorHAnsi" w:cstheme="minorHAnsi"/>
          <w:color w:val="25409A" w:themeColor="text2"/>
          <w:lang w:val="en-GB" w:eastAsia="en-US"/>
        </w:rPr>
        <w:t xml:space="preserve"> ; </w:t>
      </w:r>
      <w:hyperlink r:id="rId84" w:history="1">
        <w:r w:rsidRPr="00021517">
          <w:rPr>
            <w:rFonts w:asciiTheme="minorHAnsi" w:eastAsiaTheme="minorHAnsi" w:hAnsiTheme="minorHAnsi" w:cstheme="minorHAnsi"/>
            <w:color w:val="25409A" w:themeColor="text2"/>
            <w:u w:val="single" w:color="094FD1"/>
            <w:lang w:val="en-GB" w:eastAsia="en-US"/>
          </w:rPr>
          <w:t>https://www.youth19.ac.nz/publications/takatapui-rainbow-young-people-involved-with-oranga-tamariki</w:t>
        </w:r>
      </w:hyperlink>
    </w:p>
  </w:footnote>
  <w:footnote w:id="152">
    <w:p w14:paraId="064FF6E9" w14:textId="77777777" w:rsidR="003A5383" w:rsidRPr="00BF67C7" w:rsidRDefault="003A5383" w:rsidP="00E20FF1">
      <w:pPr>
        <w:pStyle w:val="FootnoteText"/>
        <w:rPr>
          <w:rFonts w:asciiTheme="minorHAnsi" w:hAnsiTheme="minorHAnsi" w:cstheme="minorHAnsi"/>
          <w:lang w:val="en-US"/>
        </w:rPr>
      </w:pPr>
      <w:r w:rsidRPr="00BF67C7">
        <w:rPr>
          <w:rStyle w:val="FootnoteReference"/>
          <w:rFonts w:asciiTheme="minorHAnsi" w:hAnsiTheme="minorHAnsi" w:cstheme="minorHAnsi"/>
        </w:rPr>
        <w:footnoteRef/>
      </w:r>
      <w:r w:rsidRPr="00BF67C7">
        <w:rPr>
          <w:rFonts w:asciiTheme="minorHAnsi" w:hAnsiTheme="minorHAnsi" w:cstheme="minorHAnsi"/>
        </w:rPr>
        <w:t xml:space="preserve"> </w:t>
      </w:r>
      <w:hyperlink r:id="rId85" w:history="1">
        <w:r w:rsidRPr="00BF67C7">
          <w:rPr>
            <w:rStyle w:val="Hyperlink"/>
            <w:rFonts w:asciiTheme="minorHAnsi" w:hAnsiTheme="minorHAnsi" w:cstheme="minorHAnsi"/>
            <w:lang w:val="mi-NZ"/>
          </w:rPr>
          <w:t>https://www.parliament.nz/en/pb/bills-and-laws/bills-proposed-laws/document/BILL_74854/births-deaths-marriages-and-relationships-registration</w:t>
        </w:r>
      </w:hyperlink>
    </w:p>
  </w:footnote>
  <w:footnote w:id="153">
    <w:p w14:paraId="44C00D47" w14:textId="77777777" w:rsidR="003A5383" w:rsidRPr="00BF67C7" w:rsidRDefault="003A5383" w:rsidP="00E20FF1">
      <w:pPr>
        <w:pStyle w:val="FootnoteText"/>
        <w:rPr>
          <w:rFonts w:asciiTheme="minorHAnsi" w:hAnsiTheme="minorHAnsi" w:cstheme="minorHAnsi"/>
          <w:lang w:val="en-US"/>
        </w:rPr>
      </w:pPr>
      <w:r w:rsidRPr="00BF67C7">
        <w:rPr>
          <w:rStyle w:val="FootnoteReference"/>
          <w:rFonts w:asciiTheme="minorHAnsi" w:hAnsiTheme="minorHAnsi" w:cstheme="minorHAnsi"/>
        </w:rPr>
        <w:footnoteRef/>
      </w:r>
      <w:r w:rsidRPr="00BF67C7">
        <w:rPr>
          <w:rFonts w:asciiTheme="minorHAnsi" w:hAnsiTheme="minorHAnsi" w:cstheme="minorHAnsi"/>
        </w:rPr>
        <w:t xml:space="preserve"> </w:t>
      </w:r>
      <w:r w:rsidRPr="00BF67C7">
        <w:rPr>
          <w:rFonts w:asciiTheme="minorHAnsi" w:hAnsiTheme="minorHAnsi" w:cstheme="minorHAnsi"/>
          <w:lang w:val="en-US"/>
        </w:rPr>
        <w:t>For insight into the difficulties with the current process</w:t>
      </w:r>
      <w:r>
        <w:rPr>
          <w:rFonts w:asciiTheme="minorHAnsi" w:hAnsiTheme="minorHAnsi" w:cstheme="minorHAnsi"/>
          <w:lang w:val="en-US"/>
        </w:rPr>
        <w:t xml:space="preserve">, </w:t>
      </w:r>
      <w:r w:rsidRPr="00BF67C7">
        <w:rPr>
          <w:rFonts w:asciiTheme="minorHAnsi" w:hAnsiTheme="minorHAnsi" w:cstheme="minorHAnsi"/>
          <w:lang w:val="en-US"/>
        </w:rPr>
        <w:t>see the submission on the Bill from a group of Parents and Caregivers of Transgender and Gender Diverse Children in New Zealand</w:t>
      </w:r>
      <w:r>
        <w:rPr>
          <w:rFonts w:asciiTheme="minorHAnsi" w:hAnsiTheme="minorHAnsi" w:cstheme="minorHAnsi"/>
          <w:lang w:val="en-US"/>
        </w:rPr>
        <w:t>:</w:t>
      </w:r>
      <w:r w:rsidRPr="00BF67C7">
        <w:rPr>
          <w:rFonts w:asciiTheme="minorHAnsi" w:hAnsiTheme="minorHAnsi" w:cstheme="minorHAnsi"/>
          <w:lang w:val="en-US"/>
        </w:rPr>
        <w:t xml:space="preserve"> </w:t>
      </w:r>
      <w:hyperlink r:id="rId86" w:history="1">
        <w:r w:rsidRPr="00247584">
          <w:rPr>
            <w:rStyle w:val="Hyperlink"/>
            <w:rFonts w:asciiTheme="minorHAnsi" w:hAnsiTheme="minorHAnsi" w:cstheme="minorHAnsi"/>
            <w:lang w:val="en-US"/>
          </w:rPr>
          <w:t>https://www.parliament.nz/resource/enNZ/52SCGA_EVI_74854_817/bd87133e395ea5621c5fa55e7306657c4c290822</w:t>
        </w:r>
      </w:hyperlink>
      <w:r w:rsidRPr="00BF67C7">
        <w:rPr>
          <w:rFonts w:asciiTheme="minorHAnsi" w:hAnsiTheme="minorHAnsi" w:cstheme="minorHAnsi"/>
          <w:lang w:val="en-US"/>
        </w:rPr>
        <w:t xml:space="preserve"> </w:t>
      </w:r>
    </w:p>
  </w:footnote>
  <w:footnote w:id="154">
    <w:p w14:paraId="16CA4552" w14:textId="77777777" w:rsidR="003A5383" w:rsidRPr="00BF67C7" w:rsidRDefault="003A5383" w:rsidP="00E20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BF67C7">
        <w:rPr>
          <w:rStyle w:val="FootnoteReference"/>
          <w:rFonts w:cstheme="minorHAnsi"/>
        </w:rPr>
        <w:footnoteRef/>
      </w:r>
      <w:r w:rsidRPr="00BF67C7">
        <w:rPr>
          <w:rFonts w:cstheme="minorHAnsi"/>
        </w:rPr>
        <w:t xml:space="preserve"> </w:t>
      </w:r>
      <w:hyperlink r:id="rId87" w:anchor=":~:text=To%20recognise%20gender%2C%20a%20self,transgender%2C%20intersex%20and%20takat%C4%81pui%20people" w:history="1">
        <w:r w:rsidRPr="00247584">
          <w:rPr>
            <w:rStyle w:val="Hyperlink"/>
            <w:rFonts w:cstheme="minorHAnsi"/>
          </w:rPr>
          <w:t>https://www.dia.govt.nz/bdmreview---recognising-gender-on-birth certificates#:~:text=To%20recognise%20gender%2C%20a%20self,transgender%2C%20intersex%20and%20takat%C4%81pui%20people</w:t>
        </w:r>
      </w:hyperlink>
      <w:r w:rsidRPr="00BF67C7">
        <w:rPr>
          <w:rFonts w:cstheme="minorHAnsi"/>
          <w:color w:val="000000"/>
        </w:rPr>
        <w:t>.</w:t>
      </w:r>
    </w:p>
  </w:footnote>
  <w:footnote w:id="155">
    <w:p w14:paraId="68D21D2C" w14:textId="7987D42B" w:rsidR="003A5383" w:rsidRPr="001D4EA6" w:rsidRDefault="003A5383" w:rsidP="00E20FF1">
      <w:pPr>
        <w:pStyle w:val="FootnoteText"/>
        <w:rPr>
          <w:rFonts w:asciiTheme="minorHAnsi" w:hAnsiTheme="minorHAnsi" w:cstheme="minorHAnsi"/>
          <w:lang w:val="mi-NZ"/>
        </w:rPr>
      </w:pPr>
      <w:r>
        <w:rPr>
          <w:rStyle w:val="FootnoteReference"/>
        </w:rPr>
        <w:footnoteRef/>
      </w:r>
      <w:r>
        <w:t xml:space="preserve"> </w:t>
      </w:r>
      <w:r w:rsidRPr="00E7687D">
        <w:rPr>
          <w:rFonts w:asciiTheme="minorHAnsi" w:hAnsiTheme="minorHAnsi" w:cstheme="minorHAnsi"/>
          <w:lang w:val="mi-NZ"/>
        </w:rPr>
        <w:t>Previously an application had to be made to the Family Court</w:t>
      </w:r>
      <w:r>
        <w:rPr>
          <w:rFonts w:asciiTheme="minorHAnsi" w:hAnsiTheme="minorHAnsi" w:cstheme="minorHAnsi"/>
          <w:lang w:val="mi-NZ"/>
        </w:rPr>
        <w:t xml:space="preserve"> along with medical evidence</w:t>
      </w:r>
      <w:r w:rsidRPr="00E7687D">
        <w:rPr>
          <w:rFonts w:asciiTheme="minorHAnsi" w:hAnsiTheme="minorHAnsi" w:cstheme="minorHAnsi"/>
          <w:lang w:val="mi-NZ"/>
        </w:rPr>
        <w:t xml:space="preserve">, which </w:t>
      </w:r>
      <w:r>
        <w:rPr>
          <w:rFonts w:asciiTheme="minorHAnsi" w:hAnsiTheme="minorHAnsi" w:cstheme="minorHAnsi"/>
          <w:lang w:val="mi-NZ"/>
        </w:rPr>
        <w:t xml:space="preserve">was a </w:t>
      </w:r>
      <w:r w:rsidRPr="00E7687D">
        <w:rPr>
          <w:rFonts w:asciiTheme="minorHAnsi" w:hAnsiTheme="minorHAnsi" w:cstheme="minorHAnsi"/>
          <w:lang w:val="mi-NZ"/>
        </w:rPr>
        <w:t>barrier</w:t>
      </w:r>
      <w:r>
        <w:rPr>
          <w:rFonts w:asciiTheme="minorHAnsi" w:hAnsiTheme="minorHAnsi" w:cstheme="minorHAnsi"/>
          <w:lang w:val="mi-NZ"/>
        </w:rPr>
        <w:t xml:space="preserve"> to having accurate identity documents</w:t>
      </w:r>
      <w:r>
        <w:rPr>
          <w:rFonts w:asciiTheme="minorHAnsi" w:hAnsiTheme="minorHAnsi" w:cstheme="minorHAnsi"/>
        </w:rPr>
        <w:t xml:space="preserve">. </w:t>
      </w:r>
      <w:r w:rsidRPr="002B35C7">
        <w:rPr>
          <w:rFonts w:asciiTheme="minorHAnsi" w:hAnsiTheme="minorHAnsi" w:cstheme="minorHAnsi"/>
        </w:rPr>
        <w:t xml:space="preserve">The Human Rights Commission’s Inquiry into Discrimination Experienced by Transgender People was carried out in 2006 </w:t>
      </w:r>
      <w:r w:rsidR="00D51F4C">
        <w:rPr>
          <w:rFonts w:asciiTheme="minorHAnsi" w:hAnsiTheme="minorHAnsi" w:cstheme="minorHAnsi"/>
        </w:rPr>
        <w:t xml:space="preserve">and </w:t>
      </w:r>
      <w:r w:rsidRPr="002B35C7">
        <w:rPr>
          <w:rFonts w:asciiTheme="minorHAnsi" w:hAnsiTheme="minorHAnsi" w:cstheme="minorHAnsi"/>
        </w:rPr>
        <w:t xml:space="preserve">reported on in 2008. This barrier has been known about for a long time. </w:t>
      </w:r>
      <w:hyperlink r:id="rId88" w:history="1">
        <w:r w:rsidRPr="00021517">
          <w:rPr>
            <w:rFonts w:asciiTheme="minorHAnsi" w:eastAsiaTheme="minorHAnsi" w:hAnsiTheme="minorHAnsi" w:cstheme="minorHAnsi"/>
            <w:color w:val="25409A" w:themeColor="text2"/>
            <w:u w:val="single" w:color="094FD1"/>
            <w:lang w:val="en-GB" w:eastAsia="en-US"/>
          </w:rPr>
          <w:t>https://www.hrc.co.nz/our-work/sogiesc/past-projects/inquiry-discrimination-experienced-transgender-people/</w:t>
        </w:r>
      </w:hyperlink>
    </w:p>
  </w:footnote>
  <w:footnote w:id="156">
    <w:p w14:paraId="5FB61EA3" w14:textId="77777777" w:rsidR="003A5383" w:rsidRPr="00BF67C7" w:rsidRDefault="003A5383" w:rsidP="00E20FF1">
      <w:pPr>
        <w:pStyle w:val="FootnoteText"/>
        <w:rPr>
          <w:rFonts w:asciiTheme="minorHAnsi" w:hAnsiTheme="minorHAnsi" w:cstheme="minorHAnsi"/>
          <w:lang w:val="en-US"/>
        </w:rPr>
      </w:pPr>
      <w:r w:rsidRPr="00BF67C7">
        <w:rPr>
          <w:rStyle w:val="FootnoteReference"/>
          <w:rFonts w:asciiTheme="minorHAnsi" w:hAnsiTheme="minorHAnsi" w:cstheme="minorHAnsi"/>
        </w:rPr>
        <w:footnoteRef/>
      </w:r>
      <w:r w:rsidRPr="00BF67C7">
        <w:rPr>
          <w:rFonts w:asciiTheme="minorHAnsi" w:hAnsiTheme="minorHAnsi" w:cstheme="minorHAnsi"/>
        </w:rPr>
        <w:t xml:space="preserve"> Conversion Practices Prohibition Legislation Act 2022. </w:t>
      </w:r>
      <w:r w:rsidRPr="00BF67C7">
        <w:rPr>
          <w:rFonts w:asciiTheme="minorHAnsi" w:hAnsiTheme="minorHAnsi" w:cstheme="minorHAnsi"/>
          <w:lang w:val="en-US"/>
        </w:rPr>
        <w:t>Conversion Therapy refers to practices that seek to change or suppress a person’s sexual orientation, gender identity, or gender expression</w:t>
      </w:r>
      <w:r>
        <w:rPr>
          <w:rFonts w:asciiTheme="minorHAnsi" w:hAnsiTheme="minorHAnsi" w:cstheme="minorHAnsi"/>
          <w:lang w:val="en-US"/>
        </w:rPr>
        <w:t xml:space="preserve">: </w:t>
      </w:r>
      <w:hyperlink r:id="rId89" w:history="1">
        <w:r w:rsidRPr="00247584">
          <w:rPr>
            <w:rStyle w:val="Hyperlink"/>
            <w:rFonts w:asciiTheme="minorHAnsi" w:hAnsiTheme="minorHAnsi" w:cstheme="minorHAnsi"/>
            <w:lang w:val="en-US"/>
          </w:rPr>
          <w:t>https://www.rnz.co.nz/news/national/461599/politicians-react-as-bill-to-ban-conversion-therapy-passes</w:t>
        </w:r>
      </w:hyperlink>
      <w:r w:rsidRPr="00BF67C7">
        <w:rPr>
          <w:rFonts w:asciiTheme="minorHAnsi" w:hAnsiTheme="minorHAnsi" w:cstheme="minorHAnsi"/>
          <w:lang w:val="en-US"/>
        </w:rPr>
        <w:t xml:space="preserve"> </w:t>
      </w:r>
    </w:p>
  </w:footnote>
  <w:footnote w:id="157">
    <w:p w14:paraId="68C24481" w14:textId="77777777" w:rsidR="003A5383" w:rsidRPr="00BF67C7" w:rsidRDefault="003A5383" w:rsidP="00E20FF1">
      <w:pPr>
        <w:spacing w:after="0" w:line="240" w:lineRule="auto"/>
        <w:rPr>
          <w:rFonts w:cstheme="minorHAnsi"/>
          <w:lang w:val="mi-NZ"/>
        </w:rPr>
      </w:pPr>
      <w:r w:rsidRPr="00BF67C7">
        <w:rPr>
          <w:rStyle w:val="FootnoteReference"/>
          <w:rFonts w:cstheme="minorHAnsi"/>
        </w:rPr>
        <w:footnoteRef/>
      </w:r>
      <w:r w:rsidRPr="00BF67C7">
        <w:rPr>
          <w:rFonts w:cstheme="minorHAnsi"/>
        </w:rPr>
        <w:t xml:space="preserve">  </w:t>
      </w:r>
      <w:r w:rsidRPr="00BF67C7">
        <w:rPr>
          <w:rFonts w:cstheme="minorHAnsi"/>
          <w:lang w:val="mi-NZ"/>
        </w:rPr>
        <w:t>The Bill was strongly supported by organisations representing rainbow children and young people</w:t>
      </w:r>
      <w:r>
        <w:rPr>
          <w:rFonts w:cstheme="minorHAnsi"/>
          <w:lang w:val="mi-NZ"/>
        </w:rPr>
        <w:t>,</w:t>
      </w:r>
      <w:r w:rsidRPr="00BF67C7">
        <w:rPr>
          <w:rFonts w:cstheme="minorHAnsi"/>
          <w:lang w:val="mi-NZ"/>
        </w:rPr>
        <w:t xml:space="preserve"> who called for: inclusion of protections for inter-sex people; stronger focus on redress processes that support justice, healing and restoration of relationships; education for </w:t>
      </w:r>
      <w:proofErr w:type="spellStart"/>
      <w:r w:rsidRPr="00BF67C7">
        <w:rPr>
          <w:rFonts w:cstheme="minorHAnsi"/>
          <w:color w:val="000000"/>
        </w:rPr>
        <w:t>whānau</w:t>
      </w:r>
      <w:proofErr w:type="spellEnd"/>
      <w:r w:rsidRPr="00BF67C7">
        <w:rPr>
          <w:rFonts w:cstheme="minorHAnsi"/>
          <w:lang w:val="mi-NZ"/>
        </w:rPr>
        <w:t>, communities and medical professionals to build understanding about the nature and harms of conversion practices, as well as rainbow identities and the importance of inclusion</w:t>
      </w:r>
      <w:r>
        <w:rPr>
          <w:rFonts w:cstheme="minorHAnsi"/>
          <w:lang w:val="mi-NZ"/>
        </w:rPr>
        <w:t>:</w:t>
      </w:r>
      <w:r w:rsidRPr="00BF67C7">
        <w:rPr>
          <w:rFonts w:cstheme="minorHAnsi"/>
        </w:rPr>
        <w:t xml:space="preserve"> </w:t>
      </w:r>
      <w:hyperlink r:id="rId90" w:history="1">
        <w:r w:rsidRPr="00BF67C7">
          <w:rPr>
            <w:rStyle w:val="Hyperlink"/>
            <w:rFonts w:cstheme="minorHAnsi"/>
          </w:rPr>
          <w:t>https://www.tengakaukahukura.nz/banning-conversion-practices</w:t>
        </w:r>
      </w:hyperlink>
      <w:r w:rsidRPr="00BF67C7">
        <w:rPr>
          <w:rFonts w:cstheme="minorHAnsi"/>
        </w:rPr>
        <w:t xml:space="preserve"> </w:t>
      </w:r>
    </w:p>
  </w:footnote>
  <w:footnote w:id="158">
    <w:p w14:paraId="7FCAFB46" w14:textId="77777777" w:rsidR="003A5383" w:rsidRPr="00021517" w:rsidRDefault="003A5383" w:rsidP="00E20FF1">
      <w:pPr>
        <w:pStyle w:val="FootnoteText"/>
        <w:rPr>
          <w:color w:val="25409A" w:themeColor="text2"/>
          <w:lang w:val="mi-NZ"/>
        </w:rPr>
      </w:pPr>
      <w:r>
        <w:rPr>
          <w:rStyle w:val="FootnoteReference"/>
        </w:rPr>
        <w:footnoteRef/>
      </w:r>
      <w:r>
        <w:t xml:space="preserve"> </w:t>
      </w:r>
      <w:hyperlink r:id="rId91" w:history="1">
        <w:r w:rsidRPr="000A5E83">
          <w:rPr>
            <w:rStyle w:val="Hyperlink"/>
            <w:rFonts w:asciiTheme="minorHAnsi" w:eastAsiaTheme="minorHAnsi" w:hAnsiTheme="minorHAnsi" w:cstheme="minorHAnsi"/>
            <w:lang w:val="en-GB" w:eastAsia="en-US"/>
          </w:rPr>
          <w:t>https://www.stuff.co.nz/national/health/128827328/finally-heard-intersex-kiwis-celebrate-historic-government-healthcare-funding</w:t>
        </w:r>
      </w:hyperlink>
      <w:r w:rsidRPr="000A5E83">
        <w:rPr>
          <w:rFonts w:asciiTheme="minorHAnsi" w:eastAsiaTheme="minorHAnsi" w:hAnsiTheme="minorHAnsi" w:cstheme="minorHAnsi"/>
          <w:color w:val="000000"/>
          <w:lang w:val="en-GB" w:eastAsia="en-US"/>
        </w:rPr>
        <w:t xml:space="preserve">; </w:t>
      </w:r>
      <w:hyperlink r:id="rId92" w:history="1">
        <w:r w:rsidRPr="00021517">
          <w:rPr>
            <w:rFonts w:asciiTheme="minorHAnsi" w:eastAsiaTheme="minorHAnsi" w:hAnsiTheme="minorHAnsi" w:cstheme="minorHAnsi"/>
            <w:color w:val="25409A" w:themeColor="text2"/>
            <w:u w:val="single" w:color="094FD1"/>
            <w:lang w:val="en-GB" w:eastAsia="en-US"/>
          </w:rPr>
          <w:t>https://www.1news.co.nz/2022/06/05/govt-announces-47m-to-support-intersex-transgender-people/</w:t>
        </w:r>
      </w:hyperlink>
      <w:r w:rsidRPr="00021517">
        <w:rPr>
          <w:rFonts w:asciiTheme="minorHAnsi" w:eastAsiaTheme="minorHAnsi" w:hAnsiTheme="minorHAnsi" w:cstheme="minorHAnsi"/>
          <w:color w:val="25409A" w:themeColor="text2"/>
          <w:lang w:val="en-GB" w:eastAsia="en-US"/>
        </w:rPr>
        <w:t xml:space="preserve">; </w:t>
      </w:r>
      <w:hyperlink r:id="rId93" w:history="1">
        <w:r w:rsidRPr="00021517">
          <w:rPr>
            <w:rFonts w:asciiTheme="minorHAnsi" w:eastAsiaTheme="minorHAnsi" w:hAnsiTheme="minorHAnsi" w:cstheme="minorHAnsi"/>
            <w:color w:val="25409A" w:themeColor="text2"/>
            <w:u w:val="single" w:color="094FD1"/>
            <w:lang w:val="en-GB" w:eastAsia="en-US"/>
          </w:rPr>
          <w:t>https://www.youth19.ac.nz/publications/sexual-attraction-wellbeing</w:t>
        </w:r>
      </w:hyperlink>
      <w:r w:rsidRPr="00021517">
        <w:rPr>
          <w:rFonts w:asciiTheme="minorHAnsi" w:eastAsiaTheme="minorHAnsi" w:hAnsiTheme="minorHAnsi" w:cstheme="minorHAnsi"/>
          <w:color w:val="25409A" w:themeColor="text2"/>
          <w:lang w:val="en-GB" w:eastAsia="en-US"/>
        </w:rPr>
        <w:t xml:space="preserve">; </w:t>
      </w:r>
      <w:hyperlink r:id="rId94" w:history="1">
        <w:r w:rsidRPr="00021517">
          <w:rPr>
            <w:rFonts w:asciiTheme="minorHAnsi" w:eastAsiaTheme="minorHAnsi" w:hAnsiTheme="minorHAnsi" w:cstheme="minorHAnsi"/>
            <w:color w:val="25409A" w:themeColor="text2"/>
            <w:u w:val="single" w:color="094FD1"/>
            <w:lang w:val="en-GB" w:eastAsia="en-US"/>
          </w:rPr>
          <w:t>https://www.youth19.ac.nz/publications/transgender-and-diverse-students-brief</w:t>
        </w:r>
      </w:hyperlink>
      <w:r w:rsidRPr="00021517">
        <w:rPr>
          <w:rFonts w:asciiTheme="minorHAnsi" w:eastAsiaTheme="minorHAnsi" w:hAnsiTheme="minorHAnsi" w:cstheme="minorHAnsi"/>
          <w:color w:val="25409A" w:themeColor="text2"/>
          <w:lang w:val="en-GB" w:eastAsia="en-US"/>
        </w:rPr>
        <w:t xml:space="preserve">;   </w:t>
      </w:r>
      <w:hyperlink r:id="rId95" w:history="1">
        <w:r w:rsidRPr="00021517">
          <w:rPr>
            <w:rFonts w:asciiTheme="minorHAnsi" w:eastAsiaTheme="minorHAnsi" w:hAnsiTheme="minorHAnsi" w:cstheme="minorHAnsi"/>
            <w:color w:val="25409A" w:themeColor="text2"/>
            <w:u w:val="single" w:color="094FD1"/>
            <w:lang w:val="en-GB" w:eastAsia="en-US"/>
          </w:rPr>
          <w:t>https://www.youth19.ac.nz/publications/negotiating-multiple-identities-report</w:t>
        </w:r>
      </w:hyperlink>
    </w:p>
  </w:footnote>
  <w:footnote w:id="159">
    <w:p w14:paraId="68A7E4D5" w14:textId="77777777" w:rsidR="003A5383" w:rsidRPr="001D4EA6" w:rsidRDefault="003A5383" w:rsidP="00E20FF1">
      <w:pPr>
        <w:pStyle w:val="FootnoteText"/>
        <w:rPr>
          <w:lang w:val="mi-NZ"/>
        </w:rPr>
      </w:pPr>
      <w:r w:rsidRPr="00021517">
        <w:rPr>
          <w:rStyle w:val="FootnoteReference"/>
          <w:color w:val="25409A" w:themeColor="text2"/>
        </w:rPr>
        <w:footnoteRef/>
      </w:r>
      <w:r w:rsidRPr="00021517">
        <w:rPr>
          <w:color w:val="25409A" w:themeColor="text2"/>
        </w:rPr>
        <w:t xml:space="preserve"> </w:t>
      </w:r>
      <w:hyperlink r:id="rId96" w:history="1">
        <w:r w:rsidRPr="00021517">
          <w:rPr>
            <w:rFonts w:asciiTheme="minorHAnsi" w:eastAsiaTheme="minorHAnsi" w:hAnsiTheme="minorHAnsi" w:cstheme="minorHAnsi"/>
            <w:color w:val="25409A" w:themeColor="text2"/>
            <w:u w:val="single" w:color="094FD1"/>
            <w:lang w:val="en-GB" w:eastAsia="en-US"/>
          </w:rPr>
          <w:t>https://www.youth19.ac.nz/publications/sexual-attraction-wellbeing</w:t>
        </w:r>
      </w:hyperlink>
      <w:r w:rsidRPr="00021517">
        <w:rPr>
          <w:rFonts w:asciiTheme="minorHAnsi" w:eastAsiaTheme="minorHAnsi" w:hAnsiTheme="minorHAnsi" w:cstheme="minorHAnsi"/>
          <w:color w:val="25409A" w:themeColor="text2"/>
          <w:lang w:val="en-GB" w:eastAsia="en-US"/>
        </w:rPr>
        <w:t xml:space="preserve">; </w:t>
      </w:r>
      <w:hyperlink r:id="rId97" w:history="1">
        <w:r w:rsidRPr="00021517">
          <w:rPr>
            <w:rFonts w:asciiTheme="minorHAnsi" w:eastAsiaTheme="minorHAnsi" w:hAnsiTheme="minorHAnsi" w:cstheme="minorHAnsi"/>
            <w:color w:val="25409A" w:themeColor="text2"/>
            <w:u w:val="single" w:color="094FD1"/>
            <w:lang w:val="en-GB" w:eastAsia="en-US"/>
          </w:rPr>
          <w:t>https://www.youth19.ac.nz/publications/transgender-and-diverse-students-brief</w:t>
        </w:r>
      </w:hyperlink>
      <w:r w:rsidRPr="00021517">
        <w:rPr>
          <w:rFonts w:asciiTheme="minorHAnsi" w:eastAsiaTheme="minorHAnsi" w:hAnsiTheme="minorHAnsi" w:cstheme="minorHAnsi"/>
          <w:color w:val="25409A" w:themeColor="text2"/>
          <w:lang w:val="en-GB" w:eastAsia="en-US"/>
        </w:rPr>
        <w:t xml:space="preserve">;   </w:t>
      </w:r>
      <w:hyperlink r:id="rId98" w:history="1">
        <w:r w:rsidRPr="00021517">
          <w:rPr>
            <w:rFonts w:asciiTheme="minorHAnsi" w:eastAsiaTheme="minorHAnsi" w:hAnsiTheme="minorHAnsi" w:cstheme="minorHAnsi"/>
            <w:color w:val="25409A" w:themeColor="text2"/>
            <w:u w:val="single" w:color="094FD1"/>
            <w:lang w:val="en-GB" w:eastAsia="en-US"/>
          </w:rPr>
          <w:t>https://www.youth19.ac.nz/publications/negotiating-multiple-identities-report</w:t>
        </w:r>
      </w:hyperlink>
      <w:r w:rsidRPr="00021517">
        <w:rPr>
          <w:rFonts w:ascii="Helvetica Neue" w:eastAsiaTheme="minorHAnsi" w:hAnsi="Helvetica Neue" w:cs="Helvetica Neue"/>
          <w:color w:val="25409A" w:themeColor="text2"/>
          <w:sz w:val="26"/>
          <w:szCs w:val="26"/>
          <w:lang w:val="en-GB" w:eastAsia="en-US"/>
        </w:rPr>
        <w:t xml:space="preserve"> </w:t>
      </w:r>
    </w:p>
  </w:footnote>
  <w:footnote w:id="160">
    <w:p w14:paraId="0C02AD74" w14:textId="77777777" w:rsidR="003A5383" w:rsidRPr="00BF67C7" w:rsidRDefault="003A5383" w:rsidP="00E20FF1">
      <w:pPr>
        <w:spacing w:after="0" w:line="240" w:lineRule="auto"/>
        <w:rPr>
          <w:rFonts w:cstheme="minorHAnsi"/>
          <w:lang w:val="mi-NZ"/>
        </w:rPr>
      </w:pPr>
      <w:r w:rsidRPr="00BF67C7">
        <w:rPr>
          <w:rStyle w:val="FootnoteReference"/>
          <w:rFonts w:cstheme="minorHAnsi"/>
        </w:rPr>
        <w:footnoteRef/>
      </w:r>
      <w:r w:rsidRPr="00BF67C7">
        <w:rPr>
          <w:rFonts w:cstheme="minorHAnsi"/>
        </w:rPr>
        <w:t xml:space="preserve"> </w:t>
      </w:r>
      <w:r w:rsidRPr="00BF67C7">
        <w:rPr>
          <w:rFonts w:cstheme="minorHAnsi"/>
          <w:color w:val="000000"/>
        </w:rPr>
        <w:t> </w:t>
      </w:r>
      <w:hyperlink r:id="rId99" w:tooltip="https://www.stuff.co.nz/national/education/129102047/institutional-homophobia-more-statefunded-christian-schools-with-antiqueer-policies-identified" w:history="1">
        <w:r w:rsidRPr="00021517">
          <w:rPr>
            <w:rFonts w:cstheme="minorHAnsi"/>
            <w:color w:val="25409A" w:themeColor="text2"/>
            <w:u w:val="single"/>
          </w:rPr>
          <w:t>https://www.stuff.co.nz/national/education/129102047/institutional-homophobia-more-statefunded-christian-schools-with-antiqueer-policies-identified</w:t>
        </w:r>
      </w:hyperlink>
    </w:p>
  </w:footnote>
  <w:footnote w:id="161">
    <w:p w14:paraId="5DC4E819" w14:textId="77777777" w:rsidR="003A5383" w:rsidRPr="00382E53" w:rsidRDefault="003A5383" w:rsidP="00E20FF1">
      <w:pPr>
        <w:pStyle w:val="FootnoteText"/>
        <w:rPr>
          <w:rFonts w:asciiTheme="minorHAnsi" w:hAnsiTheme="minorHAnsi" w:cstheme="minorHAnsi"/>
          <w:lang w:val="en-US"/>
        </w:rPr>
      </w:pPr>
      <w:r w:rsidRPr="00382E53">
        <w:rPr>
          <w:rStyle w:val="FootnoteReference"/>
          <w:rFonts w:asciiTheme="minorHAnsi" w:hAnsiTheme="minorHAnsi" w:cstheme="minorHAnsi"/>
        </w:rPr>
        <w:footnoteRef/>
      </w:r>
      <w:r w:rsidRPr="00382E53">
        <w:rPr>
          <w:rFonts w:asciiTheme="minorHAnsi" w:hAnsiTheme="minorHAnsi" w:cstheme="minorHAnsi"/>
        </w:rPr>
        <w:t xml:space="preserve"> </w:t>
      </w:r>
      <w:hyperlink r:id="rId100" w:history="1">
        <w:r w:rsidRPr="00382E53">
          <w:rPr>
            <w:rStyle w:val="Hyperlink"/>
            <w:rFonts w:asciiTheme="minorHAnsi" w:hAnsiTheme="minorHAnsi" w:cstheme="minorHAnsi"/>
          </w:rPr>
          <w:t>https://countingourselves.nz</w:t>
        </w:r>
      </w:hyperlink>
      <w:r w:rsidRPr="00382E53">
        <w:rPr>
          <w:rFonts w:asciiTheme="minorHAnsi" w:hAnsiTheme="minorHAnsi" w:cstheme="minorHAnsi"/>
        </w:rPr>
        <w:t xml:space="preserve"> </w:t>
      </w:r>
    </w:p>
  </w:footnote>
  <w:footnote w:id="162">
    <w:p w14:paraId="6608E052" w14:textId="77777777" w:rsidR="003A5383" w:rsidRPr="00382E53" w:rsidRDefault="003A5383" w:rsidP="00E20FF1">
      <w:pPr>
        <w:pStyle w:val="FootnoteText"/>
        <w:rPr>
          <w:rFonts w:asciiTheme="minorHAnsi" w:hAnsiTheme="minorHAnsi" w:cstheme="minorHAnsi"/>
          <w:lang w:val="mi-NZ"/>
        </w:rPr>
      </w:pPr>
      <w:r w:rsidRPr="00382E53">
        <w:rPr>
          <w:rStyle w:val="FootnoteReference"/>
          <w:rFonts w:asciiTheme="minorHAnsi" w:hAnsiTheme="minorHAnsi" w:cstheme="minorHAnsi"/>
        </w:rPr>
        <w:footnoteRef/>
      </w:r>
      <w:r w:rsidRPr="00382E53">
        <w:rPr>
          <w:rFonts w:asciiTheme="minorHAnsi" w:hAnsiTheme="minorHAnsi" w:cstheme="minorHAnsi"/>
        </w:rPr>
        <w:t xml:space="preserve"> </w:t>
      </w:r>
      <w:r w:rsidRPr="00382E53">
        <w:rPr>
          <w:rFonts w:asciiTheme="minorHAnsi" w:eastAsiaTheme="minorHAnsi" w:hAnsiTheme="minorHAnsi" w:cstheme="minorHAnsi"/>
          <w:color w:val="000000"/>
          <w:lang w:val="en-GB" w:eastAsia="en-US"/>
        </w:rPr>
        <w:t xml:space="preserve">See also Youth 19 findings: </w:t>
      </w:r>
      <w:hyperlink r:id="rId101" w:history="1">
        <w:r w:rsidRPr="00021517">
          <w:rPr>
            <w:rFonts w:asciiTheme="minorHAnsi" w:eastAsiaTheme="minorHAnsi" w:hAnsiTheme="minorHAnsi" w:cstheme="minorHAnsi"/>
            <w:color w:val="25409A" w:themeColor="text2"/>
            <w:u w:val="single" w:color="094FD1"/>
            <w:lang w:val="en-GB" w:eastAsia="en-US"/>
          </w:rPr>
          <w:t>https://www.youth19.ac.nz/publications/tag/Identity</w:t>
        </w:r>
      </w:hyperlink>
    </w:p>
  </w:footnote>
  <w:footnote w:id="163">
    <w:p w14:paraId="7D929070" w14:textId="3D36FB83" w:rsidR="003A5383" w:rsidRPr="00D51F4C" w:rsidRDefault="003A5383" w:rsidP="00E20FF1">
      <w:pPr>
        <w:pStyle w:val="FootnoteText"/>
        <w:rPr>
          <w:rFonts w:asciiTheme="minorHAnsi" w:hAnsiTheme="minorHAnsi" w:cstheme="minorHAnsi"/>
          <w:lang w:val="en-US"/>
        </w:rPr>
      </w:pPr>
      <w:r w:rsidRPr="00382E53">
        <w:rPr>
          <w:rStyle w:val="FootnoteReference"/>
          <w:rFonts w:asciiTheme="minorHAnsi" w:hAnsiTheme="minorHAnsi" w:cstheme="minorHAnsi"/>
        </w:rPr>
        <w:footnoteRef/>
      </w:r>
      <w:r w:rsidRPr="00382E53">
        <w:rPr>
          <w:rFonts w:asciiTheme="minorHAnsi" w:hAnsiTheme="minorHAnsi" w:cstheme="minorHAnsi"/>
        </w:rPr>
        <w:t xml:space="preserve"> </w:t>
      </w:r>
      <w:r w:rsidRPr="00382E53">
        <w:rPr>
          <w:rFonts w:asciiTheme="minorHAnsi" w:hAnsiTheme="minorHAnsi" w:cstheme="minorHAnsi"/>
          <w:lang w:val="en-US"/>
        </w:rPr>
        <w:t xml:space="preserve">Jack Byrne </w:t>
      </w:r>
      <w:r w:rsidR="00D51F4C" w:rsidRPr="0074241E">
        <w:rPr>
          <w:rFonts w:asciiTheme="minorHAnsi" w:hAnsiTheme="minorHAnsi" w:cstheme="minorHAnsi"/>
          <w:lang w:val="en-US"/>
        </w:rPr>
        <w:t>(1 March 2020)</w:t>
      </w:r>
      <w:r w:rsidR="00D51F4C">
        <w:rPr>
          <w:rFonts w:asciiTheme="minorHAnsi" w:hAnsiTheme="minorHAnsi" w:cstheme="minorHAnsi"/>
          <w:lang w:val="en-US"/>
        </w:rPr>
        <w:t xml:space="preserve"> </w:t>
      </w:r>
      <w:r w:rsidR="004673E1" w:rsidRPr="0074241E">
        <w:rPr>
          <w:rFonts w:asciiTheme="minorHAnsi" w:hAnsiTheme="minorHAnsi" w:cstheme="minorHAnsi"/>
          <w:i/>
          <w:iCs/>
          <w:lang w:val="en-US"/>
        </w:rPr>
        <w:t>The right to education for trans children in Aotearoa New Zealand</w:t>
      </w:r>
      <w:r w:rsidR="0074241E">
        <w:rPr>
          <w:rFonts w:asciiTheme="minorHAnsi" w:hAnsiTheme="minorHAnsi" w:cstheme="minorHAnsi"/>
          <w:i/>
          <w:iCs/>
          <w:lang w:val="en-US"/>
        </w:rPr>
        <w:t xml:space="preserve">: A submission to the UN Committee on the Rights of the Child for the </w:t>
      </w:r>
      <w:r w:rsidR="00794513">
        <w:rPr>
          <w:rFonts w:asciiTheme="minorHAnsi" w:hAnsiTheme="minorHAnsi" w:cstheme="minorHAnsi"/>
          <w:i/>
          <w:iCs/>
          <w:lang w:val="en-US"/>
        </w:rPr>
        <w:t>D</w:t>
      </w:r>
      <w:r w:rsidR="0074241E">
        <w:rPr>
          <w:rFonts w:asciiTheme="minorHAnsi" w:hAnsiTheme="minorHAnsi" w:cstheme="minorHAnsi"/>
          <w:i/>
          <w:iCs/>
          <w:lang w:val="en-US"/>
        </w:rPr>
        <w:t xml:space="preserve">raft List of Issues Prior to </w:t>
      </w:r>
      <w:r w:rsidR="00794513">
        <w:rPr>
          <w:rFonts w:asciiTheme="minorHAnsi" w:hAnsiTheme="minorHAnsi" w:cstheme="minorHAnsi"/>
          <w:i/>
          <w:iCs/>
          <w:lang w:val="en-US"/>
        </w:rPr>
        <w:t>R</w:t>
      </w:r>
      <w:r w:rsidR="0074241E">
        <w:rPr>
          <w:rFonts w:asciiTheme="minorHAnsi" w:hAnsiTheme="minorHAnsi" w:cstheme="minorHAnsi"/>
          <w:i/>
          <w:iCs/>
          <w:lang w:val="en-US"/>
        </w:rPr>
        <w:t>eporting</w:t>
      </w:r>
      <w:r w:rsidR="00D51F4C">
        <w:rPr>
          <w:rFonts w:asciiTheme="minorHAnsi" w:hAnsiTheme="minorHAnsi" w:cstheme="minorHAnsi"/>
          <w:lang w:val="en-US"/>
        </w:rPr>
        <w:t>.</w:t>
      </w:r>
    </w:p>
  </w:footnote>
  <w:footnote w:id="164">
    <w:p w14:paraId="471A2890" w14:textId="77777777" w:rsidR="003A5383" w:rsidRPr="00382E53" w:rsidRDefault="003A5383" w:rsidP="00E20FF1">
      <w:pPr>
        <w:pStyle w:val="Default"/>
        <w:rPr>
          <w:rFonts w:asciiTheme="minorHAnsi" w:hAnsiTheme="minorHAnsi" w:cstheme="minorHAnsi"/>
          <w:b/>
          <w:bCs/>
          <w:sz w:val="20"/>
          <w:szCs w:val="20"/>
        </w:rPr>
      </w:pPr>
      <w:r w:rsidRPr="00382E53">
        <w:rPr>
          <w:rStyle w:val="FootnoteReference"/>
          <w:rFonts w:asciiTheme="minorHAnsi" w:hAnsiTheme="minorHAnsi" w:cstheme="minorHAnsi"/>
          <w:sz w:val="20"/>
          <w:szCs w:val="20"/>
        </w:rPr>
        <w:footnoteRef/>
      </w:r>
      <w:r w:rsidRPr="00382E53">
        <w:rPr>
          <w:rFonts w:asciiTheme="minorHAnsi" w:hAnsiTheme="minorHAnsi" w:cstheme="minorHAnsi"/>
          <w:sz w:val="20"/>
          <w:szCs w:val="20"/>
        </w:rPr>
        <w:t xml:space="preserve"> Link with Government work programme to address racism and discrimination and work under CYWS accepted, </w:t>
      </w:r>
      <w:proofErr w:type="gramStart"/>
      <w:r w:rsidRPr="00382E53">
        <w:rPr>
          <w:rFonts w:asciiTheme="minorHAnsi" w:hAnsiTheme="minorHAnsi" w:cstheme="minorHAnsi"/>
          <w:sz w:val="20"/>
          <w:szCs w:val="20"/>
        </w:rPr>
        <w:t>respected</w:t>
      </w:r>
      <w:proofErr w:type="gramEnd"/>
      <w:r w:rsidRPr="00382E53">
        <w:rPr>
          <w:rFonts w:asciiTheme="minorHAnsi" w:hAnsiTheme="minorHAnsi" w:cstheme="minorHAnsi"/>
          <w:sz w:val="20"/>
          <w:szCs w:val="20"/>
        </w:rPr>
        <w:t xml:space="preserve"> and connected outcome.</w:t>
      </w:r>
      <w:r w:rsidRPr="00382E53">
        <w:rPr>
          <w:rFonts w:asciiTheme="minorHAnsi" w:hAnsiTheme="minorHAnsi" w:cstheme="minorHAnsi"/>
          <w:b/>
          <w:bCs/>
          <w:sz w:val="20"/>
          <w:szCs w:val="20"/>
        </w:rPr>
        <w:t xml:space="preserve"> </w:t>
      </w:r>
    </w:p>
  </w:footnote>
  <w:footnote w:id="165">
    <w:p w14:paraId="5192E837" w14:textId="77777777" w:rsidR="003A5383" w:rsidRPr="00382E53" w:rsidRDefault="003A5383" w:rsidP="00E20FF1">
      <w:pPr>
        <w:pStyle w:val="Default"/>
        <w:rPr>
          <w:rFonts w:asciiTheme="minorHAnsi" w:hAnsiTheme="minorHAnsi" w:cstheme="minorHAnsi"/>
          <w:sz w:val="20"/>
          <w:szCs w:val="20"/>
        </w:rPr>
      </w:pPr>
      <w:r w:rsidRPr="00382E53">
        <w:rPr>
          <w:rStyle w:val="FootnoteReference"/>
          <w:rFonts w:asciiTheme="minorHAnsi" w:hAnsiTheme="minorHAnsi" w:cstheme="minorHAnsi"/>
          <w:sz w:val="20"/>
          <w:szCs w:val="20"/>
        </w:rPr>
        <w:footnoteRef/>
      </w:r>
      <w:r w:rsidRPr="00382E53">
        <w:rPr>
          <w:rFonts w:asciiTheme="minorHAnsi" w:hAnsiTheme="minorHAnsi" w:cstheme="minorHAnsi"/>
          <w:sz w:val="20"/>
          <w:szCs w:val="20"/>
        </w:rPr>
        <w:t xml:space="preserve"> </w:t>
      </w:r>
      <w:r w:rsidRPr="00382E53">
        <w:rPr>
          <w:rFonts w:asciiTheme="minorHAnsi" w:hAnsiTheme="minorHAnsi" w:cstheme="minorHAnsi"/>
          <w:sz w:val="20"/>
          <w:szCs w:val="20"/>
          <w:lang w:val="mi-NZ"/>
        </w:rPr>
        <w:t xml:space="preserve">This includes </w:t>
      </w:r>
      <w:r w:rsidRPr="00382E53">
        <w:rPr>
          <w:rFonts w:asciiTheme="minorHAnsi" w:hAnsiTheme="minorHAnsi" w:cstheme="minorHAnsi"/>
          <w:sz w:val="20"/>
          <w:szCs w:val="20"/>
        </w:rPr>
        <w:t xml:space="preserve">improved consistency of delivery of relationships and sexuality education, </w:t>
      </w:r>
      <w:r>
        <w:rPr>
          <w:rFonts w:asciiTheme="minorHAnsi" w:hAnsiTheme="minorHAnsi" w:cstheme="minorHAnsi"/>
          <w:sz w:val="20"/>
          <w:szCs w:val="20"/>
        </w:rPr>
        <w:t>as well as</w:t>
      </w:r>
      <w:r w:rsidRPr="00382E53">
        <w:rPr>
          <w:rFonts w:asciiTheme="minorHAnsi" w:hAnsiTheme="minorHAnsi" w:cstheme="minorHAnsi"/>
          <w:sz w:val="20"/>
          <w:szCs w:val="20"/>
        </w:rPr>
        <w:t xml:space="preserve"> teaching and learning about sexuality and gender diversity</w:t>
      </w:r>
      <w:r>
        <w:rPr>
          <w:rFonts w:asciiTheme="minorHAnsi" w:hAnsiTheme="minorHAnsi" w:cstheme="minorHAnsi"/>
          <w:sz w:val="20"/>
          <w:szCs w:val="20"/>
        </w:rPr>
        <w:t>:</w:t>
      </w:r>
      <w:r w:rsidRPr="00382E53">
        <w:rPr>
          <w:rFonts w:asciiTheme="minorHAnsi" w:hAnsiTheme="minorHAnsi" w:cstheme="minorHAnsi"/>
          <w:sz w:val="20"/>
          <w:szCs w:val="20"/>
        </w:rPr>
        <w:t xml:space="preserve"> </w:t>
      </w:r>
      <w:hyperlink r:id="rId102" w:history="1">
        <w:r w:rsidRPr="00CC003D">
          <w:rPr>
            <w:rFonts w:asciiTheme="minorHAnsi" w:hAnsiTheme="minorHAnsi" w:cstheme="minorHAnsi"/>
            <w:color w:val="25409A" w:themeColor="text2"/>
            <w:sz w:val="20"/>
            <w:szCs w:val="20"/>
            <w:u w:val="single" w:color="094FD1"/>
          </w:rPr>
          <w:t>https://hpe.tki.org.nz/guidelines-and-policies/relationships-and-sexuality-education/</w:t>
        </w:r>
      </w:hyperlink>
    </w:p>
  </w:footnote>
  <w:footnote w:id="166">
    <w:p w14:paraId="3096E06C" w14:textId="06D06AFD" w:rsidR="003A5383" w:rsidRPr="00382E53" w:rsidRDefault="003A5383" w:rsidP="00E20FF1">
      <w:pPr>
        <w:pStyle w:val="FootnoteText"/>
        <w:rPr>
          <w:rFonts w:asciiTheme="minorHAnsi" w:hAnsiTheme="minorHAnsi" w:cstheme="minorHAnsi"/>
          <w:color w:val="25409A" w:themeColor="hyperlink"/>
          <w:u w:val="single"/>
          <w:lang w:val="mi-NZ"/>
        </w:rPr>
      </w:pPr>
      <w:r w:rsidRPr="00382E53">
        <w:rPr>
          <w:rStyle w:val="FootnoteReference"/>
          <w:rFonts w:asciiTheme="minorHAnsi" w:hAnsiTheme="minorHAnsi" w:cstheme="minorHAnsi"/>
        </w:rPr>
        <w:footnoteRef/>
      </w:r>
      <w:r w:rsidRPr="00382E53">
        <w:rPr>
          <w:rFonts w:asciiTheme="minorHAnsi" w:hAnsiTheme="minorHAnsi" w:cstheme="minorHAnsi"/>
        </w:rPr>
        <w:t xml:space="preserve"> See, for example, </w:t>
      </w:r>
      <w:r w:rsidRPr="00382E53">
        <w:rPr>
          <w:rFonts w:asciiTheme="minorHAnsi" w:hAnsiTheme="minorHAnsi" w:cstheme="minorHAnsi"/>
          <w:lang w:val="mi-NZ"/>
        </w:rPr>
        <w:t xml:space="preserve">media coverage of the return of a woman with Isis links and her children: </w:t>
      </w:r>
      <w:hyperlink r:id="rId103" w:history="1">
        <w:r w:rsidRPr="00382E53">
          <w:rPr>
            <w:rStyle w:val="Hyperlink"/>
            <w:rFonts w:asciiTheme="minorHAnsi" w:hAnsiTheme="minorHAnsi" w:cstheme="minorHAnsi"/>
            <w:lang w:val="mi-NZ"/>
          </w:rPr>
          <w:t>https://theconversation.com/with-their-mothers-australian-citizenship-cancelled-over-alleged-isis-links-how-will-nz-deal-with-her-children-155385</w:t>
        </w:r>
      </w:hyperlink>
      <w:r w:rsidRPr="00382E53">
        <w:rPr>
          <w:rStyle w:val="Hyperlink"/>
          <w:rFonts w:asciiTheme="minorHAnsi" w:hAnsiTheme="minorHAnsi" w:cstheme="minorHAnsi"/>
          <w:lang w:val="mi-NZ"/>
        </w:rPr>
        <w:t xml:space="preserve">; </w:t>
      </w:r>
      <w:r>
        <w:fldChar w:fldCharType="begin"/>
      </w:r>
      <w:r>
        <w:instrText xml:space="preserve"> HYPERLINK "https://www.rnz.co.nz/news/political/447715/new-zealand-to-bring-in-terror-suspect-suhayra-aden-and-her-children" </w:instrText>
      </w:r>
      <w:r>
        <w:fldChar w:fldCharType="separate"/>
      </w:r>
      <w:r w:rsidRPr="00382E53">
        <w:rPr>
          <w:rStyle w:val="Hyperlink"/>
          <w:rFonts w:asciiTheme="minorHAnsi" w:hAnsiTheme="minorHAnsi" w:cstheme="minorHAnsi"/>
          <w:lang w:val="mi-NZ"/>
        </w:rPr>
        <w:t>https://www.rnz.co.nz/news/political/447715/new-zealand-to-bring-in-terror-suspect-suhayra-aden-and-her-children</w:t>
      </w:r>
      <w:r>
        <w:rPr>
          <w:rStyle w:val="Hyperlink"/>
          <w:rFonts w:asciiTheme="minorHAnsi" w:hAnsiTheme="minorHAnsi" w:cstheme="minorHAnsi"/>
          <w:lang w:val="mi-NZ"/>
        </w:rPr>
        <w:fldChar w:fldCharType="end"/>
      </w:r>
      <w:r w:rsidRPr="00382E53">
        <w:rPr>
          <w:rStyle w:val="Hyperlink"/>
          <w:rFonts w:asciiTheme="minorHAnsi" w:hAnsiTheme="minorHAnsi" w:cstheme="minorHAnsi"/>
          <w:color w:val="000000" w:themeColor="text1"/>
          <w:lang w:val="mi-NZ"/>
        </w:rPr>
        <w:t xml:space="preserve">; Ministry of Justice (2021) </w:t>
      </w:r>
      <w:r w:rsidRPr="00382E53">
        <w:rPr>
          <w:rStyle w:val="Hyperlink"/>
          <w:rFonts w:asciiTheme="minorHAnsi" w:hAnsiTheme="minorHAnsi" w:cstheme="minorHAnsi"/>
          <w:i/>
          <w:iCs/>
          <w:color w:val="000000" w:themeColor="text1"/>
          <w:lang w:val="mi-NZ"/>
        </w:rPr>
        <w:t>Adoption in Aotearoa New Zealand Discussion Document</w:t>
      </w:r>
      <w:r w:rsidRPr="00382E53">
        <w:rPr>
          <w:rStyle w:val="Hyperlink"/>
          <w:rFonts w:asciiTheme="minorHAnsi" w:hAnsiTheme="minorHAnsi" w:cstheme="minorHAnsi"/>
          <w:color w:val="000000" w:themeColor="text1"/>
          <w:lang w:val="mi-NZ"/>
        </w:rPr>
        <w:t xml:space="preserve">: </w:t>
      </w:r>
      <w:r>
        <w:fldChar w:fldCharType="begin"/>
      </w:r>
      <w:r>
        <w:instrText xml:space="preserve"> HYPERLINK "https://www.justice.govt.nz/justice-sector-policy/key-initiatives/adoption-law-reform-options-for-creating-a-new-system/first-round-of-engagement-in-2021/" </w:instrText>
      </w:r>
      <w:r>
        <w:fldChar w:fldCharType="separate"/>
      </w:r>
      <w:r w:rsidRPr="00382E53">
        <w:rPr>
          <w:rStyle w:val="Hyperlink"/>
          <w:rFonts w:asciiTheme="minorHAnsi" w:hAnsiTheme="minorHAnsi" w:cstheme="minorHAnsi"/>
          <w:lang w:val="mi-NZ"/>
        </w:rPr>
        <w:t>https://www.justice.govt.nz/justice-sector-policy/key-initiatives/adoption-law-reform-options-for-creating-a-new-system/first-round-of-engagement-in-2021/</w:t>
      </w:r>
      <w:r>
        <w:rPr>
          <w:rStyle w:val="Hyperlink"/>
          <w:rFonts w:asciiTheme="minorHAnsi" w:hAnsiTheme="minorHAnsi" w:cstheme="minorHAnsi"/>
          <w:lang w:val="mi-NZ"/>
        </w:rPr>
        <w:fldChar w:fldCharType="end"/>
      </w:r>
      <w:r w:rsidRPr="00382E53">
        <w:rPr>
          <w:rStyle w:val="Hyperlink"/>
          <w:rFonts w:asciiTheme="minorHAnsi" w:hAnsiTheme="minorHAnsi" w:cstheme="minorHAnsi"/>
          <w:color w:val="000000" w:themeColor="text1"/>
          <w:lang w:val="mi-NZ"/>
        </w:rPr>
        <w:t xml:space="preserve"> </w:t>
      </w:r>
    </w:p>
  </w:footnote>
  <w:footnote w:id="167">
    <w:p w14:paraId="272C6973" w14:textId="77777777" w:rsidR="003A5383" w:rsidRPr="00382E53" w:rsidRDefault="003A5383" w:rsidP="00E20FF1">
      <w:pPr>
        <w:pStyle w:val="FootnoteText"/>
        <w:rPr>
          <w:rFonts w:asciiTheme="minorHAnsi" w:hAnsiTheme="minorHAnsi" w:cstheme="minorHAnsi"/>
          <w:lang w:val="mi-NZ"/>
        </w:rPr>
      </w:pPr>
      <w:r w:rsidRPr="00382E53">
        <w:rPr>
          <w:rStyle w:val="FootnoteReference"/>
          <w:rFonts w:asciiTheme="minorHAnsi" w:hAnsiTheme="minorHAnsi" w:cstheme="minorHAnsi"/>
        </w:rPr>
        <w:footnoteRef/>
      </w:r>
      <w:r w:rsidRPr="00382E53">
        <w:rPr>
          <w:rFonts w:asciiTheme="minorHAnsi" w:hAnsiTheme="minorHAnsi" w:cstheme="minorHAnsi"/>
        </w:rPr>
        <w:t xml:space="preserve"> </w:t>
      </w:r>
      <w:r w:rsidRPr="00382E53">
        <w:rPr>
          <w:rFonts w:asciiTheme="minorHAnsi" w:hAnsiTheme="minorHAnsi" w:cstheme="minorHAnsi"/>
          <w:lang w:val="mi-NZ"/>
        </w:rPr>
        <w:t>CRC/C/NZL/CO/5, para 16.</w:t>
      </w:r>
    </w:p>
  </w:footnote>
  <w:footnote w:id="168">
    <w:p w14:paraId="6E1CF3B8" w14:textId="04A5126D" w:rsidR="00CA6A35" w:rsidRPr="0074241E" w:rsidRDefault="00CA6A35" w:rsidP="00E20FF1">
      <w:pPr>
        <w:pStyle w:val="NormalWeb"/>
        <w:spacing w:before="0" w:beforeAutospacing="0" w:after="0" w:afterAutospacing="0"/>
        <w:rPr>
          <w:rFonts w:asciiTheme="minorHAnsi" w:hAnsiTheme="minorHAnsi" w:cstheme="minorHAnsi"/>
          <w:sz w:val="20"/>
          <w:szCs w:val="20"/>
        </w:rPr>
      </w:pPr>
      <w:r>
        <w:rPr>
          <w:rStyle w:val="FootnoteReference"/>
        </w:rPr>
        <w:footnoteRef/>
      </w:r>
      <w:r>
        <w:t xml:space="preserve"> </w:t>
      </w:r>
      <w:proofErr w:type="spellStart"/>
      <w:r w:rsidR="0074241E" w:rsidRPr="0074241E">
        <w:rPr>
          <w:rFonts w:asciiTheme="minorHAnsi" w:hAnsiTheme="minorHAnsi" w:cstheme="minorHAnsi"/>
          <w:sz w:val="20"/>
          <w:szCs w:val="20"/>
        </w:rPr>
        <w:t>Te</w:t>
      </w:r>
      <w:proofErr w:type="spellEnd"/>
      <w:r w:rsidR="0074241E" w:rsidRPr="0074241E">
        <w:rPr>
          <w:rFonts w:asciiTheme="minorHAnsi" w:hAnsiTheme="minorHAnsi" w:cstheme="minorHAnsi"/>
          <w:sz w:val="20"/>
          <w:szCs w:val="20"/>
        </w:rPr>
        <w:t xml:space="preserve"> </w:t>
      </w:r>
      <w:proofErr w:type="spellStart"/>
      <w:r w:rsidR="0074241E" w:rsidRPr="0074241E">
        <w:rPr>
          <w:rFonts w:asciiTheme="minorHAnsi" w:hAnsiTheme="minorHAnsi" w:cstheme="minorHAnsi"/>
          <w:sz w:val="20"/>
          <w:szCs w:val="20"/>
        </w:rPr>
        <w:t>Ro</w:t>
      </w:r>
      <w:r w:rsidR="0074241E" w:rsidRPr="0074241E">
        <w:rPr>
          <w:rFonts w:ascii="Arial" w:hAnsi="Arial" w:cs="Arial"/>
          <w:sz w:val="20"/>
          <w:szCs w:val="20"/>
        </w:rPr>
        <w:t>̄</w:t>
      </w:r>
      <w:r w:rsidR="0074241E" w:rsidRPr="0074241E">
        <w:rPr>
          <w:rFonts w:asciiTheme="minorHAnsi" w:hAnsiTheme="minorHAnsi" w:cstheme="minorHAnsi"/>
          <w:sz w:val="20"/>
          <w:szCs w:val="20"/>
        </w:rPr>
        <w:t>pu</w:t>
      </w:r>
      <w:proofErr w:type="spellEnd"/>
      <w:r w:rsidR="0074241E" w:rsidRPr="0074241E">
        <w:rPr>
          <w:rFonts w:ascii="Arial" w:hAnsi="Arial" w:cs="Arial"/>
          <w:sz w:val="20"/>
          <w:szCs w:val="20"/>
        </w:rPr>
        <w:t>̄</w:t>
      </w:r>
      <w:r w:rsidR="0074241E" w:rsidRPr="0074241E">
        <w:rPr>
          <w:rFonts w:asciiTheme="minorHAnsi" w:hAnsiTheme="minorHAnsi" w:cstheme="minorHAnsi"/>
          <w:sz w:val="20"/>
          <w:szCs w:val="20"/>
        </w:rPr>
        <w:t xml:space="preserve"> </w:t>
      </w:r>
      <w:proofErr w:type="spellStart"/>
      <w:r w:rsidR="0074241E" w:rsidRPr="0074241E">
        <w:rPr>
          <w:rFonts w:asciiTheme="minorHAnsi" w:hAnsiTheme="minorHAnsi" w:cstheme="minorHAnsi"/>
          <w:sz w:val="20"/>
          <w:szCs w:val="20"/>
        </w:rPr>
        <w:t>Arotake</w:t>
      </w:r>
      <w:proofErr w:type="spellEnd"/>
      <w:r w:rsidR="0074241E" w:rsidRPr="0074241E">
        <w:rPr>
          <w:rFonts w:asciiTheme="minorHAnsi" w:hAnsiTheme="minorHAnsi" w:cstheme="minorHAnsi"/>
          <w:sz w:val="20"/>
          <w:szCs w:val="20"/>
        </w:rPr>
        <w:t xml:space="preserve"> </w:t>
      </w:r>
      <w:proofErr w:type="spellStart"/>
      <w:r w:rsidR="0074241E" w:rsidRPr="0074241E">
        <w:rPr>
          <w:rFonts w:asciiTheme="minorHAnsi" w:hAnsiTheme="minorHAnsi" w:cstheme="minorHAnsi"/>
          <w:sz w:val="20"/>
          <w:szCs w:val="20"/>
        </w:rPr>
        <w:t>Auau</w:t>
      </w:r>
      <w:proofErr w:type="spellEnd"/>
      <w:r w:rsidR="0074241E" w:rsidRPr="0074241E">
        <w:rPr>
          <w:rFonts w:asciiTheme="minorHAnsi" w:hAnsiTheme="minorHAnsi" w:cstheme="minorHAnsi"/>
          <w:sz w:val="20"/>
          <w:szCs w:val="20"/>
        </w:rPr>
        <w:t xml:space="preserve"> Mate o </w:t>
      </w:r>
      <w:proofErr w:type="spellStart"/>
      <w:r w:rsidR="0074241E" w:rsidRPr="0074241E">
        <w:rPr>
          <w:rFonts w:asciiTheme="minorHAnsi" w:hAnsiTheme="minorHAnsi" w:cstheme="minorHAnsi"/>
          <w:sz w:val="20"/>
          <w:szCs w:val="20"/>
        </w:rPr>
        <w:t>te</w:t>
      </w:r>
      <w:proofErr w:type="spellEnd"/>
      <w:r w:rsidR="0074241E" w:rsidRPr="0074241E">
        <w:rPr>
          <w:rFonts w:asciiTheme="minorHAnsi" w:hAnsiTheme="minorHAnsi" w:cstheme="minorHAnsi"/>
          <w:sz w:val="20"/>
          <w:szCs w:val="20"/>
        </w:rPr>
        <w:t xml:space="preserve"> </w:t>
      </w:r>
      <w:proofErr w:type="spellStart"/>
      <w:r w:rsidR="0074241E" w:rsidRPr="0074241E">
        <w:rPr>
          <w:rFonts w:asciiTheme="minorHAnsi" w:hAnsiTheme="minorHAnsi" w:cstheme="minorHAnsi"/>
          <w:sz w:val="20"/>
          <w:szCs w:val="20"/>
        </w:rPr>
        <w:t>Hunga</w:t>
      </w:r>
      <w:proofErr w:type="spellEnd"/>
      <w:r w:rsidR="0074241E" w:rsidRPr="0074241E">
        <w:rPr>
          <w:rFonts w:asciiTheme="minorHAnsi" w:hAnsiTheme="minorHAnsi" w:cstheme="minorHAnsi"/>
          <w:sz w:val="20"/>
          <w:szCs w:val="20"/>
        </w:rPr>
        <w:t xml:space="preserve"> Tamariki, </w:t>
      </w:r>
      <w:proofErr w:type="spellStart"/>
      <w:r w:rsidR="0074241E" w:rsidRPr="0074241E">
        <w:rPr>
          <w:rFonts w:asciiTheme="minorHAnsi" w:hAnsiTheme="minorHAnsi" w:cstheme="minorHAnsi"/>
          <w:sz w:val="20"/>
          <w:szCs w:val="20"/>
        </w:rPr>
        <w:t>Taiohi</w:t>
      </w:r>
      <w:proofErr w:type="spellEnd"/>
      <w:r w:rsidR="0074241E" w:rsidRPr="0074241E">
        <w:rPr>
          <w:rFonts w:asciiTheme="minorHAnsi" w:hAnsiTheme="minorHAnsi" w:cstheme="minorHAnsi"/>
          <w:sz w:val="20"/>
          <w:szCs w:val="20"/>
        </w:rPr>
        <w:t xml:space="preserve"> |Child and Youth Mortality Review Committee (2021) </w:t>
      </w:r>
      <w:r w:rsidR="0074241E" w:rsidRPr="00C973A4">
        <w:rPr>
          <w:rFonts w:asciiTheme="minorHAnsi" w:hAnsiTheme="minorHAnsi" w:cstheme="minorHAnsi"/>
          <w:i/>
          <w:iCs/>
          <w:sz w:val="20"/>
          <w:szCs w:val="20"/>
        </w:rPr>
        <w:t>15th data report: 2015–19</w:t>
      </w:r>
      <w:r w:rsidR="0074241E" w:rsidRPr="0074241E">
        <w:rPr>
          <w:rFonts w:asciiTheme="minorHAnsi" w:hAnsiTheme="minorHAnsi" w:cstheme="minorHAnsi"/>
          <w:sz w:val="20"/>
          <w:szCs w:val="20"/>
        </w:rPr>
        <w:t>, Health Quality &amp; Safety Commission.</w:t>
      </w:r>
      <w:r w:rsidR="0074241E" w:rsidRPr="0074241E">
        <w:t xml:space="preserve"> </w:t>
      </w:r>
      <w:hyperlink r:id="rId104" w:anchor="B1" w:history="1">
        <w:r w:rsidR="0074241E" w:rsidRPr="0074241E">
          <w:rPr>
            <w:rStyle w:val="Hyperlink"/>
            <w:rFonts w:asciiTheme="minorHAnsi" w:hAnsiTheme="minorHAnsi" w:cstheme="minorHAnsi"/>
            <w:sz w:val="20"/>
            <w:szCs w:val="20"/>
          </w:rPr>
          <w:t>https://www.hqsc.govt.nz/resources/resource-library/child-and-youth-mortality-review-committee-15th-data-report-201519-te-ropu-arotake-auau-mate-o-te-hunga-tamariki-taiohi-te-purongo-raraunga-15-201519/#B1</w:t>
        </w:r>
      </w:hyperlink>
      <w:r w:rsidR="0074241E">
        <w:rPr>
          <w:rFonts w:asciiTheme="minorHAnsi" w:hAnsiTheme="minorHAnsi" w:cstheme="minorHAnsi"/>
        </w:rPr>
        <w:t xml:space="preserve"> </w:t>
      </w:r>
      <w:r w:rsidR="0074241E" w:rsidRPr="00382E53">
        <w:rPr>
          <w:rFonts w:asciiTheme="minorHAnsi" w:hAnsiTheme="minorHAnsi" w:cstheme="minorHAnsi"/>
        </w:rPr>
        <w:t xml:space="preserve"> </w:t>
      </w:r>
    </w:p>
  </w:footnote>
  <w:footnote w:id="169">
    <w:p w14:paraId="1B19C5A6" w14:textId="42E11EC3" w:rsidR="00CA6A35" w:rsidRPr="00DD70B2" w:rsidRDefault="00CA6A35" w:rsidP="00E20FF1">
      <w:pPr>
        <w:pStyle w:val="FootnoteText"/>
        <w:rPr>
          <w:lang w:val="mi-NZ"/>
        </w:rPr>
      </w:pPr>
      <w:r>
        <w:rPr>
          <w:rStyle w:val="FootnoteReference"/>
        </w:rPr>
        <w:footnoteRef/>
      </w:r>
      <w:r>
        <w:t xml:space="preserve"> </w:t>
      </w:r>
      <w:r w:rsidR="007A799E">
        <w:rPr>
          <w:rFonts w:asciiTheme="minorHAnsi" w:hAnsiTheme="minorHAnsi" w:cstheme="minorHAnsi"/>
          <w:lang w:val="mi-NZ"/>
        </w:rPr>
        <w:t>Ibid.</w:t>
      </w:r>
    </w:p>
  </w:footnote>
  <w:footnote w:id="170">
    <w:p w14:paraId="46C03D6F" w14:textId="5A00E16F" w:rsidR="00CA6A35" w:rsidRPr="00454CEE" w:rsidRDefault="00CA6A35" w:rsidP="00E20FF1">
      <w:pPr>
        <w:spacing w:after="0" w:line="240" w:lineRule="auto"/>
        <w:rPr>
          <w:lang w:val="mi-NZ"/>
        </w:rPr>
      </w:pPr>
      <w:r>
        <w:rPr>
          <w:rStyle w:val="FootnoteReference"/>
        </w:rPr>
        <w:footnoteRef/>
      </w:r>
      <w:r>
        <w:t xml:space="preserve"> </w:t>
      </w:r>
      <w:r w:rsidRPr="004B38EB">
        <w:rPr>
          <w:rFonts w:cstheme="minorHAnsi"/>
        </w:rPr>
        <w:t xml:space="preserve">See </w:t>
      </w:r>
      <w:r w:rsidRPr="004B38EB">
        <w:rPr>
          <w:rFonts w:cstheme="minorHAnsi"/>
          <w:lang w:val="mi-NZ"/>
        </w:rPr>
        <w:t>Basic Health and Welfare Rights of Children 0</w:t>
      </w:r>
      <w:r w:rsidR="000655C8">
        <w:rPr>
          <w:rFonts w:cstheme="minorHAnsi"/>
          <w:lang w:val="mi-NZ"/>
        </w:rPr>
        <w:t>-</w:t>
      </w:r>
      <w:r w:rsidRPr="004B38EB">
        <w:rPr>
          <w:rFonts w:cstheme="minorHAnsi"/>
          <w:lang w:val="mi-NZ"/>
        </w:rPr>
        <w:t>5 years of age Thematic Report</w:t>
      </w:r>
    </w:p>
  </w:footnote>
  <w:footnote w:id="171">
    <w:p w14:paraId="580193C7" w14:textId="3561BC23" w:rsidR="00CA6A35" w:rsidRPr="00BC43C1" w:rsidRDefault="00CA6A35" w:rsidP="00E20FF1">
      <w:pPr>
        <w:pStyle w:val="FootnoteText"/>
        <w:rPr>
          <w:lang w:val="mi-NZ"/>
        </w:rPr>
      </w:pPr>
      <w:r>
        <w:rPr>
          <w:rStyle w:val="FootnoteReference"/>
        </w:rPr>
        <w:footnoteRef/>
      </w:r>
      <w:r>
        <w:t xml:space="preserve"> </w:t>
      </w:r>
      <w:r w:rsidR="000655C8">
        <w:t xml:space="preserve"> </w:t>
      </w:r>
      <w:r w:rsidRPr="00BC43C1">
        <w:rPr>
          <w:rFonts w:asciiTheme="minorHAnsi" w:hAnsiTheme="minorHAnsi" w:cstheme="minorHAnsi"/>
          <w:lang w:val="mi-NZ"/>
        </w:rPr>
        <w:t>F</w:t>
      </w:r>
      <w:r w:rsidR="000655C8">
        <w:rPr>
          <w:rFonts w:asciiTheme="minorHAnsi" w:hAnsiTheme="minorHAnsi" w:cstheme="minorHAnsi"/>
          <w:lang w:val="mi-NZ"/>
        </w:rPr>
        <w:t>oot</w:t>
      </w:r>
      <w:r w:rsidRPr="00BC43C1">
        <w:rPr>
          <w:rFonts w:asciiTheme="minorHAnsi" w:hAnsiTheme="minorHAnsi" w:cstheme="minorHAnsi"/>
          <w:lang w:val="mi-NZ"/>
        </w:rPr>
        <w:t>n</w:t>
      </w:r>
      <w:r w:rsidR="000655C8">
        <w:rPr>
          <w:rFonts w:asciiTheme="minorHAnsi" w:hAnsiTheme="minorHAnsi" w:cstheme="minorHAnsi"/>
          <w:lang w:val="mi-NZ"/>
        </w:rPr>
        <w:t>ote</w:t>
      </w:r>
      <w:r w:rsidRPr="00BC43C1">
        <w:rPr>
          <w:rFonts w:asciiTheme="minorHAnsi" w:hAnsiTheme="minorHAnsi" w:cstheme="minorHAnsi"/>
          <w:lang w:val="mi-NZ"/>
        </w:rPr>
        <w:t xml:space="preserve"> 16</w:t>
      </w:r>
      <w:r w:rsidR="007A799E">
        <w:rPr>
          <w:rFonts w:asciiTheme="minorHAnsi" w:hAnsiTheme="minorHAnsi" w:cstheme="minorHAnsi"/>
          <w:lang w:val="mi-NZ"/>
        </w:rPr>
        <w:t>8</w:t>
      </w:r>
      <w:r w:rsidR="000655C8">
        <w:rPr>
          <w:rFonts w:asciiTheme="minorHAnsi" w:hAnsiTheme="minorHAnsi" w:cstheme="minorHAnsi"/>
          <w:lang w:val="mi-NZ"/>
        </w:rPr>
        <w:t>.</w:t>
      </w:r>
    </w:p>
  </w:footnote>
  <w:footnote w:id="172">
    <w:p w14:paraId="4F8F2BEF" w14:textId="0C4872FB" w:rsidR="00CA6A35" w:rsidRPr="00382E53" w:rsidRDefault="00CA6A35" w:rsidP="00E20FF1">
      <w:pPr>
        <w:pStyle w:val="NormalWeb"/>
        <w:spacing w:before="0" w:beforeAutospacing="0" w:after="0" w:afterAutospacing="0"/>
        <w:rPr>
          <w:rFonts w:asciiTheme="minorHAnsi" w:hAnsiTheme="minorHAnsi" w:cstheme="minorHAnsi"/>
          <w:sz w:val="20"/>
          <w:szCs w:val="20"/>
        </w:rPr>
      </w:pPr>
      <w:r w:rsidRPr="00382E53">
        <w:rPr>
          <w:rStyle w:val="FootnoteReference"/>
          <w:rFonts w:asciiTheme="minorHAnsi" w:hAnsiTheme="minorHAnsi" w:cstheme="minorHAnsi"/>
          <w:sz w:val="20"/>
          <w:szCs w:val="20"/>
        </w:rPr>
        <w:footnoteRef/>
      </w:r>
      <w:r w:rsidRPr="00382E53">
        <w:rPr>
          <w:rFonts w:asciiTheme="minorHAnsi" w:hAnsiTheme="minorHAnsi" w:cstheme="minorHAnsi"/>
          <w:sz w:val="20"/>
          <w:szCs w:val="20"/>
        </w:rPr>
        <w:t xml:space="preserve"> </w:t>
      </w:r>
      <w:r w:rsidRPr="00454CEE">
        <w:rPr>
          <w:rFonts w:asciiTheme="minorHAnsi" w:hAnsiTheme="minorHAnsi" w:cstheme="minorHAnsi"/>
          <w:sz w:val="20"/>
          <w:szCs w:val="20"/>
        </w:rPr>
        <w:t>“</w:t>
      </w:r>
      <w:r w:rsidRPr="00454CEE">
        <w:rPr>
          <w:rFonts w:asciiTheme="minorHAnsi" w:hAnsiTheme="minorHAnsi" w:cstheme="minorHAnsi"/>
          <w:i/>
          <w:iCs/>
          <w:sz w:val="20"/>
          <w:szCs w:val="20"/>
        </w:rPr>
        <w:t>We call on the decision-makers and the people of Aotearoa/New Zealand to end tolerance for the suffering represented in the pages of this report</w:t>
      </w:r>
      <w:r w:rsidRPr="00454CEE">
        <w:rPr>
          <w:rFonts w:asciiTheme="minorHAnsi" w:hAnsiTheme="minorHAnsi" w:cstheme="minorHAnsi"/>
          <w:sz w:val="20"/>
          <w:szCs w:val="20"/>
        </w:rPr>
        <w:t>.”</w:t>
      </w:r>
      <w:r w:rsidR="007A799E">
        <w:rPr>
          <w:rFonts w:asciiTheme="minorHAnsi" w:hAnsiTheme="minorHAnsi" w:cstheme="minorHAnsi"/>
          <w:sz w:val="20"/>
          <w:szCs w:val="20"/>
        </w:rPr>
        <w:t xml:space="preserve"> Dr </w:t>
      </w:r>
      <w:proofErr w:type="spellStart"/>
      <w:r w:rsidR="007A799E">
        <w:rPr>
          <w:rFonts w:asciiTheme="minorHAnsi" w:hAnsiTheme="minorHAnsi" w:cstheme="minorHAnsi"/>
          <w:sz w:val="20"/>
          <w:szCs w:val="20"/>
        </w:rPr>
        <w:t>Alayne</w:t>
      </w:r>
      <w:proofErr w:type="spellEnd"/>
      <w:r w:rsidR="007A799E">
        <w:rPr>
          <w:rFonts w:asciiTheme="minorHAnsi" w:hAnsiTheme="minorHAnsi" w:cstheme="minorHAnsi"/>
          <w:sz w:val="20"/>
          <w:szCs w:val="20"/>
        </w:rPr>
        <w:t xml:space="preserve"> </w:t>
      </w:r>
      <w:proofErr w:type="spellStart"/>
      <w:r w:rsidR="007A799E">
        <w:rPr>
          <w:rFonts w:asciiTheme="minorHAnsi" w:hAnsiTheme="minorHAnsi" w:cstheme="minorHAnsi"/>
          <w:sz w:val="20"/>
          <w:szCs w:val="20"/>
        </w:rPr>
        <w:t>Mikahere</w:t>
      </w:r>
      <w:proofErr w:type="spellEnd"/>
      <w:r w:rsidR="007A799E">
        <w:rPr>
          <w:rFonts w:asciiTheme="minorHAnsi" w:hAnsiTheme="minorHAnsi" w:cstheme="minorHAnsi"/>
          <w:sz w:val="20"/>
          <w:szCs w:val="20"/>
        </w:rPr>
        <w:t xml:space="preserve">-Hall and Dr Matthew Reid, </w:t>
      </w:r>
      <w:proofErr w:type="gramStart"/>
      <w:r w:rsidRPr="00454CEE">
        <w:rPr>
          <w:rFonts w:asciiTheme="minorHAnsi" w:hAnsiTheme="minorHAnsi" w:cstheme="minorHAnsi"/>
          <w:sz w:val="20"/>
          <w:szCs w:val="20"/>
        </w:rPr>
        <w:t>Child</w:t>
      </w:r>
      <w:proofErr w:type="gramEnd"/>
      <w:r w:rsidRPr="00454CEE">
        <w:rPr>
          <w:rFonts w:asciiTheme="minorHAnsi" w:hAnsiTheme="minorHAnsi" w:cstheme="minorHAnsi"/>
          <w:sz w:val="20"/>
          <w:szCs w:val="20"/>
        </w:rPr>
        <w:t xml:space="preserve"> and Youth Mortality Review Committee</w:t>
      </w:r>
      <w:r w:rsidR="007A799E">
        <w:rPr>
          <w:rFonts w:asciiTheme="minorHAnsi" w:hAnsiTheme="minorHAnsi" w:cstheme="minorHAnsi"/>
          <w:sz w:val="20"/>
          <w:szCs w:val="20"/>
        </w:rPr>
        <w:t xml:space="preserve"> co-chairs</w:t>
      </w:r>
      <w:r w:rsidRPr="00454CEE">
        <w:rPr>
          <w:rFonts w:asciiTheme="minorHAnsi" w:hAnsiTheme="minorHAnsi" w:cstheme="minorHAnsi"/>
          <w:sz w:val="20"/>
          <w:szCs w:val="20"/>
        </w:rPr>
        <w:t>.</w:t>
      </w:r>
      <w:r w:rsidR="007A799E">
        <w:rPr>
          <w:rFonts w:asciiTheme="minorHAnsi" w:hAnsiTheme="minorHAnsi" w:cstheme="minorHAnsi"/>
          <w:sz w:val="20"/>
          <w:szCs w:val="20"/>
        </w:rPr>
        <w:t xml:space="preserve"> Fn168, Introduction.</w:t>
      </w:r>
    </w:p>
  </w:footnote>
  <w:footnote w:id="173">
    <w:p w14:paraId="42954637" w14:textId="1F93E445" w:rsidR="00CA6A35" w:rsidRPr="00382E53" w:rsidRDefault="00CA6A35" w:rsidP="00E20FF1">
      <w:pPr>
        <w:pStyle w:val="FootnoteText"/>
        <w:rPr>
          <w:rFonts w:asciiTheme="minorHAnsi" w:hAnsiTheme="minorHAnsi" w:cstheme="minorHAnsi"/>
          <w:lang w:val="en-US"/>
        </w:rPr>
      </w:pPr>
      <w:r w:rsidRPr="00382E53">
        <w:rPr>
          <w:rStyle w:val="FootnoteReference"/>
          <w:rFonts w:asciiTheme="minorHAnsi" w:hAnsiTheme="minorHAnsi" w:cstheme="minorHAnsi"/>
        </w:rPr>
        <w:footnoteRef/>
      </w:r>
      <w:r w:rsidRPr="00382E53">
        <w:rPr>
          <w:rFonts w:asciiTheme="minorHAnsi" w:hAnsiTheme="minorHAnsi" w:cstheme="minorHAnsi"/>
        </w:rPr>
        <w:t xml:space="preserve"> </w:t>
      </w:r>
      <w:r w:rsidRPr="00382E53">
        <w:rPr>
          <w:rFonts w:asciiTheme="minorHAnsi" w:hAnsiTheme="minorHAnsi" w:cstheme="minorHAnsi"/>
          <w:lang w:val="en-US"/>
        </w:rPr>
        <w:t xml:space="preserve">Discussion with </w:t>
      </w:r>
      <w:proofErr w:type="spellStart"/>
      <w:r w:rsidRPr="00382E53">
        <w:rPr>
          <w:rFonts w:asciiTheme="minorHAnsi" w:hAnsiTheme="minorHAnsi" w:cstheme="minorHAnsi"/>
          <w:lang w:val="en-US"/>
        </w:rPr>
        <w:t>Youthline</w:t>
      </w:r>
      <w:proofErr w:type="spellEnd"/>
      <w:r w:rsidRPr="00382E53">
        <w:rPr>
          <w:rFonts w:asciiTheme="minorHAnsi" w:hAnsiTheme="minorHAnsi" w:cstheme="minorHAnsi"/>
          <w:lang w:val="en-US"/>
        </w:rPr>
        <w:t xml:space="preserve">; see paras </w:t>
      </w:r>
      <w:r w:rsidR="007A799E">
        <w:rPr>
          <w:rFonts w:asciiTheme="minorHAnsi" w:hAnsiTheme="minorHAnsi" w:cstheme="minorHAnsi"/>
          <w:lang w:val="en-US"/>
        </w:rPr>
        <w:t>173</w:t>
      </w:r>
      <w:r w:rsidRPr="00382E53">
        <w:rPr>
          <w:rFonts w:asciiTheme="minorHAnsi" w:hAnsiTheme="minorHAnsi" w:cstheme="minorHAnsi"/>
          <w:lang w:val="en-US"/>
        </w:rPr>
        <w:t xml:space="preserve"> to </w:t>
      </w:r>
      <w:r w:rsidR="007A799E">
        <w:rPr>
          <w:rFonts w:asciiTheme="minorHAnsi" w:hAnsiTheme="minorHAnsi" w:cstheme="minorHAnsi"/>
          <w:lang w:val="en-US"/>
        </w:rPr>
        <w:t>175</w:t>
      </w:r>
      <w:r w:rsidRPr="00382E53">
        <w:rPr>
          <w:rFonts w:asciiTheme="minorHAnsi" w:hAnsiTheme="minorHAnsi" w:cstheme="minorHAnsi"/>
          <w:lang w:val="en-US"/>
        </w:rPr>
        <w:t xml:space="preserve"> below on mental health and wellbeing.</w:t>
      </w:r>
    </w:p>
  </w:footnote>
  <w:footnote w:id="174">
    <w:p w14:paraId="634FCBC1" w14:textId="77777777" w:rsidR="00CA6A35" w:rsidRPr="00436172" w:rsidRDefault="00CA6A35" w:rsidP="00E20FF1">
      <w:pPr>
        <w:pStyle w:val="FootnoteText"/>
        <w:rPr>
          <w:rFonts w:asciiTheme="minorHAnsi" w:hAnsiTheme="minorHAnsi" w:cstheme="minorHAnsi"/>
          <w:lang w:val="mi-NZ"/>
        </w:rPr>
      </w:pPr>
      <w:r w:rsidRPr="00382E53">
        <w:rPr>
          <w:rStyle w:val="FootnoteReference"/>
          <w:rFonts w:asciiTheme="minorHAnsi" w:hAnsiTheme="minorHAnsi" w:cstheme="minorHAnsi"/>
        </w:rPr>
        <w:footnoteRef/>
      </w:r>
      <w:r w:rsidRPr="00382E53">
        <w:rPr>
          <w:rFonts w:asciiTheme="minorHAnsi" w:hAnsiTheme="minorHAnsi" w:cstheme="minorHAnsi"/>
        </w:rPr>
        <w:t xml:space="preserve"> </w:t>
      </w:r>
      <w:r w:rsidRPr="00382E53">
        <w:rPr>
          <w:rFonts w:asciiTheme="minorHAnsi" w:hAnsiTheme="minorHAnsi" w:cstheme="minorHAnsi"/>
          <w:lang w:val="mi-NZ"/>
        </w:rPr>
        <w:t>Te Aorerekura The Enduring Spirit of Affection</w:t>
      </w:r>
      <w:r>
        <w:rPr>
          <w:rFonts w:asciiTheme="minorHAnsi" w:hAnsiTheme="minorHAnsi" w:cstheme="minorHAnsi"/>
          <w:lang w:val="mi-NZ"/>
        </w:rPr>
        <w:t>,</w:t>
      </w:r>
      <w:r w:rsidRPr="00382E53">
        <w:rPr>
          <w:rFonts w:asciiTheme="minorHAnsi" w:hAnsiTheme="minorHAnsi" w:cstheme="minorHAnsi"/>
          <w:lang w:val="mi-NZ"/>
        </w:rPr>
        <w:t xml:space="preserve"> The National Strategy to Eliminate Family Violence and Sexual Violence, at p. 11. This underscores the importance of making children visible within Te Aorerekura, </w:t>
      </w:r>
      <w:r w:rsidRPr="00436172">
        <w:rPr>
          <w:rFonts w:asciiTheme="minorHAnsi" w:hAnsiTheme="minorHAnsi" w:cstheme="minorHAnsi"/>
          <w:lang w:val="mi-NZ"/>
        </w:rPr>
        <w:t>taking practical steps to protect children from violence, and responding to and supporting children who experience violence</w:t>
      </w:r>
      <w:r>
        <w:rPr>
          <w:rFonts w:asciiTheme="minorHAnsi" w:hAnsiTheme="minorHAnsi" w:cstheme="minorHAnsi"/>
          <w:lang w:val="mi-NZ"/>
        </w:rPr>
        <w:t>-</w:t>
      </w:r>
      <w:r w:rsidRPr="00436172">
        <w:rPr>
          <w:rFonts w:asciiTheme="minorHAnsi" w:hAnsiTheme="minorHAnsi" w:cstheme="minorHAnsi"/>
          <w:lang w:val="mi-NZ"/>
        </w:rPr>
        <w:t>related trauma.</w:t>
      </w:r>
    </w:p>
  </w:footnote>
  <w:footnote w:id="175">
    <w:p w14:paraId="07489943" w14:textId="60CBFF19" w:rsidR="00CA6A35" w:rsidRPr="008A2252" w:rsidRDefault="00CA6A35" w:rsidP="00E20FF1">
      <w:pPr>
        <w:pStyle w:val="FootnoteText"/>
        <w:rPr>
          <w:rFonts w:asciiTheme="minorHAnsi" w:hAnsiTheme="minorHAnsi" w:cstheme="minorHAnsi"/>
          <w:lang w:val="mi-NZ"/>
        </w:rPr>
      </w:pPr>
      <w:r w:rsidRPr="008A2252">
        <w:rPr>
          <w:rStyle w:val="FootnoteReference"/>
          <w:rFonts w:asciiTheme="minorHAnsi" w:hAnsiTheme="minorHAnsi" w:cstheme="minorHAnsi"/>
        </w:rPr>
        <w:footnoteRef/>
      </w:r>
      <w:r w:rsidRPr="008A2252">
        <w:rPr>
          <w:rFonts w:asciiTheme="minorHAnsi" w:hAnsiTheme="minorHAnsi" w:cstheme="minorHAnsi"/>
        </w:rPr>
        <w:t xml:space="preserve"> </w:t>
      </w:r>
      <w:hyperlink r:id="rId105" w:history="1">
        <w:r w:rsidR="00CA7C63" w:rsidRPr="00F06804">
          <w:rPr>
            <w:rStyle w:val="Hyperlink"/>
            <w:rFonts w:asciiTheme="minorHAnsi" w:eastAsiaTheme="minorHAnsi" w:hAnsiTheme="minorHAnsi" w:cstheme="minorHAnsi"/>
            <w:lang w:val="en-GB" w:eastAsia="en-US"/>
          </w:rPr>
          <w:t>https://static1.squarespace.com/static/5bdbb75ccef37259122e59aa/t/60ca75d00a6a3a028b086ce0/1623881172777/Youth19+Brief_Rainbow+rangatahi.pdf</w:t>
        </w:r>
      </w:hyperlink>
      <w:r w:rsidR="00CA7C63">
        <w:rPr>
          <w:rFonts w:asciiTheme="minorHAnsi" w:eastAsiaTheme="minorHAnsi" w:hAnsiTheme="minorHAnsi" w:cstheme="minorHAnsi"/>
          <w:color w:val="000000"/>
          <w:lang w:val="en-GB" w:eastAsia="en-US"/>
        </w:rPr>
        <w:t xml:space="preserve"> </w:t>
      </w:r>
    </w:p>
  </w:footnote>
  <w:footnote w:id="176">
    <w:p w14:paraId="072C5345" w14:textId="77777777" w:rsidR="00CA6A35" w:rsidRPr="00436172" w:rsidRDefault="00CA6A35" w:rsidP="00E20FF1">
      <w:pPr>
        <w:spacing w:after="0" w:line="240" w:lineRule="auto"/>
        <w:rPr>
          <w:rFonts w:cstheme="minorHAnsi"/>
          <w:lang w:val="mi-NZ"/>
        </w:rPr>
      </w:pPr>
      <w:r w:rsidRPr="00436172">
        <w:rPr>
          <w:rStyle w:val="FootnoteReference"/>
          <w:rFonts w:cstheme="minorHAnsi"/>
        </w:rPr>
        <w:footnoteRef/>
      </w:r>
      <w:r w:rsidRPr="00436172">
        <w:rPr>
          <w:rFonts w:cstheme="minorHAnsi"/>
        </w:rPr>
        <w:t xml:space="preserve"> </w:t>
      </w:r>
      <w:hyperlink r:id="rId106" w:history="1">
        <w:r w:rsidRPr="00247584">
          <w:rPr>
            <w:rStyle w:val="Hyperlink"/>
            <w:rFonts w:cstheme="minorHAnsi"/>
          </w:rPr>
          <w:t>https://www.mhwc.govt.nz</w:t>
        </w:r>
      </w:hyperlink>
      <w:r w:rsidRPr="00436172">
        <w:rPr>
          <w:rFonts w:cstheme="minorHAnsi"/>
        </w:rPr>
        <w:t xml:space="preserve"> </w:t>
      </w:r>
    </w:p>
  </w:footnote>
  <w:footnote w:id="177">
    <w:p w14:paraId="4A832CD2" w14:textId="77777777" w:rsidR="00CA6A35" w:rsidRPr="00436172" w:rsidRDefault="00CA6A35" w:rsidP="00E20FF1">
      <w:pPr>
        <w:pStyle w:val="FootnoteText"/>
        <w:rPr>
          <w:rFonts w:asciiTheme="minorHAnsi" w:hAnsiTheme="minorHAnsi" w:cstheme="minorHAnsi"/>
          <w:lang w:val="mi-NZ"/>
        </w:rPr>
      </w:pPr>
      <w:r w:rsidRPr="00436172">
        <w:rPr>
          <w:rStyle w:val="FootnoteReference"/>
          <w:rFonts w:asciiTheme="minorHAnsi" w:hAnsiTheme="minorHAnsi" w:cstheme="minorHAnsi"/>
        </w:rPr>
        <w:footnoteRef/>
      </w:r>
      <w:r w:rsidRPr="00436172">
        <w:rPr>
          <w:rFonts w:asciiTheme="minorHAnsi" w:hAnsiTheme="minorHAnsi" w:cstheme="minorHAnsi"/>
        </w:rPr>
        <w:t xml:space="preserve"> </w:t>
      </w:r>
      <w:hyperlink r:id="rId107" w:history="1">
        <w:r w:rsidRPr="00436172">
          <w:rPr>
            <w:rStyle w:val="Hyperlink"/>
            <w:rFonts w:asciiTheme="minorHAnsi" w:hAnsiTheme="minorHAnsi" w:cstheme="minorHAnsi"/>
          </w:rPr>
          <w:t>https://www.health.govt.nz/news-media/media-releases/new-director-suicide-prevention-office-puts-people-heart-mahi</w:t>
        </w:r>
      </w:hyperlink>
      <w:r w:rsidRPr="00436172">
        <w:rPr>
          <w:rFonts w:asciiTheme="minorHAnsi" w:hAnsiTheme="minorHAnsi" w:cstheme="minorHAnsi"/>
        </w:rPr>
        <w:t xml:space="preserve"> </w:t>
      </w:r>
    </w:p>
  </w:footnote>
  <w:footnote w:id="178">
    <w:p w14:paraId="255B5B51" w14:textId="77777777" w:rsidR="00CA6A35" w:rsidRPr="00436172" w:rsidRDefault="00CA6A35" w:rsidP="00E20FF1">
      <w:pPr>
        <w:pStyle w:val="FootnoteText"/>
        <w:rPr>
          <w:rFonts w:asciiTheme="minorHAnsi" w:hAnsiTheme="minorHAnsi" w:cstheme="minorHAnsi"/>
          <w:lang w:val="mi-NZ"/>
        </w:rPr>
      </w:pPr>
      <w:r w:rsidRPr="00436172">
        <w:rPr>
          <w:rStyle w:val="FootnoteReference"/>
          <w:rFonts w:asciiTheme="minorHAnsi" w:hAnsiTheme="minorHAnsi" w:cstheme="minorHAnsi"/>
        </w:rPr>
        <w:footnoteRef/>
      </w:r>
      <w:r w:rsidRPr="00436172">
        <w:rPr>
          <w:rFonts w:asciiTheme="minorHAnsi" w:hAnsiTheme="minorHAnsi" w:cstheme="minorHAnsi"/>
        </w:rPr>
        <w:t xml:space="preserve"> </w:t>
      </w:r>
      <w:r w:rsidRPr="00436172">
        <w:rPr>
          <w:rFonts w:asciiTheme="minorHAnsi" w:hAnsiTheme="minorHAnsi" w:cstheme="minorHAnsi"/>
          <w:lang w:val="mi-NZ"/>
        </w:rPr>
        <w:t xml:space="preserve">The Every Life Matters: Suicide Prevention Action Plan 2019-2024 </w:t>
      </w:r>
      <w:r>
        <w:rPr>
          <w:rFonts w:asciiTheme="minorHAnsi" w:hAnsiTheme="minorHAnsi" w:cstheme="minorHAnsi"/>
          <w:lang w:val="mi-NZ"/>
        </w:rPr>
        <w:t>include</w:t>
      </w:r>
      <w:r w:rsidRPr="00436172">
        <w:rPr>
          <w:rFonts w:asciiTheme="minorHAnsi" w:hAnsiTheme="minorHAnsi" w:cstheme="minorHAnsi"/>
          <w:lang w:val="mi-NZ"/>
        </w:rPr>
        <w:t>s one action with a focus on children and young people</w:t>
      </w:r>
      <w:r>
        <w:rPr>
          <w:rFonts w:asciiTheme="minorHAnsi" w:hAnsiTheme="minorHAnsi" w:cstheme="minorHAnsi"/>
          <w:lang w:val="mi-NZ"/>
        </w:rPr>
        <w:t>:</w:t>
      </w:r>
      <w:r w:rsidRPr="00436172">
        <w:rPr>
          <w:rFonts w:asciiTheme="minorHAnsi" w:hAnsiTheme="minorHAnsi" w:cstheme="minorHAnsi"/>
          <w:lang w:val="mi-NZ"/>
        </w:rPr>
        <w:t xml:space="preserve"> Action </w:t>
      </w:r>
      <w:r>
        <w:rPr>
          <w:rFonts w:asciiTheme="minorHAnsi" w:hAnsiTheme="minorHAnsi" w:cstheme="minorHAnsi"/>
          <w:lang w:val="mi-NZ"/>
        </w:rPr>
        <w:t>A</w:t>
      </w:r>
      <w:r w:rsidRPr="00436172">
        <w:rPr>
          <w:rFonts w:asciiTheme="minorHAnsi" w:hAnsiTheme="minorHAnsi" w:cstheme="minorHAnsi"/>
          <w:lang w:val="mi-NZ"/>
        </w:rPr>
        <w:t xml:space="preserve">rea 5: Promotion – Promoting wellbeing. It identifies three distinct factors related to promoting wellbeing as being fundamental to reducing suicide risk: strengthening sense of identity; reinforcing connection to others, to land, and to place; and feeling accepted and included by others. Yet this one key action with a focus on children is limited to increased wellbeing support for children and young people in places of learning. No specific mention is made of children and young people in the other </w:t>
      </w:r>
      <w:r>
        <w:rPr>
          <w:rFonts w:asciiTheme="minorHAnsi" w:hAnsiTheme="minorHAnsi" w:cstheme="minorHAnsi"/>
          <w:lang w:val="mi-NZ"/>
        </w:rPr>
        <w:t>seven</w:t>
      </w:r>
      <w:r w:rsidRPr="00436172">
        <w:rPr>
          <w:rFonts w:asciiTheme="minorHAnsi" w:hAnsiTheme="minorHAnsi" w:cstheme="minorHAnsi"/>
          <w:lang w:val="mi-NZ"/>
        </w:rPr>
        <w:t xml:space="preserve"> key action areas</w:t>
      </w:r>
      <w:r>
        <w:rPr>
          <w:rFonts w:asciiTheme="minorHAnsi" w:hAnsiTheme="minorHAnsi" w:cstheme="minorHAnsi"/>
          <w:lang w:val="mi-NZ"/>
        </w:rPr>
        <w:t>:</w:t>
      </w:r>
      <w:r w:rsidRPr="00436172">
        <w:rPr>
          <w:rFonts w:asciiTheme="minorHAnsi" w:hAnsiTheme="minorHAnsi" w:cstheme="minorHAnsi"/>
          <w:lang w:val="mi-NZ"/>
        </w:rPr>
        <w:t xml:space="preserve"> </w:t>
      </w:r>
      <w:hyperlink r:id="rId108" w:history="1">
        <w:r w:rsidRPr="00436172">
          <w:rPr>
            <w:rStyle w:val="Hyperlink"/>
            <w:rFonts w:asciiTheme="minorHAnsi" w:hAnsiTheme="minorHAnsi" w:cstheme="minorHAnsi"/>
            <w:lang w:val="mi-NZ"/>
          </w:rPr>
          <w:t>https://www.health.govt.nz/publication/every-life-matters-he-tapu-te-oranga-o-ia-tangata-suicide-prevention-strategy-2019-2029-and-suicide</w:t>
        </w:r>
      </w:hyperlink>
    </w:p>
  </w:footnote>
  <w:footnote w:id="179">
    <w:p w14:paraId="3CCB02E6" w14:textId="77777777" w:rsidR="00CA6A35" w:rsidRPr="00436172" w:rsidRDefault="00CA6A35" w:rsidP="00E20FF1">
      <w:pPr>
        <w:pStyle w:val="FootnoteText"/>
        <w:rPr>
          <w:rFonts w:asciiTheme="minorHAnsi" w:hAnsiTheme="minorHAnsi" w:cstheme="minorHAnsi"/>
          <w:lang w:val="en-US"/>
        </w:rPr>
      </w:pPr>
      <w:r w:rsidRPr="00436172">
        <w:rPr>
          <w:rStyle w:val="FootnoteReference"/>
          <w:rFonts w:asciiTheme="minorHAnsi" w:hAnsiTheme="minorHAnsi" w:cstheme="minorHAnsi"/>
        </w:rPr>
        <w:footnoteRef/>
      </w:r>
      <w:r w:rsidRPr="00436172">
        <w:rPr>
          <w:rFonts w:asciiTheme="minorHAnsi" w:hAnsiTheme="minorHAnsi" w:cstheme="minorHAnsi"/>
        </w:rPr>
        <w:t xml:space="preserve"> </w:t>
      </w:r>
      <w:hyperlink r:id="rId109" w:history="1">
        <w:r w:rsidRPr="00436172">
          <w:rPr>
            <w:rStyle w:val="Hyperlink"/>
            <w:rFonts w:asciiTheme="minorHAnsi" w:hAnsiTheme="minorHAnsi" w:cstheme="minorHAnsi"/>
          </w:rPr>
          <w:t>https://www.orangatamariki.govt.nz/assets/Uploads/About-us/Research/Data-analytics-and-insights/At-A-Glance-Harm-to-Children-in-New-Zealand.pdf</w:t>
        </w:r>
      </w:hyperlink>
      <w:r w:rsidRPr="00436172">
        <w:rPr>
          <w:rFonts w:asciiTheme="minorHAnsi" w:hAnsiTheme="minorHAnsi" w:cstheme="minorHAnsi"/>
        </w:rPr>
        <w:t xml:space="preserve"> </w:t>
      </w:r>
    </w:p>
  </w:footnote>
  <w:footnote w:id="180">
    <w:p w14:paraId="533B0E8A" w14:textId="1DFE817F" w:rsidR="00CA6A35" w:rsidRPr="00436172" w:rsidRDefault="00CA6A35" w:rsidP="00E20FF1">
      <w:pPr>
        <w:pStyle w:val="FootnoteText"/>
        <w:rPr>
          <w:rFonts w:asciiTheme="minorHAnsi" w:hAnsiTheme="minorHAnsi" w:cstheme="minorHAnsi"/>
          <w:lang w:val="mi-NZ"/>
        </w:rPr>
      </w:pPr>
      <w:r w:rsidRPr="00436172">
        <w:rPr>
          <w:rStyle w:val="FootnoteReference"/>
          <w:rFonts w:asciiTheme="minorHAnsi" w:hAnsiTheme="minorHAnsi" w:cstheme="minorHAnsi"/>
        </w:rPr>
        <w:footnoteRef/>
      </w:r>
      <w:r w:rsidRPr="00436172">
        <w:rPr>
          <w:rFonts w:asciiTheme="minorHAnsi" w:hAnsiTheme="minorHAnsi" w:cstheme="minorHAnsi"/>
        </w:rPr>
        <w:t xml:space="preserve"> </w:t>
      </w:r>
      <w:r w:rsidRPr="00436172">
        <w:rPr>
          <w:rFonts w:asciiTheme="minorHAnsi" w:hAnsiTheme="minorHAnsi" w:cstheme="minorHAnsi"/>
          <w:lang w:val="mi-NZ"/>
        </w:rPr>
        <w:t xml:space="preserve">See paras </w:t>
      </w:r>
      <w:r w:rsidR="008157E2">
        <w:rPr>
          <w:rFonts w:asciiTheme="minorHAnsi" w:hAnsiTheme="minorHAnsi" w:cstheme="minorHAnsi"/>
          <w:lang w:val="mi-NZ"/>
        </w:rPr>
        <w:t>18</w:t>
      </w:r>
      <w:r w:rsidR="009D70CA">
        <w:rPr>
          <w:rFonts w:asciiTheme="minorHAnsi" w:hAnsiTheme="minorHAnsi" w:cstheme="minorHAnsi"/>
          <w:lang w:val="mi-NZ"/>
        </w:rPr>
        <w:t>2</w:t>
      </w:r>
      <w:r w:rsidRPr="00436172">
        <w:rPr>
          <w:rFonts w:asciiTheme="minorHAnsi" w:hAnsiTheme="minorHAnsi" w:cstheme="minorHAnsi"/>
          <w:lang w:val="mi-NZ"/>
        </w:rPr>
        <w:t xml:space="preserve"> to </w:t>
      </w:r>
      <w:r w:rsidR="008157E2">
        <w:rPr>
          <w:rFonts w:asciiTheme="minorHAnsi" w:hAnsiTheme="minorHAnsi" w:cstheme="minorHAnsi"/>
          <w:lang w:val="mi-NZ"/>
        </w:rPr>
        <w:t>21</w:t>
      </w:r>
      <w:r w:rsidR="009D70CA">
        <w:rPr>
          <w:rFonts w:asciiTheme="minorHAnsi" w:hAnsiTheme="minorHAnsi" w:cstheme="minorHAnsi"/>
          <w:lang w:val="mi-NZ"/>
        </w:rPr>
        <w:t>0</w:t>
      </w:r>
      <w:r w:rsidRPr="00436172">
        <w:rPr>
          <w:rFonts w:asciiTheme="minorHAnsi" w:hAnsiTheme="minorHAnsi" w:cstheme="minorHAnsi"/>
          <w:lang w:val="mi-NZ"/>
        </w:rPr>
        <w:t xml:space="preserve"> below for more information about these environmental factors.</w:t>
      </w:r>
    </w:p>
  </w:footnote>
  <w:footnote w:id="181">
    <w:p w14:paraId="1BA9ADEF" w14:textId="442CD349" w:rsidR="00CA6A35" w:rsidRPr="00CA7C63" w:rsidRDefault="00CA6A35" w:rsidP="00E20FF1">
      <w:pPr>
        <w:pStyle w:val="FootnoteText"/>
        <w:rPr>
          <w:rFonts w:asciiTheme="minorHAnsi" w:hAnsiTheme="minorHAnsi" w:cstheme="minorHAnsi"/>
          <w:lang w:val="mi-NZ"/>
        </w:rPr>
      </w:pPr>
      <w:r w:rsidRPr="00436172">
        <w:rPr>
          <w:rStyle w:val="FootnoteReference"/>
          <w:rFonts w:asciiTheme="minorHAnsi" w:hAnsiTheme="minorHAnsi" w:cstheme="minorHAnsi"/>
        </w:rPr>
        <w:footnoteRef/>
      </w:r>
      <w:r>
        <w:rPr>
          <w:rFonts w:asciiTheme="minorHAnsi" w:hAnsiTheme="minorHAnsi" w:cstheme="minorHAnsi"/>
        </w:rPr>
        <w:t xml:space="preserve"> </w:t>
      </w:r>
      <w:r w:rsidRPr="00CA7C63">
        <w:rPr>
          <w:rFonts w:asciiTheme="minorHAnsi" w:hAnsiTheme="minorHAnsi" w:cstheme="minorHAnsi"/>
        </w:rPr>
        <w:t xml:space="preserve">See </w:t>
      </w:r>
      <w:r w:rsidR="00CA7C63" w:rsidRPr="00CA7C63">
        <w:rPr>
          <w:rFonts w:asciiTheme="minorHAnsi" w:hAnsiTheme="minorHAnsi" w:cstheme="minorHAnsi"/>
          <w:lang w:val="mi-NZ"/>
        </w:rPr>
        <w:t>Children’s Rights in a Changing Climate Thematic Report, submitted by OraTaiao: NZ Climate and Health Council</w:t>
      </w:r>
    </w:p>
  </w:footnote>
  <w:footnote w:id="182">
    <w:p w14:paraId="57826F95" w14:textId="77777777" w:rsidR="00CA6A35" w:rsidRPr="00E36668" w:rsidRDefault="00CA6A35" w:rsidP="00E20FF1">
      <w:pPr>
        <w:pStyle w:val="FootnoteText"/>
        <w:rPr>
          <w:lang w:val="mi-NZ"/>
        </w:rPr>
      </w:pPr>
      <w:r>
        <w:rPr>
          <w:rStyle w:val="FootnoteReference"/>
        </w:rPr>
        <w:footnoteRef/>
      </w:r>
      <w:r>
        <w:t xml:space="preserve"> </w:t>
      </w:r>
      <w:hyperlink r:id="rId110" w:history="1">
        <w:r w:rsidRPr="00F06804">
          <w:rPr>
            <w:rStyle w:val="Hyperlink"/>
            <w:rFonts w:asciiTheme="minorHAnsi" w:hAnsiTheme="minorHAnsi" w:cstheme="minorHAnsi"/>
          </w:rPr>
          <w:t>https://www.rnz.co.nz/news/national/470488/air-pollution-invercargill-revealed-as-deadliest-centre-study</w:t>
        </w:r>
      </w:hyperlink>
    </w:p>
  </w:footnote>
  <w:footnote w:id="183">
    <w:p w14:paraId="1193C13F" w14:textId="55F3B91D" w:rsidR="009E4943" w:rsidRPr="00436172" w:rsidRDefault="009E4943" w:rsidP="00E20FF1">
      <w:pPr>
        <w:pStyle w:val="FootnoteText"/>
        <w:rPr>
          <w:rFonts w:asciiTheme="minorHAnsi" w:hAnsiTheme="minorHAnsi" w:cstheme="minorHAnsi"/>
          <w:lang w:val="mi-NZ"/>
        </w:rPr>
      </w:pPr>
      <w:r w:rsidRPr="00436172">
        <w:rPr>
          <w:rStyle w:val="FootnoteReference"/>
          <w:rFonts w:asciiTheme="minorHAnsi" w:hAnsiTheme="minorHAnsi" w:cstheme="minorHAnsi"/>
        </w:rPr>
        <w:footnoteRef/>
      </w:r>
      <w:r w:rsidRPr="00436172">
        <w:rPr>
          <w:rFonts w:asciiTheme="minorHAnsi" w:hAnsiTheme="minorHAnsi" w:cstheme="minorHAnsi"/>
        </w:rPr>
        <w:t xml:space="preserve"> </w:t>
      </w:r>
      <w:r>
        <w:rPr>
          <w:rFonts w:asciiTheme="minorHAnsi" w:hAnsiTheme="minorHAnsi" w:cstheme="minorHAnsi"/>
        </w:rPr>
        <w:t xml:space="preserve"> </w:t>
      </w:r>
      <w:r w:rsidRPr="00E7687D">
        <w:rPr>
          <w:rFonts w:asciiTheme="minorHAnsi" w:hAnsiTheme="minorHAnsi" w:cstheme="minorHAnsi"/>
          <w:color w:val="000000"/>
        </w:rPr>
        <w:t>Caitlin Rees, Next Generation Conversation member</w:t>
      </w:r>
      <w:r>
        <w:rPr>
          <w:rFonts w:asciiTheme="minorHAnsi" w:hAnsiTheme="minorHAnsi" w:cstheme="minorHAnsi"/>
          <w:color w:val="000000"/>
        </w:rPr>
        <w:t xml:space="preserve">. </w:t>
      </w:r>
      <w:r w:rsidRPr="00436172">
        <w:rPr>
          <w:rFonts w:asciiTheme="minorHAnsi" w:hAnsiTheme="minorHAnsi" w:cstheme="minorHAnsi"/>
          <w:lang w:val="mi-NZ"/>
        </w:rPr>
        <w:t>See para</w:t>
      </w:r>
      <w:r w:rsidR="008157E2">
        <w:rPr>
          <w:rFonts w:asciiTheme="minorHAnsi" w:hAnsiTheme="minorHAnsi" w:cstheme="minorHAnsi"/>
          <w:lang w:val="mi-NZ"/>
        </w:rPr>
        <w:t xml:space="preserve"> 18</w:t>
      </w:r>
      <w:r w:rsidR="009D70CA">
        <w:rPr>
          <w:rFonts w:asciiTheme="minorHAnsi" w:hAnsiTheme="minorHAnsi" w:cstheme="minorHAnsi"/>
          <w:lang w:val="mi-NZ"/>
        </w:rPr>
        <w:t>4</w:t>
      </w:r>
      <w:r w:rsidRPr="008157E2">
        <w:rPr>
          <w:rFonts w:asciiTheme="minorHAnsi" w:hAnsiTheme="minorHAnsi" w:cstheme="minorHAnsi"/>
          <w:lang w:val="mi-NZ"/>
        </w:rPr>
        <w:t xml:space="preserve"> below</w:t>
      </w:r>
      <w:r w:rsidR="00A62CC2">
        <w:rPr>
          <w:rFonts w:asciiTheme="minorHAnsi" w:hAnsiTheme="minorHAnsi" w:cstheme="minorHAnsi"/>
          <w:lang w:val="mi-NZ"/>
        </w:rPr>
        <w:t>.</w:t>
      </w:r>
    </w:p>
  </w:footnote>
  <w:footnote w:id="184">
    <w:p w14:paraId="3E3466BF" w14:textId="77777777" w:rsidR="009E4943" w:rsidRPr="00466948" w:rsidRDefault="009E4943" w:rsidP="00E20FF1">
      <w:pPr>
        <w:spacing w:after="0" w:line="240" w:lineRule="auto"/>
        <w:rPr>
          <w:rFonts w:cstheme="minorHAnsi"/>
          <w:lang w:val="mi-NZ"/>
        </w:rPr>
      </w:pPr>
      <w:r w:rsidRPr="00466948">
        <w:rPr>
          <w:rStyle w:val="FootnoteReference"/>
          <w:rFonts w:cstheme="minorHAnsi"/>
        </w:rPr>
        <w:footnoteRef/>
      </w:r>
      <w:r w:rsidRPr="00466948">
        <w:rPr>
          <w:rFonts w:cstheme="minorHAnsi"/>
        </w:rPr>
        <w:t xml:space="preserve"> </w:t>
      </w:r>
      <w:r w:rsidRPr="00466948">
        <w:rPr>
          <w:rFonts w:cstheme="minorHAnsi"/>
          <w:lang w:val="mi-NZ"/>
        </w:rPr>
        <w:t xml:space="preserve">The </w:t>
      </w:r>
      <w:r>
        <w:rPr>
          <w:rFonts w:cstheme="minorHAnsi"/>
          <w:lang w:val="mi-NZ"/>
        </w:rPr>
        <w:t xml:space="preserve">OCC </w:t>
      </w:r>
      <w:r w:rsidRPr="00466948">
        <w:rPr>
          <w:rFonts w:cstheme="minorHAnsi"/>
          <w:lang w:val="mi-NZ"/>
        </w:rPr>
        <w:t>Mai World team ha</w:t>
      </w:r>
      <w:r>
        <w:rPr>
          <w:rFonts w:cstheme="minorHAnsi"/>
          <w:lang w:val="mi-NZ"/>
        </w:rPr>
        <w:t>s</w:t>
      </w:r>
      <w:r w:rsidRPr="00466948">
        <w:rPr>
          <w:rFonts w:cstheme="minorHAnsi"/>
          <w:lang w:val="mi-NZ"/>
        </w:rPr>
        <w:t xml:space="preserve"> </w:t>
      </w:r>
      <w:r>
        <w:rPr>
          <w:rFonts w:cstheme="minorHAnsi"/>
          <w:lang w:val="mi-NZ"/>
        </w:rPr>
        <w:t>sought</w:t>
      </w:r>
      <w:r w:rsidRPr="00466948">
        <w:rPr>
          <w:rFonts w:cstheme="minorHAnsi"/>
          <w:lang w:val="mi-NZ"/>
        </w:rPr>
        <w:t xml:space="preserve"> the views of children from around the country on a range of topics including education, experiences of the C</w:t>
      </w:r>
      <w:r>
        <w:rPr>
          <w:rFonts w:cstheme="minorHAnsi"/>
          <w:lang w:val="mi-NZ"/>
        </w:rPr>
        <w:t>OVID-</w:t>
      </w:r>
      <w:r w:rsidRPr="00466948">
        <w:rPr>
          <w:rFonts w:cstheme="minorHAnsi"/>
          <w:lang w:val="mi-NZ"/>
        </w:rPr>
        <w:t>19 lockdowns</w:t>
      </w:r>
      <w:r>
        <w:rPr>
          <w:rFonts w:cstheme="minorHAnsi"/>
          <w:lang w:val="mi-NZ"/>
        </w:rPr>
        <w:t>,</w:t>
      </w:r>
      <w:r w:rsidRPr="00466948">
        <w:rPr>
          <w:rFonts w:cstheme="minorHAnsi"/>
          <w:lang w:val="mi-NZ"/>
        </w:rPr>
        <w:t xml:space="preserve"> and the </w:t>
      </w:r>
      <w:r>
        <w:rPr>
          <w:rFonts w:cstheme="minorHAnsi"/>
          <w:lang w:val="mi-NZ"/>
        </w:rPr>
        <w:t>CYWS:</w:t>
      </w:r>
      <w:r w:rsidRPr="00466948">
        <w:rPr>
          <w:rFonts w:cstheme="minorHAnsi"/>
        </w:rPr>
        <w:t xml:space="preserve"> </w:t>
      </w:r>
      <w:hyperlink r:id="rId111" w:history="1">
        <w:r w:rsidRPr="00466948">
          <w:rPr>
            <w:rStyle w:val="Hyperlink"/>
            <w:rFonts w:cstheme="minorHAnsi"/>
          </w:rPr>
          <w:t>https://www.occ.org.nz/voices/mai-world/</w:t>
        </w:r>
      </w:hyperlink>
      <w:r w:rsidRPr="00466948">
        <w:rPr>
          <w:rFonts w:cstheme="minorHAnsi"/>
        </w:rPr>
        <w:t xml:space="preserve"> </w:t>
      </w:r>
    </w:p>
  </w:footnote>
  <w:footnote w:id="185">
    <w:p w14:paraId="7B569229" w14:textId="74FBEE66" w:rsidR="009E4943" w:rsidRPr="00466948" w:rsidRDefault="009E4943" w:rsidP="00E20FF1">
      <w:pPr>
        <w:pStyle w:val="FootnoteText"/>
        <w:rPr>
          <w:rFonts w:asciiTheme="minorHAnsi" w:hAnsiTheme="minorHAnsi" w:cstheme="minorHAnsi"/>
          <w:lang w:val="mi-NZ"/>
        </w:rPr>
      </w:pPr>
      <w:r w:rsidRPr="00466948">
        <w:rPr>
          <w:rStyle w:val="FootnoteReference"/>
          <w:rFonts w:asciiTheme="minorHAnsi" w:hAnsiTheme="minorHAnsi" w:cstheme="minorHAnsi"/>
        </w:rPr>
        <w:footnoteRef/>
      </w:r>
      <w:r w:rsidRPr="00466948">
        <w:rPr>
          <w:rFonts w:asciiTheme="minorHAnsi" w:hAnsiTheme="minorHAnsi" w:cstheme="minorHAnsi"/>
        </w:rPr>
        <w:t xml:space="preserve"> </w:t>
      </w:r>
      <w:r w:rsidRPr="00466948">
        <w:rPr>
          <w:rFonts w:asciiTheme="minorHAnsi" w:hAnsiTheme="minorHAnsi" w:cstheme="minorHAnsi"/>
          <w:lang w:val="mi-NZ"/>
        </w:rPr>
        <w:t xml:space="preserve">We note the legislative and other developments listed in the Government’s </w:t>
      </w:r>
      <w:r>
        <w:rPr>
          <w:rFonts w:asciiTheme="minorHAnsi" w:hAnsiTheme="minorHAnsi" w:cstheme="minorHAnsi"/>
          <w:lang w:val="mi-NZ"/>
        </w:rPr>
        <w:t>R</w:t>
      </w:r>
      <w:r w:rsidRPr="00466948">
        <w:rPr>
          <w:rFonts w:asciiTheme="minorHAnsi" w:hAnsiTheme="minorHAnsi" w:cstheme="minorHAnsi"/>
          <w:lang w:val="mi-NZ"/>
        </w:rPr>
        <w:t>eport and the ini</w:t>
      </w:r>
      <w:r>
        <w:rPr>
          <w:rFonts w:asciiTheme="minorHAnsi" w:hAnsiTheme="minorHAnsi" w:cstheme="minorHAnsi"/>
          <w:lang w:val="mi-NZ"/>
        </w:rPr>
        <w:t>ti</w:t>
      </w:r>
      <w:r w:rsidRPr="00466948">
        <w:rPr>
          <w:rFonts w:asciiTheme="minorHAnsi" w:hAnsiTheme="minorHAnsi" w:cstheme="minorHAnsi"/>
          <w:lang w:val="mi-NZ"/>
        </w:rPr>
        <w:t xml:space="preserve">atives noted in </w:t>
      </w:r>
      <w:r>
        <w:rPr>
          <w:rFonts w:asciiTheme="minorHAnsi" w:hAnsiTheme="minorHAnsi" w:cstheme="minorHAnsi"/>
          <w:lang w:val="mi-NZ"/>
        </w:rPr>
        <w:t>its</w:t>
      </w:r>
      <w:r w:rsidRPr="00466948">
        <w:rPr>
          <w:rFonts w:asciiTheme="minorHAnsi" w:hAnsiTheme="minorHAnsi" w:cstheme="minorHAnsi"/>
          <w:lang w:val="mi-NZ"/>
        </w:rPr>
        <w:t xml:space="preserve"> Annex: para 97; and </w:t>
      </w:r>
      <w:r>
        <w:rPr>
          <w:rFonts w:asciiTheme="minorHAnsi" w:hAnsiTheme="minorHAnsi" w:cstheme="minorHAnsi"/>
          <w:lang w:val="mi-NZ"/>
        </w:rPr>
        <w:t xml:space="preserve">the </w:t>
      </w:r>
      <w:r w:rsidRPr="00466948">
        <w:rPr>
          <w:rFonts w:asciiTheme="minorHAnsi" w:hAnsiTheme="minorHAnsi" w:cstheme="minorHAnsi"/>
          <w:lang w:val="mi-NZ"/>
        </w:rPr>
        <w:t xml:space="preserve">Summary of </w:t>
      </w:r>
      <w:r w:rsidR="00A62CC2">
        <w:rPr>
          <w:rFonts w:asciiTheme="minorHAnsi" w:hAnsiTheme="minorHAnsi" w:cstheme="minorHAnsi"/>
          <w:lang w:val="mi-NZ"/>
        </w:rPr>
        <w:t>F</w:t>
      </w:r>
      <w:r w:rsidRPr="00466948">
        <w:rPr>
          <w:rFonts w:asciiTheme="minorHAnsi" w:hAnsiTheme="minorHAnsi" w:cstheme="minorHAnsi"/>
          <w:lang w:val="mi-NZ"/>
        </w:rPr>
        <w:t xml:space="preserve">indings from public consultation: </w:t>
      </w:r>
      <w:hyperlink r:id="rId112" w:anchor="PublicConsultationontheDraftSixthReport3" w:history="1">
        <w:r w:rsidRPr="00466948">
          <w:rPr>
            <w:rStyle w:val="Hyperlink"/>
            <w:rFonts w:asciiTheme="minorHAnsi" w:hAnsiTheme="minorHAnsi" w:cstheme="minorHAnsi"/>
            <w:lang w:val="mi-NZ"/>
          </w:rPr>
          <w:t>https://www.msd.govt.nz/about-msd-and-our-work/publications-resources/monitoring/uncroc/reporting/index.html#PublicConsultationontheDraftSixthReport3</w:t>
        </w:r>
      </w:hyperlink>
    </w:p>
  </w:footnote>
  <w:footnote w:id="186">
    <w:p w14:paraId="43323ADC" w14:textId="77777777" w:rsidR="009E4943" w:rsidRPr="00466948" w:rsidRDefault="009E4943" w:rsidP="00E20FF1">
      <w:pPr>
        <w:pStyle w:val="FootnoteText"/>
        <w:rPr>
          <w:rFonts w:asciiTheme="minorHAnsi" w:hAnsiTheme="minorHAnsi" w:cstheme="minorHAnsi"/>
          <w:lang w:val="mi-NZ"/>
        </w:rPr>
      </w:pPr>
      <w:r w:rsidRPr="00466948">
        <w:rPr>
          <w:rStyle w:val="FootnoteReference"/>
          <w:rFonts w:asciiTheme="minorHAnsi" w:hAnsiTheme="minorHAnsi" w:cstheme="minorHAnsi"/>
        </w:rPr>
        <w:footnoteRef/>
      </w:r>
      <w:r w:rsidRPr="00466948">
        <w:rPr>
          <w:rFonts w:asciiTheme="minorHAnsi" w:hAnsiTheme="minorHAnsi" w:cstheme="minorHAnsi"/>
        </w:rPr>
        <w:t xml:space="preserve"> </w:t>
      </w:r>
      <w:r w:rsidRPr="00466948">
        <w:rPr>
          <w:rFonts w:asciiTheme="minorHAnsi" w:hAnsiTheme="minorHAnsi" w:cstheme="minorHAnsi"/>
          <w:lang w:val="mi-NZ"/>
        </w:rPr>
        <w:t>See Appendix Two.</w:t>
      </w:r>
    </w:p>
  </w:footnote>
  <w:footnote w:id="187">
    <w:p w14:paraId="64E8A5A8" w14:textId="77777777" w:rsidR="009E4943" w:rsidRPr="00466948" w:rsidRDefault="009E4943" w:rsidP="00E20FF1">
      <w:pPr>
        <w:pStyle w:val="FootnoteText"/>
        <w:rPr>
          <w:rFonts w:asciiTheme="minorHAnsi" w:hAnsiTheme="minorHAnsi" w:cstheme="minorHAnsi"/>
          <w:lang w:val="mi-NZ"/>
        </w:rPr>
      </w:pPr>
      <w:r w:rsidRPr="00466948">
        <w:rPr>
          <w:rStyle w:val="FootnoteReference"/>
          <w:rFonts w:asciiTheme="minorHAnsi" w:hAnsiTheme="minorHAnsi" w:cstheme="minorHAnsi"/>
        </w:rPr>
        <w:footnoteRef/>
      </w:r>
      <w:r w:rsidRPr="00466948">
        <w:rPr>
          <w:rFonts w:asciiTheme="minorHAnsi" w:hAnsiTheme="minorHAnsi" w:cstheme="minorHAnsi"/>
        </w:rPr>
        <w:t xml:space="preserve"> Mary-Lynn </w:t>
      </w:r>
      <w:proofErr w:type="spellStart"/>
      <w:r w:rsidRPr="00466948">
        <w:rPr>
          <w:rFonts w:asciiTheme="minorHAnsi" w:hAnsiTheme="minorHAnsi" w:cstheme="minorHAnsi"/>
        </w:rPr>
        <w:t>Huxford</w:t>
      </w:r>
      <w:proofErr w:type="spellEnd"/>
      <w:r w:rsidRPr="00466948">
        <w:rPr>
          <w:rFonts w:asciiTheme="minorHAnsi" w:hAnsiTheme="minorHAnsi" w:cstheme="minorHAnsi"/>
        </w:rPr>
        <w:t xml:space="preserve">, </w:t>
      </w:r>
      <w:r>
        <w:rPr>
          <w:rFonts w:asciiTheme="minorHAnsi" w:hAnsiTheme="minorHAnsi" w:cstheme="minorHAnsi"/>
        </w:rPr>
        <w:t>V</w:t>
      </w:r>
      <w:r w:rsidRPr="00466948">
        <w:rPr>
          <w:rFonts w:asciiTheme="minorHAnsi" w:hAnsiTheme="minorHAnsi" w:cstheme="minorHAnsi"/>
        </w:rPr>
        <w:t>ice-chair of the VOYCE</w:t>
      </w:r>
      <w:r>
        <w:rPr>
          <w:rFonts w:asciiTheme="minorHAnsi" w:hAnsiTheme="minorHAnsi" w:cstheme="minorHAnsi"/>
        </w:rPr>
        <w:t xml:space="preserve"> </w:t>
      </w:r>
      <w:proofErr w:type="spellStart"/>
      <w:r w:rsidRPr="00466948">
        <w:rPr>
          <w:rFonts w:asciiTheme="minorHAnsi" w:hAnsiTheme="minorHAnsi" w:cstheme="minorHAnsi"/>
        </w:rPr>
        <w:t>Whakarongo</w:t>
      </w:r>
      <w:proofErr w:type="spellEnd"/>
      <w:r w:rsidRPr="00466948">
        <w:rPr>
          <w:rFonts w:asciiTheme="minorHAnsi" w:hAnsiTheme="minorHAnsi" w:cstheme="minorHAnsi"/>
        </w:rPr>
        <w:t xml:space="preserve"> Mai National Youth Council</w:t>
      </w:r>
      <w:r>
        <w:rPr>
          <w:rFonts w:asciiTheme="minorHAnsi" w:hAnsiTheme="minorHAnsi" w:cstheme="minorHAnsi"/>
        </w:rPr>
        <w:t xml:space="preserve">: </w:t>
      </w:r>
      <w:hyperlink r:id="rId113" w:history="1">
        <w:r w:rsidRPr="00247584">
          <w:rPr>
            <w:rStyle w:val="Hyperlink"/>
            <w:rFonts w:asciiTheme="minorHAnsi" w:hAnsiTheme="minorHAnsi" w:cstheme="minorHAnsi"/>
          </w:rPr>
          <w:t>https://voyce.org.nz/oranga-tamariki-oversight-bill-must-go/?utm_source=rss&amp;utm_medium=rss&amp;utm_campaign=oranga-tamariki-oversight-bill-must-go</w:t>
        </w:r>
      </w:hyperlink>
      <w:r w:rsidRPr="00466948">
        <w:rPr>
          <w:rFonts w:asciiTheme="minorHAnsi" w:hAnsiTheme="minorHAnsi" w:cstheme="minorHAnsi"/>
        </w:rPr>
        <w:t xml:space="preserve"> </w:t>
      </w:r>
    </w:p>
  </w:footnote>
  <w:footnote w:id="188">
    <w:p w14:paraId="2839CF8E" w14:textId="6FCD3084" w:rsidR="009E4943" w:rsidRPr="00466948" w:rsidRDefault="009E4943" w:rsidP="00E20FF1">
      <w:pPr>
        <w:pStyle w:val="FootnoteText"/>
        <w:rPr>
          <w:rFonts w:asciiTheme="minorHAnsi" w:hAnsiTheme="minorHAnsi" w:cstheme="minorHAnsi"/>
          <w:lang w:val="mi-NZ"/>
        </w:rPr>
      </w:pPr>
      <w:r w:rsidRPr="00466948">
        <w:rPr>
          <w:rStyle w:val="FootnoteReference"/>
          <w:rFonts w:asciiTheme="minorHAnsi" w:hAnsiTheme="minorHAnsi" w:cstheme="minorHAnsi"/>
        </w:rPr>
        <w:footnoteRef/>
      </w:r>
      <w:r w:rsidRPr="00466948">
        <w:rPr>
          <w:rFonts w:asciiTheme="minorHAnsi" w:hAnsiTheme="minorHAnsi" w:cstheme="minorHAnsi"/>
        </w:rPr>
        <w:t xml:space="preserve"> </w:t>
      </w:r>
      <w:r w:rsidRPr="00466948">
        <w:rPr>
          <w:rFonts w:asciiTheme="minorHAnsi" w:hAnsiTheme="minorHAnsi" w:cstheme="minorHAnsi"/>
          <w:lang w:val="mi-NZ"/>
        </w:rPr>
        <w:t xml:space="preserve">See, for example, </w:t>
      </w:r>
      <w:r w:rsidRPr="00466948">
        <w:rPr>
          <w:rFonts w:asciiTheme="minorHAnsi" w:hAnsiTheme="minorHAnsi" w:cstheme="minorHAnsi"/>
          <w:i/>
          <w:iCs/>
          <w:lang w:val="mi-NZ"/>
        </w:rPr>
        <w:t>I am Auckland Implementation and Evaluation</w:t>
      </w:r>
      <w:r w:rsidRPr="00466948">
        <w:rPr>
          <w:rFonts w:asciiTheme="minorHAnsi" w:hAnsiTheme="minorHAnsi" w:cstheme="minorHAnsi"/>
          <w:lang w:val="mi-NZ"/>
        </w:rPr>
        <w:t xml:space="preserve"> </w:t>
      </w:r>
      <w:r w:rsidRPr="00466948">
        <w:rPr>
          <w:rFonts w:asciiTheme="minorHAnsi" w:hAnsiTheme="minorHAnsi" w:cstheme="minorHAnsi"/>
          <w:i/>
          <w:iCs/>
          <w:lang w:val="mi-NZ"/>
        </w:rPr>
        <w:t>Annual Update 2021</w:t>
      </w:r>
      <w:r w:rsidRPr="00466948">
        <w:rPr>
          <w:rFonts w:asciiTheme="minorHAnsi" w:hAnsiTheme="minorHAnsi" w:cstheme="minorHAnsi"/>
          <w:lang w:val="mi-NZ"/>
        </w:rPr>
        <w:t xml:space="preserve">: </w:t>
      </w:r>
      <w:hyperlink r:id="rId114" w:history="1">
        <w:r w:rsidRPr="00466948">
          <w:rPr>
            <w:rStyle w:val="Hyperlink"/>
            <w:rFonts w:asciiTheme="minorHAnsi" w:hAnsiTheme="minorHAnsi" w:cstheme="minorHAnsi"/>
            <w:lang w:val="mi-NZ"/>
          </w:rPr>
          <w:t>https://www.aucklandcouncil.govt.nz/plans-projects-policies-reports-bylaws/our-plans-strategies/topic-based-plans-strategies/community-social-development-plans/annualreports/i-am-auckland-annual-update-2021.pdf</w:t>
        </w:r>
      </w:hyperlink>
      <w:r w:rsidRPr="00466948">
        <w:rPr>
          <w:rFonts w:asciiTheme="minorHAnsi" w:hAnsiTheme="minorHAnsi" w:cstheme="minorHAnsi"/>
          <w:lang w:val="mi-NZ"/>
        </w:rPr>
        <w:t xml:space="preserve">; </w:t>
      </w:r>
      <w:r>
        <w:rPr>
          <w:rFonts w:asciiTheme="minorHAnsi" w:hAnsiTheme="minorHAnsi" w:cstheme="minorHAnsi"/>
          <w:lang w:val="mi-NZ"/>
        </w:rPr>
        <w:t xml:space="preserve">and </w:t>
      </w:r>
      <w:r w:rsidRPr="00466948">
        <w:rPr>
          <w:rFonts w:asciiTheme="minorHAnsi" w:hAnsiTheme="minorHAnsi" w:cstheme="minorHAnsi"/>
          <w:lang w:val="mi-NZ"/>
        </w:rPr>
        <w:t>discussion about children’s involvement in Climate Change discussions and planning, paras</w:t>
      </w:r>
      <w:r w:rsidR="008157E2">
        <w:rPr>
          <w:rFonts w:asciiTheme="minorHAnsi" w:hAnsiTheme="minorHAnsi" w:cstheme="minorHAnsi"/>
          <w:lang w:val="mi-NZ"/>
        </w:rPr>
        <w:t xml:space="preserve"> 18</w:t>
      </w:r>
      <w:r w:rsidR="009D70CA">
        <w:rPr>
          <w:rFonts w:asciiTheme="minorHAnsi" w:hAnsiTheme="minorHAnsi" w:cstheme="minorHAnsi"/>
          <w:lang w:val="mi-NZ"/>
        </w:rPr>
        <w:t>2</w:t>
      </w:r>
      <w:r w:rsidR="002B21DB">
        <w:rPr>
          <w:rFonts w:asciiTheme="minorHAnsi" w:hAnsiTheme="minorHAnsi" w:cstheme="minorHAnsi"/>
          <w:lang w:val="mi-NZ"/>
        </w:rPr>
        <w:t>-</w:t>
      </w:r>
      <w:r w:rsidR="008157E2">
        <w:rPr>
          <w:rFonts w:asciiTheme="minorHAnsi" w:hAnsiTheme="minorHAnsi" w:cstheme="minorHAnsi"/>
          <w:lang w:val="mi-NZ"/>
        </w:rPr>
        <w:t>18</w:t>
      </w:r>
      <w:r w:rsidR="009D70CA">
        <w:rPr>
          <w:rFonts w:asciiTheme="minorHAnsi" w:hAnsiTheme="minorHAnsi" w:cstheme="minorHAnsi"/>
          <w:lang w:val="mi-NZ"/>
        </w:rPr>
        <w:t>7</w:t>
      </w:r>
      <w:r w:rsidRPr="00466948">
        <w:rPr>
          <w:rFonts w:asciiTheme="minorHAnsi" w:hAnsiTheme="minorHAnsi" w:cstheme="minorHAnsi"/>
          <w:lang w:val="mi-NZ"/>
        </w:rPr>
        <w:t xml:space="preserve"> below</w:t>
      </w:r>
      <w:r>
        <w:rPr>
          <w:rFonts w:asciiTheme="minorHAnsi" w:hAnsiTheme="minorHAnsi" w:cstheme="minorHAnsi"/>
          <w:lang w:val="mi-NZ"/>
        </w:rPr>
        <w:t>.</w:t>
      </w:r>
    </w:p>
  </w:footnote>
  <w:footnote w:id="189">
    <w:p w14:paraId="4CDC3435" w14:textId="55B78D8B" w:rsidR="009E4943" w:rsidRPr="00466948" w:rsidRDefault="009E4943" w:rsidP="00E20FF1">
      <w:pPr>
        <w:shd w:val="clear" w:color="auto" w:fill="FFFFFF"/>
        <w:spacing w:after="0" w:line="240" w:lineRule="auto"/>
        <w:rPr>
          <w:rFonts w:cstheme="minorHAnsi"/>
          <w:b/>
          <w:bCs/>
          <w:color w:val="333333"/>
          <w:lang w:eastAsia="en-NZ"/>
        </w:rPr>
      </w:pPr>
      <w:r w:rsidRPr="00466948">
        <w:rPr>
          <w:rStyle w:val="FootnoteReference"/>
          <w:rFonts w:cstheme="minorHAnsi"/>
        </w:rPr>
        <w:footnoteRef/>
      </w:r>
      <w:r w:rsidRPr="00466948">
        <w:rPr>
          <w:rFonts w:cstheme="minorHAnsi"/>
        </w:rPr>
        <w:t xml:space="preserve"> </w:t>
      </w:r>
      <w:bookmarkStart w:id="26" w:name="_Hlk84600615"/>
      <w:r w:rsidRPr="00466948">
        <w:rPr>
          <w:rFonts w:cstheme="minorHAnsi"/>
          <w:lang w:eastAsia="en-NZ"/>
        </w:rPr>
        <w:t xml:space="preserve">Research by a team at the University of Auckland School of Nursing </w:t>
      </w:r>
      <w:r w:rsidRPr="00466948">
        <w:rPr>
          <w:rFonts w:cstheme="minorHAnsi"/>
        </w:rPr>
        <w:t xml:space="preserve">was conducted </w:t>
      </w:r>
      <w:r>
        <w:rPr>
          <w:rFonts w:cstheme="minorHAnsi"/>
          <w:lang w:eastAsia="en-NZ"/>
        </w:rPr>
        <w:t>into</w:t>
      </w:r>
      <w:r w:rsidRPr="00466948">
        <w:rPr>
          <w:rFonts w:cstheme="minorHAnsi"/>
          <w:lang w:eastAsia="en-NZ"/>
        </w:rPr>
        <w:t xml:space="preserve"> </w:t>
      </w:r>
      <w:r w:rsidRPr="00466948">
        <w:rPr>
          <w:rFonts w:cstheme="minorHAnsi"/>
        </w:rPr>
        <w:t>policies to enable children’s voice for healthy neighbourhoods and communities and involved a systematic mapping review of existing policies and their application</w:t>
      </w:r>
      <w:r w:rsidRPr="008C69E1">
        <w:rPr>
          <w:rFonts w:cstheme="minorHAnsi"/>
        </w:rPr>
        <w:t xml:space="preserve">. </w:t>
      </w:r>
      <w:r>
        <w:rPr>
          <w:rFonts w:cstheme="minorHAnsi"/>
        </w:rPr>
        <w:t>O</w:t>
      </w:r>
      <w:r w:rsidRPr="008C69E1">
        <w:rPr>
          <w:rFonts w:cstheme="minorHAnsi"/>
        </w:rPr>
        <w:t xml:space="preserve">ver half of the 74 local councils in </w:t>
      </w:r>
      <w:r>
        <w:rPr>
          <w:rFonts w:cstheme="minorHAnsi"/>
        </w:rPr>
        <w:t xml:space="preserve">Aotearoa </w:t>
      </w:r>
      <w:r w:rsidRPr="008C69E1">
        <w:rPr>
          <w:rFonts w:cstheme="minorHAnsi"/>
        </w:rPr>
        <w:t>showed at least some awareness and made mention of child consultation</w:t>
      </w:r>
      <w:r>
        <w:rPr>
          <w:rFonts w:cstheme="minorHAnsi"/>
        </w:rPr>
        <w:t xml:space="preserve">. While </w:t>
      </w:r>
      <w:r w:rsidRPr="00466948">
        <w:rPr>
          <w:rFonts w:cstheme="minorHAnsi"/>
          <w:lang w:eastAsia="en-NZ"/>
        </w:rPr>
        <w:t>p</w:t>
      </w:r>
      <w:r w:rsidRPr="00466948">
        <w:rPr>
          <w:rFonts w:cstheme="minorHAnsi"/>
        </w:rPr>
        <w:t>olicies exist at a national level to support</w:t>
      </w:r>
      <w:r>
        <w:rPr>
          <w:rFonts w:cstheme="minorHAnsi"/>
        </w:rPr>
        <w:t xml:space="preserve">, </w:t>
      </w:r>
      <w:r w:rsidRPr="00466948">
        <w:rPr>
          <w:rFonts w:cstheme="minorHAnsi"/>
        </w:rPr>
        <w:t>but not mandate</w:t>
      </w:r>
      <w:r>
        <w:rPr>
          <w:rFonts w:cstheme="minorHAnsi"/>
        </w:rPr>
        <w:t>,</w:t>
      </w:r>
      <w:r w:rsidRPr="00466948">
        <w:rPr>
          <w:rFonts w:cstheme="minorHAnsi"/>
        </w:rPr>
        <w:t xml:space="preserve"> children’s participation and consultation in policy development for health promoting environments</w:t>
      </w:r>
      <w:r>
        <w:rPr>
          <w:rFonts w:cstheme="minorHAnsi"/>
        </w:rPr>
        <w:t xml:space="preserve">. </w:t>
      </w:r>
      <w:r w:rsidRPr="00466948">
        <w:rPr>
          <w:rFonts w:cstheme="minorHAnsi"/>
        </w:rPr>
        <w:t>there was</w:t>
      </w:r>
      <w:r>
        <w:rPr>
          <w:rFonts w:cstheme="minorHAnsi"/>
        </w:rPr>
        <w:t>, overall,</w:t>
      </w:r>
      <w:r w:rsidRPr="00466948">
        <w:rPr>
          <w:rFonts w:cstheme="minorHAnsi"/>
        </w:rPr>
        <w:t xml:space="preserve"> little consistency across local councils in policies for child participation and consultation in planning processes</w:t>
      </w:r>
      <w:bookmarkEnd w:id="26"/>
      <w:r>
        <w:rPr>
          <w:rFonts w:cstheme="minorHAnsi"/>
        </w:rPr>
        <w:t xml:space="preserve">: </w:t>
      </w:r>
      <w:r w:rsidRPr="00466948">
        <w:rPr>
          <w:rFonts w:cstheme="minorHAnsi"/>
          <w:color w:val="333333"/>
          <w:lang w:eastAsia="en-NZ"/>
        </w:rPr>
        <w:t xml:space="preserve">Eve Sullivan, Victoria </w:t>
      </w:r>
      <w:proofErr w:type="spellStart"/>
      <w:r w:rsidRPr="00466948">
        <w:rPr>
          <w:rFonts w:cstheme="minorHAnsi"/>
          <w:color w:val="333333"/>
          <w:lang w:eastAsia="en-NZ"/>
        </w:rPr>
        <w:t>Egli</w:t>
      </w:r>
      <w:proofErr w:type="spellEnd"/>
      <w:r w:rsidRPr="00466948">
        <w:rPr>
          <w:rFonts w:cstheme="minorHAnsi"/>
          <w:color w:val="333333"/>
          <w:lang w:eastAsia="en-NZ"/>
        </w:rPr>
        <w:t xml:space="preserve">, Niamh Donnellan &amp; Melody Smith (2021) Policies to enable children’s voice for healthy neighbourhoods and communities: </w:t>
      </w:r>
      <w:bookmarkStart w:id="27" w:name="_Hlk84600665"/>
      <w:r w:rsidRPr="00466948">
        <w:rPr>
          <w:rFonts w:cstheme="minorHAnsi"/>
          <w:color w:val="333333"/>
          <w:lang w:eastAsia="en-NZ"/>
        </w:rPr>
        <w:t xml:space="preserve">a systematic mapping review </w:t>
      </w:r>
      <w:bookmarkEnd w:id="27"/>
      <w:r w:rsidRPr="00466948">
        <w:rPr>
          <w:rFonts w:cstheme="minorHAnsi"/>
          <w:color w:val="333333"/>
          <w:lang w:eastAsia="en-NZ"/>
        </w:rPr>
        <w:t>and case study</w:t>
      </w:r>
      <w:r w:rsidR="00A62CC2">
        <w:rPr>
          <w:rFonts w:cstheme="minorHAnsi"/>
          <w:color w:val="333333"/>
          <w:lang w:eastAsia="en-NZ"/>
        </w:rPr>
        <w:t>,</w:t>
      </w:r>
      <w:r w:rsidRPr="00466948">
        <w:rPr>
          <w:rFonts w:cstheme="minorHAnsi"/>
          <w:b/>
          <w:bCs/>
          <w:color w:val="333333"/>
          <w:lang w:eastAsia="en-NZ"/>
        </w:rPr>
        <w:t xml:space="preserve"> </w:t>
      </w:r>
      <w:proofErr w:type="spellStart"/>
      <w:r w:rsidRPr="00466948">
        <w:rPr>
          <w:rFonts w:cstheme="minorHAnsi"/>
          <w:i/>
          <w:iCs/>
          <w:color w:val="333333"/>
          <w:lang w:eastAsia="en-NZ"/>
        </w:rPr>
        <w:t>Kōtuitui</w:t>
      </w:r>
      <w:proofErr w:type="spellEnd"/>
      <w:r w:rsidRPr="00466948">
        <w:rPr>
          <w:rFonts w:cstheme="minorHAnsi"/>
          <w:i/>
          <w:iCs/>
          <w:color w:val="333333"/>
          <w:lang w:eastAsia="en-NZ"/>
        </w:rPr>
        <w:t>: New Zealand Journal of Social Sciences Online</w:t>
      </w:r>
      <w:r w:rsidRPr="00466948">
        <w:rPr>
          <w:rFonts w:cstheme="minorHAnsi"/>
          <w:color w:val="333333"/>
          <w:lang w:eastAsia="en-NZ"/>
        </w:rPr>
        <w:t>, </w:t>
      </w:r>
      <w:r w:rsidRPr="00466948">
        <w:rPr>
          <w:rFonts w:cstheme="minorHAnsi"/>
          <w:i/>
          <w:iCs/>
          <w:color w:val="333333"/>
          <w:lang w:eastAsia="en-NZ"/>
        </w:rPr>
        <w:t>16(1),</w:t>
      </w:r>
      <w:r w:rsidRPr="00466948">
        <w:rPr>
          <w:rFonts w:cstheme="minorHAnsi"/>
          <w:color w:val="333333"/>
          <w:lang w:eastAsia="en-NZ"/>
        </w:rPr>
        <w:t> 18-44, DOI: </w:t>
      </w:r>
      <w:hyperlink r:id="rId115" w:history="1">
        <w:r w:rsidRPr="00466948">
          <w:rPr>
            <w:rFonts w:cstheme="minorHAnsi"/>
            <w:color w:val="333333"/>
            <w:u w:val="single"/>
            <w:lang w:eastAsia="en-NZ"/>
          </w:rPr>
          <w:t>10.1080/1177083X.2020.1772325</w:t>
        </w:r>
      </w:hyperlink>
      <w:r w:rsidRPr="00466948">
        <w:rPr>
          <w:rFonts w:cstheme="minorHAnsi"/>
          <w:color w:val="333333"/>
          <w:u w:val="single"/>
          <w:lang w:eastAsia="en-NZ"/>
        </w:rPr>
        <w:t xml:space="preserve">  </w:t>
      </w:r>
    </w:p>
  </w:footnote>
  <w:footnote w:id="190">
    <w:p w14:paraId="36CBA2E1" w14:textId="74E182C6" w:rsidR="009E4943" w:rsidRPr="00F011E1" w:rsidRDefault="009E4943" w:rsidP="00E20FF1">
      <w:pPr>
        <w:pStyle w:val="FootnoteText"/>
        <w:rPr>
          <w:lang w:val="mi-NZ"/>
        </w:rPr>
      </w:pPr>
      <w:r>
        <w:rPr>
          <w:rStyle w:val="FootnoteReference"/>
        </w:rPr>
        <w:footnoteRef/>
      </w:r>
      <w:r>
        <w:t xml:space="preserve"> </w:t>
      </w:r>
      <w:r w:rsidRPr="00F011E1">
        <w:rPr>
          <w:rFonts w:asciiTheme="minorHAnsi" w:hAnsiTheme="minorHAnsi" w:cstheme="minorHAnsi"/>
          <w:lang w:val="mi-NZ"/>
        </w:rPr>
        <w:t>Oversight of Oranga Tamariki System and Children and Young People’s Commission Bill (2021), cl</w:t>
      </w:r>
      <w:r w:rsidR="00A62CC2">
        <w:rPr>
          <w:rFonts w:asciiTheme="minorHAnsi" w:hAnsiTheme="minorHAnsi" w:cstheme="minorHAnsi"/>
          <w:lang w:val="mi-NZ"/>
        </w:rPr>
        <w:t>ause</w:t>
      </w:r>
      <w:r w:rsidRPr="00F011E1">
        <w:rPr>
          <w:rFonts w:asciiTheme="minorHAnsi" w:hAnsiTheme="minorHAnsi" w:cstheme="minorHAnsi"/>
          <w:lang w:val="mi-NZ"/>
        </w:rPr>
        <w:t xml:space="preserve"> 101.</w:t>
      </w:r>
    </w:p>
  </w:footnote>
  <w:footnote w:id="191">
    <w:p w14:paraId="3D347279" w14:textId="77777777" w:rsidR="009E4943" w:rsidRPr="006A0F87" w:rsidRDefault="009E4943" w:rsidP="00E20FF1">
      <w:pPr>
        <w:pStyle w:val="FootnoteText"/>
        <w:rPr>
          <w:rFonts w:asciiTheme="minorHAnsi" w:hAnsiTheme="minorHAnsi" w:cstheme="minorHAnsi"/>
          <w:lang w:val="mi-NZ"/>
        </w:rPr>
      </w:pPr>
      <w:r w:rsidRPr="006A0F87">
        <w:rPr>
          <w:rStyle w:val="FootnoteReference"/>
          <w:rFonts w:asciiTheme="minorHAnsi" w:hAnsiTheme="minorHAnsi" w:cstheme="minorHAnsi"/>
        </w:rPr>
        <w:footnoteRef/>
      </w:r>
      <w:r w:rsidRPr="006A0F87">
        <w:rPr>
          <w:rFonts w:asciiTheme="minorHAnsi" w:hAnsiTheme="minorHAnsi" w:cstheme="minorHAnsi"/>
        </w:rPr>
        <w:t xml:space="preserve"> </w:t>
      </w:r>
      <w:hyperlink r:id="rId116" w:history="1">
        <w:r w:rsidRPr="006A0F87">
          <w:rPr>
            <w:rStyle w:val="Hyperlink"/>
            <w:rFonts w:asciiTheme="minorHAnsi" w:hAnsiTheme="minorHAnsi" w:cstheme="minorHAnsi"/>
          </w:rPr>
          <w:t>https://talkingtroublenz.org</w:t>
        </w:r>
      </w:hyperlink>
      <w:r w:rsidRPr="006A0F87">
        <w:rPr>
          <w:rFonts w:asciiTheme="minorHAnsi" w:hAnsiTheme="minorHAnsi" w:cstheme="minorHAnsi"/>
        </w:rPr>
        <w:t xml:space="preserve"> </w:t>
      </w:r>
    </w:p>
  </w:footnote>
  <w:footnote w:id="192">
    <w:p w14:paraId="0E30E6D9" w14:textId="409E82A7" w:rsidR="00DA492C" w:rsidRPr="00A12140" w:rsidRDefault="00DA492C" w:rsidP="00E20FF1">
      <w:pPr>
        <w:pStyle w:val="FootnoteText"/>
        <w:rPr>
          <w:lang w:val="mi-NZ"/>
        </w:rPr>
      </w:pPr>
      <w:r>
        <w:rPr>
          <w:rStyle w:val="FootnoteReference"/>
        </w:rPr>
        <w:footnoteRef/>
      </w:r>
      <w:r>
        <w:t xml:space="preserve"> </w:t>
      </w:r>
      <w:r>
        <w:rPr>
          <w:rFonts w:asciiTheme="minorHAnsi" w:hAnsiTheme="minorHAnsi" w:cstheme="minorHAnsi"/>
        </w:rPr>
        <w:t>A</w:t>
      </w:r>
      <w:r w:rsidRPr="00E7687D">
        <w:rPr>
          <w:rFonts w:asciiTheme="minorHAnsi" w:hAnsiTheme="minorHAnsi" w:cstheme="minorHAnsi"/>
        </w:rPr>
        <w:t xml:space="preserve">s elaborated in General Comment No. 12 (2009) on the </w:t>
      </w:r>
      <w:r w:rsidR="00A62CC2">
        <w:rPr>
          <w:rFonts w:asciiTheme="minorHAnsi" w:hAnsiTheme="minorHAnsi" w:cstheme="minorHAnsi"/>
        </w:rPr>
        <w:t>Ri</w:t>
      </w:r>
      <w:r w:rsidRPr="00E7687D">
        <w:rPr>
          <w:rFonts w:asciiTheme="minorHAnsi" w:hAnsiTheme="minorHAnsi" w:cstheme="minorHAnsi"/>
        </w:rPr>
        <w:t xml:space="preserve">ght of the </w:t>
      </w:r>
      <w:r w:rsidR="00A62CC2">
        <w:rPr>
          <w:rFonts w:asciiTheme="minorHAnsi" w:hAnsiTheme="minorHAnsi" w:cstheme="minorHAnsi"/>
        </w:rPr>
        <w:t>C</w:t>
      </w:r>
      <w:r w:rsidRPr="00E7687D">
        <w:rPr>
          <w:rFonts w:asciiTheme="minorHAnsi" w:hAnsiTheme="minorHAnsi" w:cstheme="minorHAnsi"/>
        </w:rPr>
        <w:t xml:space="preserve">hild to be </w:t>
      </w:r>
      <w:r w:rsidR="00A62CC2">
        <w:rPr>
          <w:rFonts w:asciiTheme="minorHAnsi" w:hAnsiTheme="minorHAnsi" w:cstheme="minorHAnsi"/>
        </w:rPr>
        <w:t>H</w:t>
      </w:r>
      <w:r w:rsidRPr="00E7687D">
        <w:rPr>
          <w:rFonts w:asciiTheme="minorHAnsi" w:hAnsiTheme="minorHAnsi" w:cstheme="minorHAnsi"/>
        </w:rPr>
        <w:t>eard</w:t>
      </w:r>
      <w:r>
        <w:rPr>
          <w:rFonts w:asciiTheme="minorHAnsi" w:hAnsiTheme="minorHAnsi" w:cstheme="minorHAnsi"/>
        </w:rPr>
        <w:t xml:space="preserve">. </w:t>
      </w:r>
      <w:r w:rsidRPr="00E7687D">
        <w:rPr>
          <w:rFonts w:asciiTheme="minorHAnsi" w:hAnsiTheme="minorHAnsi" w:cstheme="minorHAnsi"/>
        </w:rPr>
        <w:t>Specifically, that there be mechanisms to ensure children in alternative care are able to express their views and have those views given due weight</w:t>
      </w:r>
      <w:r>
        <w:rPr>
          <w:rFonts w:asciiTheme="minorHAnsi" w:hAnsiTheme="minorHAnsi" w:cstheme="minorHAnsi"/>
        </w:rPr>
        <w:t xml:space="preserve"> and that there be a</w:t>
      </w:r>
      <w:r w:rsidRPr="00E7687D">
        <w:rPr>
          <w:rFonts w:asciiTheme="minorHAnsi" w:hAnsiTheme="minorHAnsi" w:cstheme="minorHAnsi"/>
        </w:rPr>
        <w:t xml:space="preserve"> monitoring body mandated to have unimpeded access to residential facilities (including those for children in conflict with the law), hear the views and concerns of child</w:t>
      </w:r>
      <w:r>
        <w:rPr>
          <w:rFonts w:asciiTheme="minorHAnsi" w:hAnsiTheme="minorHAnsi" w:cstheme="minorHAnsi"/>
        </w:rPr>
        <w:t>ren</w:t>
      </w:r>
      <w:r w:rsidRPr="00E7687D">
        <w:rPr>
          <w:rFonts w:asciiTheme="minorHAnsi" w:hAnsiTheme="minorHAnsi" w:cstheme="minorHAnsi"/>
        </w:rPr>
        <w:t xml:space="preserve"> directly, and monitor the extent to which </w:t>
      </w:r>
      <w:r>
        <w:rPr>
          <w:rFonts w:asciiTheme="minorHAnsi" w:hAnsiTheme="minorHAnsi" w:cstheme="minorHAnsi"/>
        </w:rPr>
        <w:t>their</w:t>
      </w:r>
      <w:r w:rsidRPr="00E7687D">
        <w:rPr>
          <w:rFonts w:asciiTheme="minorHAnsi" w:hAnsiTheme="minorHAnsi" w:cstheme="minorHAnsi"/>
        </w:rPr>
        <w:t xml:space="preserve"> views are listened to and given due weight by the institution itself</w:t>
      </w:r>
      <w:r>
        <w:rPr>
          <w:rFonts w:asciiTheme="minorHAnsi" w:hAnsiTheme="minorHAnsi" w:cstheme="minorHAnsi"/>
        </w:rPr>
        <w:t xml:space="preserve"> - </w:t>
      </w:r>
      <w:r w:rsidRPr="006A0F87">
        <w:rPr>
          <w:rFonts w:asciiTheme="minorHAnsi" w:hAnsiTheme="minorHAnsi" w:cstheme="minorHAnsi"/>
          <w:lang w:val="mi-NZ"/>
        </w:rPr>
        <w:t>General Comment N</w:t>
      </w:r>
      <w:r>
        <w:rPr>
          <w:rFonts w:asciiTheme="minorHAnsi" w:hAnsiTheme="minorHAnsi" w:cstheme="minorHAnsi"/>
          <w:lang w:val="mi-NZ"/>
        </w:rPr>
        <w:t>o.</w:t>
      </w:r>
      <w:r w:rsidRPr="006A0F87">
        <w:rPr>
          <w:rFonts w:asciiTheme="minorHAnsi" w:hAnsiTheme="minorHAnsi" w:cstheme="minorHAnsi"/>
          <w:lang w:val="mi-NZ"/>
        </w:rPr>
        <w:t xml:space="preserve"> 12, para 97.</w:t>
      </w:r>
    </w:p>
  </w:footnote>
  <w:footnote w:id="193">
    <w:p w14:paraId="0514C869" w14:textId="77777777" w:rsidR="00DA492C" w:rsidRPr="009C7BBB" w:rsidRDefault="00DA492C" w:rsidP="00E20FF1">
      <w:pPr>
        <w:pStyle w:val="FootnoteText"/>
        <w:rPr>
          <w:rFonts w:asciiTheme="minorHAnsi" w:hAnsiTheme="minorHAnsi" w:cstheme="minorHAnsi"/>
          <w:lang w:val="mi-NZ"/>
        </w:rPr>
      </w:pPr>
      <w:r w:rsidRPr="009C7BBB">
        <w:rPr>
          <w:rStyle w:val="FootnoteReference"/>
          <w:rFonts w:asciiTheme="minorHAnsi" w:hAnsiTheme="minorHAnsi" w:cstheme="minorHAnsi"/>
        </w:rPr>
        <w:footnoteRef/>
      </w:r>
      <w:r w:rsidRPr="009C7BBB">
        <w:rPr>
          <w:rFonts w:asciiTheme="minorHAnsi" w:hAnsiTheme="minorHAnsi" w:cstheme="minorHAnsi"/>
        </w:rPr>
        <w:t xml:space="preserve"> </w:t>
      </w:r>
      <w:r w:rsidRPr="009C7BBB">
        <w:rPr>
          <w:rFonts w:asciiTheme="minorHAnsi" w:hAnsiTheme="minorHAnsi" w:cstheme="minorHAnsi"/>
          <w:lang w:val="mi-NZ"/>
        </w:rPr>
        <w:t>See Appendix Two for more information on the Oversight Bill 2021.</w:t>
      </w:r>
    </w:p>
  </w:footnote>
  <w:footnote w:id="194">
    <w:p w14:paraId="095912C1" w14:textId="38A2B1FD" w:rsidR="00DA492C" w:rsidRPr="003259B9" w:rsidRDefault="00DA492C" w:rsidP="00E20FF1">
      <w:pPr>
        <w:spacing w:after="0" w:line="240" w:lineRule="auto"/>
      </w:pPr>
      <w:r w:rsidRPr="006A0F87">
        <w:rPr>
          <w:rStyle w:val="FootnoteReference"/>
          <w:rFonts w:cstheme="minorHAnsi"/>
        </w:rPr>
        <w:footnoteRef/>
      </w:r>
      <w:r w:rsidRPr="006A0F87">
        <w:rPr>
          <w:rFonts w:cstheme="minorHAnsi"/>
        </w:rPr>
        <w:t xml:space="preserve"> </w:t>
      </w:r>
      <w:r w:rsidRPr="006A0F87">
        <w:rPr>
          <w:rFonts w:cstheme="minorHAnsi"/>
          <w:lang w:val="mi-NZ"/>
        </w:rPr>
        <w:t xml:space="preserve">Government </w:t>
      </w:r>
      <w:r>
        <w:rPr>
          <w:rFonts w:cstheme="minorHAnsi"/>
          <w:lang w:val="mi-NZ"/>
        </w:rPr>
        <w:t>R</w:t>
      </w:r>
      <w:r w:rsidRPr="006A0F87">
        <w:rPr>
          <w:rFonts w:cstheme="minorHAnsi"/>
          <w:lang w:val="mi-NZ"/>
        </w:rPr>
        <w:t>eport, para 247.</w:t>
      </w:r>
      <w:r w:rsidR="003259B9" w:rsidRPr="00CC003D">
        <w:rPr>
          <w:rFonts w:cstheme="minorHAnsi"/>
          <w:color w:val="25409A" w:themeColor="text2"/>
          <w:lang w:val="mi-NZ"/>
        </w:rPr>
        <w:t xml:space="preserve"> </w:t>
      </w:r>
      <w:hyperlink r:id="rId117" w:anchor=":~:text=Bill%20(No%202)-,Education%20and%20Training%20Act%202020%3A%20Enabling%20a%20new%20dispute%20resolution,review%20in%20the%20High%20Court" w:tooltip="https://www.education.govt.nz/our-work/legislation/education-and-training-act-2020/enabling-a-new-dispute-resolution-panel-to-hear-complaints-about-school-board-decisions/#:~:text=Bill%20(No%202)-,Education%20and%20Training%20Act%202020%3A%20Enabling%20a%20new" w:history="1">
        <w:r w:rsidR="003259B9" w:rsidRPr="00CC003D">
          <w:rPr>
            <w:rStyle w:val="Hyperlink"/>
            <w:rFonts w:cs="Arial"/>
            <w:color w:val="25409A" w:themeColor="text2"/>
          </w:rPr>
          <w:t>https://www.education.govt.nz/our-work/legislation/education-and-training-act-2020/enabling-a-new-dispute-resolution-panel-to-hear-complaints-about-school-board-decisions/#:~:text=Bill%20(No%202)-,Education%20and%20Training%20Act%202020%3A%20Enabling%20a%20new%20dispute%20resolution,review%20in%20the%20High%20Court</w:t>
        </w:r>
      </w:hyperlink>
    </w:p>
  </w:footnote>
  <w:footnote w:id="195">
    <w:p w14:paraId="77E17293" w14:textId="77777777" w:rsidR="00DA492C" w:rsidRPr="006A0F87" w:rsidRDefault="00DA492C" w:rsidP="00E20FF1">
      <w:pPr>
        <w:pStyle w:val="FootnoteText"/>
        <w:rPr>
          <w:rFonts w:asciiTheme="minorHAnsi" w:hAnsiTheme="minorHAnsi" w:cstheme="minorHAnsi"/>
          <w:lang w:val="mi-NZ"/>
        </w:rPr>
      </w:pPr>
      <w:r w:rsidRPr="006A0F87">
        <w:rPr>
          <w:rStyle w:val="FootnoteReference"/>
          <w:rFonts w:asciiTheme="minorHAnsi" w:hAnsiTheme="minorHAnsi" w:cstheme="minorHAnsi"/>
        </w:rPr>
        <w:footnoteRef/>
      </w:r>
      <w:r w:rsidRPr="006A0F87">
        <w:rPr>
          <w:rFonts w:asciiTheme="minorHAnsi" w:hAnsiTheme="minorHAnsi" w:cstheme="minorHAnsi"/>
        </w:rPr>
        <w:t xml:space="preserve"> </w:t>
      </w:r>
      <w:hyperlink r:id="rId118" w:history="1">
        <w:r w:rsidRPr="006A0F87">
          <w:rPr>
            <w:rStyle w:val="Hyperlink"/>
            <w:rFonts w:asciiTheme="minorHAnsi" w:hAnsiTheme="minorHAnsi" w:cstheme="minorHAnsi"/>
          </w:rPr>
          <w:t>https://www.rnz.co.nz/news/political/431942/climate-emergency-declaration-by-new-zealand-government-includes-commitment-to-2025-targets</w:t>
        </w:r>
      </w:hyperlink>
      <w:r w:rsidRPr="006A0F87">
        <w:rPr>
          <w:rFonts w:asciiTheme="minorHAnsi" w:hAnsiTheme="minorHAnsi" w:cstheme="minorHAnsi"/>
        </w:rPr>
        <w:t xml:space="preserve"> </w:t>
      </w:r>
    </w:p>
  </w:footnote>
  <w:footnote w:id="196">
    <w:p w14:paraId="1EF5659E" w14:textId="77777777" w:rsidR="00DA492C" w:rsidRPr="006A0F87" w:rsidRDefault="00DA492C" w:rsidP="00E20FF1">
      <w:pPr>
        <w:pStyle w:val="FootnoteText"/>
        <w:rPr>
          <w:rFonts w:asciiTheme="minorHAnsi" w:hAnsiTheme="minorHAnsi" w:cstheme="minorHAnsi"/>
          <w:lang w:val="mi-NZ"/>
        </w:rPr>
      </w:pPr>
      <w:r w:rsidRPr="006A0F87">
        <w:rPr>
          <w:rStyle w:val="FootnoteReference"/>
          <w:rFonts w:asciiTheme="minorHAnsi" w:hAnsiTheme="minorHAnsi" w:cstheme="minorHAnsi"/>
        </w:rPr>
        <w:footnoteRef/>
      </w:r>
      <w:r w:rsidRPr="006A0F87">
        <w:rPr>
          <w:rFonts w:asciiTheme="minorHAnsi" w:hAnsiTheme="minorHAnsi" w:cstheme="minorHAnsi"/>
        </w:rPr>
        <w:t xml:space="preserve"> </w:t>
      </w:r>
      <w:r w:rsidRPr="006A0F87">
        <w:rPr>
          <w:rFonts w:asciiTheme="minorHAnsi" w:hAnsiTheme="minorHAnsi" w:cstheme="minorHAnsi"/>
          <w:lang w:val="mi-NZ"/>
        </w:rPr>
        <w:t xml:space="preserve">CRC/C/GC/12/, paras 125-126: </w:t>
      </w:r>
      <w:r w:rsidRPr="006A0F87">
        <w:rPr>
          <w:rFonts w:asciiTheme="minorHAnsi" w:hAnsiTheme="minorHAnsi" w:cstheme="minorHAnsi"/>
          <w:color w:val="000000"/>
        </w:rPr>
        <w:t xml:space="preserve">“children affected by emergencies should be encouraged and enabled to participate in analysing their situation and future prospects. Children’s participation helps them to regain control over their lives, contributes to rehabilitation, develops organisational </w:t>
      </w:r>
      <w:proofErr w:type="gramStart"/>
      <w:r w:rsidRPr="006A0F87">
        <w:rPr>
          <w:rFonts w:asciiTheme="minorHAnsi" w:hAnsiTheme="minorHAnsi" w:cstheme="minorHAnsi"/>
          <w:color w:val="000000"/>
        </w:rPr>
        <w:t>abilities</w:t>
      </w:r>
      <w:proofErr w:type="gramEnd"/>
      <w:r w:rsidRPr="006A0F87">
        <w:rPr>
          <w:rFonts w:asciiTheme="minorHAnsi" w:hAnsiTheme="minorHAnsi" w:cstheme="minorHAnsi"/>
          <w:color w:val="000000"/>
        </w:rPr>
        <w:t xml:space="preserve"> and strengthens a sense of identity.”</w:t>
      </w:r>
    </w:p>
  </w:footnote>
  <w:footnote w:id="197">
    <w:p w14:paraId="1740AD4F" w14:textId="77777777" w:rsidR="00DA492C" w:rsidRPr="009A08E7" w:rsidRDefault="00DA492C" w:rsidP="00E20FF1">
      <w:pPr>
        <w:pStyle w:val="FootnoteText"/>
        <w:rPr>
          <w:lang w:val="mi-NZ"/>
        </w:rPr>
      </w:pPr>
      <w:r>
        <w:rPr>
          <w:rStyle w:val="FootnoteReference"/>
        </w:rPr>
        <w:footnoteRef/>
      </w:r>
      <w:r>
        <w:t xml:space="preserve"> </w:t>
      </w:r>
      <w:hyperlink r:id="rId119" w:history="1">
        <w:r w:rsidRPr="009A08E7">
          <w:rPr>
            <w:rStyle w:val="Hyperlink"/>
            <w:rFonts w:asciiTheme="minorHAnsi" w:hAnsiTheme="minorHAnsi" w:cstheme="minorHAnsi"/>
          </w:rPr>
          <w:t>https://environment.govt.nz/what-government-is-doing/areas-of-work/climate-change/emissions-reduction-plan/</w:t>
        </w:r>
      </w:hyperlink>
      <w:r>
        <w:t xml:space="preserve"> </w:t>
      </w:r>
    </w:p>
  </w:footnote>
  <w:footnote w:id="198">
    <w:p w14:paraId="638DD2CC" w14:textId="77777777" w:rsidR="00824550" w:rsidRPr="006A0F87" w:rsidRDefault="00824550" w:rsidP="00E20FF1">
      <w:pPr>
        <w:pStyle w:val="FootnoteText"/>
        <w:rPr>
          <w:rFonts w:asciiTheme="minorHAnsi" w:hAnsiTheme="minorHAnsi" w:cstheme="minorHAnsi"/>
          <w:lang w:val="mi-NZ"/>
        </w:rPr>
      </w:pPr>
      <w:r w:rsidRPr="006A0F87">
        <w:rPr>
          <w:rStyle w:val="FootnoteReference"/>
          <w:rFonts w:asciiTheme="minorHAnsi" w:eastAsiaTheme="majorEastAsia" w:hAnsiTheme="minorHAnsi" w:cstheme="minorHAnsi"/>
        </w:rPr>
        <w:footnoteRef/>
      </w:r>
      <w:r w:rsidRPr="006A0F87">
        <w:rPr>
          <w:rFonts w:asciiTheme="minorHAnsi" w:hAnsiTheme="minorHAnsi" w:cstheme="minorHAnsi"/>
        </w:rPr>
        <w:t xml:space="preserve"> </w:t>
      </w:r>
      <w:r>
        <w:rPr>
          <w:rFonts w:asciiTheme="minorHAnsi" w:hAnsiTheme="minorHAnsi" w:cstheme="minorHAnsi"/>
        </w:rPr>
        <w:t xml:space="preserve">L </w:t>
      </w:r>
      <w:r w:rsidRPr="006A0F87">
        <w:rPr>
          <w:rFonts w:asciiTheme="minorHAnsi" w:hAnsiTheme="minorHAnsi" w:cstheme="minorHAnsi"/>
          <w:lang w:val="mi-NZ"/>
        </w:rPr>
        <w:t>Rameka (2016</w:t>
      </w:r>
      <w:r w:rsidRPr="006A0F87">
        <w:rPr>
          <w:rFonts w:asciiTheme="minorHAnsi" w:hAnsiTheme="minorHAnsi" w:cstheme="minorHAnsi"/>
          <w:lang w:val="mi-NZ"/>
        </w:rPr>
        <w:t>)</w:t>
      </w:r>
      <w:r>
        <w:fldChar w:fldCharType="begin"/>
      </w:r>
      <w:r>
        <w:instrText xml:space="preserve"> HYPERLINK "https://core.ac.uk/reader/85165388" </w:instrText>
      </w:r>
      <w:r>
        <w:fldChar w:fldCharType="separate"/>
      </w:r>
      <w:r w:rsidRPr="006A0F87">
        <w:rPr>
          <w:rStyle w:val="Hyperlink"/>
          <w:rFonts w:asciiTheme="minorHAnsi" w:eastAsiaTheme="majorEastAsia" w:hAnsiTheme="minorHAnsi" w:cstheme="minorHAnsi"/>
          <w:lang w:val="mi-NZ"/>
        </w:rPr>
        <w:t xml:space="preserve">. </w:t>
      </w:r>
      <w:r w:rsidRPr="006A0F87">
        <w:rPr>
          <w:rStyle w:val="Hyperlink"/>
          <w:rFonts w:asciiTheme="minorHAnsi" w:eastAsiaTheme="majorEastAsia" w:hAnsiTheme="minorHAnsi" w:cstheme="minorHAnsi"/>
          <w:lang w:val="mi-NZ"/>
        </w:rPr>
        <w:t>Kia whakatōmuri te haere whakamua: ‘I wallk backwards into the future with my eyes fixed on the my past</w:t>
      </w:r>
      <w:r>
        <w:rPr>
          <w:rStyle w:val="Hyperlink"/>
          <w:rFonts w:asciiTheme="minorHAnsi" w:eastAsiaTheme="majorEastAsia" w:hAnsiTheme="minorHAnsi" w:cstheme="minorHAnsi"/>
          <w:lang w:val="mi-NZ"/>
        </w:rPr>
        <w:fldChar w:fldCharType="end"/>
      </w:r>
      <w:r w:rsidRPr="006A0F87">
        <w:rPr>
          <w:rFonts w:asciiTheme="minorHAnsi" w:hAnsiTheme="minorHAnsi" w:cstheme="minorHAnsi"/>
          <w:lang w:val="mi-NZ"/>
        </w:rPr>
        <w:t>.</w:t>
      </w:r>
    </w:p>
  </w:footnote>
  <w:footnote w:id="199">
    <w:p w14:paraId="52DCD305" w14:textId="0322E8C5" w:rsidR="00824550" w:rsidRPr="00105156" w:rsidRDefault="00824550" w:rsidP="00105156">
      <w:pPr>
        <w:pStyle w:val="FootnoteText"/>
        <w:jc w:val="both"/>
        <w:rPr>
          <w:color w:val="000000"/>
        </w:rPr>
      </w:pPr>
      <w:r w:rsidRPr="006A0F87">
        <w:rPr>
          <w:rStyle w:val="FootnoteReference"/>
          <w:rFonts w:asciiTheme="minorHAnsi" w:eastAsiaTheme="majorEastAsia" w:hAnsiTheme="minorHAnsi" w:cstheme="minorHAnsi"/>
        </w:rPr>
        <w:footnoteRef/>
      </w:r>
      <w:r w:rsidRPr="006A0F87">
        <w:rPr>
          <w:rFonts w:asciiTheme="minorHAnsi" w:hAnsiTheme="minorHAnsi" w:cstheme="minorHAnsi"/>
        </w:rPr>
        <w:t xml:space="preserve"> </w:t>
      </w:r>
      <w:r w:rsidR="00105156" w:rsidRPr="00105156">
        <w:rPr>
          <w:rFonts w:ascii="Verdana" w:hAnsi="Verdana"/>
          <w:color w:val="000000"/>
        </w:rPr>
        <w:t>United Nations Sub-Group on Indigenous Children and Young People. (2006).</w:t>
      </w:r>
      <w:r w:rsidR="00105156" w:rsidRPr="00105156">
        <w:rPr>
          <w:rStyle w:val="apple-converted-space"/>
          <w:rFonts w:ascii="Verdana" w:hAnsi="Verdana"/>
          <w:color w:val="000000"/>
        </w:rPr>
        <w:t> </w:t>
      </w:r>
      <w:hyperlink r:id="rId120" w:tooltip="https://epub.sub.uni-hamburg.de/epub/volltexte/2009/1029/pdf/ISGReport.pdf" w:history="1">
        <w:r w:rsidR="00105156" w:rsidRPr="00CC003D">
          <w:rPr>
            <w:rStyle w:val="Hyperlink"/>
            <w:rFonts w:ascii="Verdana" w:hAnsi="Verdana"/>
            <w:color w:val="25409A" w:themeColor="text2"/>
          </w:rPr>
          <w:t>Indigenous Children: Rights and Reality – a Report on Indigenous Children and the U.N. Convention on the Rights of the Child</w:t>
        </w:r>
      </w:hyperlink>
      <w:r w:rsidR="00105156" w:rsidRPr="00CC003D">
        <w:rPr>
          <w:rFonts w:ascii="Verdana" w:hAnsi="Verdana"/>
          <w:color w:val="25409A" w:themeColor="text2"/>
        </w:rPr>
        <w:t>.</w:t>
      </w:r>
    </w:p>
  </w:footnote>
  <w:footnote w:id="200">
    <w:p w14:paraId="7C984AC4" w14:textId="0925A830" w:rsidR="00824550" w:rsidRPr="006A0F87" w:rsidRDefault="00824550" w:rsidP="00E20FF1">
      <w:pPr>
        <w:pStyle w:val="FootnoteText"/>
        <w:rPr>
          <w:rFonts w:asciiTheme="minorHAnsi" w:hAnsiTheme="minorHAnsi" w:cstheme="minorHAnsi"/>
          <w:lang w:val="mi-NZ"/>
        </w:rPr>
      </w:pPr>
      <w:r w:rsidRPr="006A0F87">
        <w:rPr>
          <w:rStyle w:val="FootnoteReference"/>
          <w:rFonts w:asciiTheme="minorHAnsi" w:eastAsiaTheme="majorEastAsia" w:hAnsiTheme="minorHAnsi" w:cstheme="minorHAnsi"/>
        </w:rPr>
        <w:footnoteRef/>
      </w:r>
      <w:r w:rsidRPr="006A0F87">
        <w:rPr>
          <w:rFonts w:asciiTheme="minorHAnsi" w:hAnsiTheme="minorHAnsi" w:cstheme="minorHAnsi"/>
        </w:rPr>
        <w:t xml:space="preserve"> Dr Rose Pere, cited in </w:t>
      </w:r>
      <w:r>
        <w:rPr>
          <w:rFonts w:asciiTheme="minorHAnsi" w:hAnsiTheme="minorHAnsi" w:cstheme="minorHAnsi"/>
        </w:rPr>
        <w:t xml:space="preserve">P </w:t>
      </w:r>
      <w:r w:rsidRPr="006A0F87">
        <w:rPr>
          <w:rFonts w:asciiTheme="minorHAnsi" w:hAnsiTheme="minorHAnsi" w:cstheme="minorHAnsi"/>
        </w:rPr>
        <w:t xml:space="preserve">King, </w:t>
      </w:r>
      <w:r>
        <w:rPr>
          <w:rFonts w:asciiTheme="minorHAnsi" w:hAnsiTheme="minorHAnsi" w:cstheme="minorHAnsi"/>
        </w:rPr>
        <w:t xml:space="preserve">D </w:t>
      </w:r>
      <w:r w:rsidRPr="006A0F87">
        <w:rPr>
          <w:rFonts w:asciiTheme="minorHAnsi" w:hAnsiTheme="minorHAnsi" w:cstheme="minorHAnsi"/>
        </w:rPr>
        <w:t>Cormack</w:t>
      </w:r>
      <w:r>
        <w:rPr>
          <w:rFonts w:asciiTheme="minorHAnsi" w:hAnsiTheme="minorHAnsi" w:cstheme="minorHAnsi"/>
        </w:rPr>
        <w:t xml:space="preserve"> </w:t>
      </w:r>
      <w:r w:rsidRPr="006A0F87">
        <w:rPr>
          <w:rFonts w:asciiTheme="minorHAnsi" w:hAnsiTheme="minorHAnsi" w:cstheme="minorHAnsi"/>
        </w:rPr>
        <w:t xml:space="preserve">&amp; </w:t>
      </w:r>
      <w:r>
        <w:rPr>
          <w:rFonts w:asciiTheme="minorHAnsi" w:hAnsiTheme="minorHAnsi" w:cstheme="minorHAnsi"/>
        </w:rPr>
        <w:t xml:space="preserve">M </w:t>
      </w:r>
      <w:proofErr w:type="spellStart"/>
      <w:r w:rsidRPr="006A0F87">
        <w:rPr>
          <w:rFonts w:asciiTheme="minorHAnsi" w:hAnsiTheme="minorHAnsi" w:cstheme="minorHAnsi"/>
        </w:rPr>
        <w:t>Kōpua</w:t>
      </w:r>
      <w:proofErr w:type="spellEnd"/>
      <w:r w:rsidRPr="006A0F87">
        <w:rPr>
          <w:rFonts w:asciiTheme="minorHAnsi" w:hAnsiTheme="minorHAnsi" w:cstheme="minorHAnsi"/>
        </w:rPr>
        <w:t xml:space="preserve"> (2018) </w:t>
      </w:r>
      <w:hyperlink r:id="rId121" w:history="1">
        <w:r w:rsidRPr="006A0F87">
          <w:rPr>
            <w:rStyle w:val="Hyperlink"/>
            <w:rFonts w:asciiTheme="minorHAnsi" w:eastAsiaTheme="majorEastAsia" w:hAnsiTheme="minorHAnsi" w:cstheme="minorHAnsi"/>
          </w:rPr>
          <w:t xml:space="preserve">Oranga </w:t>
        </w:r>
        <w:proofErr w:type="spellStart"/>
        <w:r w:rsidRPr="006A0F87">
          <w:rPr>
            <w:rStyle w:val="Hyperlink"/>
            <w:rFonts w:asciiTheme="minorHAnsi" w:eastAsiaTheme="majorEastAsia" w:hAnsiTheme="minorHAnsi" w:cstheme="minorHAnsi"/>
          </w:rPr>
          <w:t>mokopuna</w:t>
        </w:r>
        <w:proofErr w:type="spellEnd"/>
        <w:r w:rsidRPr="006A0F87">
          <w:rPr>
            <w:rStyle w:val="Hyperlink"/>
            <w:rFonts w:asciiTheme="minorHAnsi" w:eastAsiaTheme="majorEastAsia" w:hAnsiTheme="minorHAnsi" w:cstheme="minorHAnsi"/>
          </w:rPr>
          <w:t xml:space="preserve">: A </w:t>
        </w:r>
        <w:proofErr w:type="spellStart"/>
        <w:r w:rsidRPr="006A0F87">
          <w:rPr>
            <w:rStyle w:val="Hyperlink"/>
            <w:rFonts w:asciiTheme="minorHAnsi" w:eastAsiaTheme="majorEastAsia" w:hAnsiTheme="minorHAnsi" w:cstheme="minorHAnsi"/>
          </w:rPr>
          <w:t>tāngata</w:t>
        </w:r>
        <w:proofErr w:type="spellEnd"/>
        <w:r w:rsidRPr="006A0F87">
          <w:rPr>
            <w:rStyle w:val="Hyperlink"/>
            <w:rFonts w:asciiTheme="minorHAnsi" w:eastAsiaTheme="majorEastAsia" w:hAnsiTheme="minorHAnsi" w:cstheme="minorHAnsi"/>
          </w:rPr>
          <w:t xml:space="preserve"> whenua rights-based approach to health and wellbeing</w:t>
        </w:r>
      </w:hyperlink>
      <w:r w:rsidRPr="006A0F87">
        <w:rPr>
          <w:rFonts w:asciiTheme="minorHAnsi" w:hAnsiTheme="minorHAnsi" w:cstheme="minorHAnsi"/>
        </w:rPr>
        <w:t>.</w:t>
      </w:r>
    </w:p>
  </w:footnote>
  <w:footnote w:id="201">
    <w:p w14:paraId="79794D3E" w14:textId="29BD8D95" w:rsidR="00824550" w:rsidRPr="003F2D0D" w:rsidRDefault="00824550" w:rsidP="003F2D0D">
      <w:pPr>
        <w:spacing w:after="0" w:line="240" w:lineRule="auto"/>
        <w:rPr>
          <w:rFonts w:cstheme="minorHAnsi"/>
          <w:lang w:val="mi-NZ"/>
        </w:rPr>
      </w:pPr>
      <w:r w:rsidRPr="006A0F87">
        <w:rPr>
          <w:rStyle w:val="FootnoteReference"/>
          <w:rFonts w:cstheme="minorHAnsi"/>
        </w:rPr>
        <w:footnoteRef/>
      </w:r>
      <w:r w:rsidRPr="006A0F87">
        <w:rPr>
          <w:rFonts w:cstheme="minorHAnsi"/>
        </w:rPr>
        <w:t xml:space="preserve"> </w:t>
      </w:r>
      <w:r w:rsidRPr="006A0F87">
        <w:rPr>
          <w:rFonts w:cstheme="minorHAnsi"/>
          <w:shd w:val="clear" w:color="auto" w:fill="FFFFFF"/>
        </w:rPr>
        <w:t xml:space="preserve">See </w:t>
      </w:r>
      <w:r w:rsidR="003F2D0D">
        <w:rPr>
          <w:lang w:val="mi-NZ"/>
        </w:rPr>
        <w:t xml:space="preserve">the </w:t>
      </w:r>
      <w:r w:rsidR="003F2D0D" w:rsidRPr="00D9504F">
        <w:rPr>
          <w:rFonts w:cstheme="minorHAnsi"/>
          <w:lang w:val="mi-NZ"/>
        </w:rPr>
        <w:t>Rights of Tamariki Māori in Aotearoa New Zealand Thematic Report</w:t>
      </w:r>
      <w:r w:rsidRPr="006A0F87">
        <w:rPr>
          <w:rFonts w:cstheme="minorHAnsi"/>
          <w:shd w:val="clear" w:color="auto" w:fill="FFFFFF"/>
        </w:rPr>
        <w:t>.</w:t>
      </w:r>
    </w:p>
  </w:footnote>
  <w:footnote w:id="202">
    <w:p w14:paraId="3D953018" w14:textId="04B1FADB" w:rsidR="00824550" w:rsidRPr="00D357C9" w:rsidRDefault="00824550" w:rsidP="00E20FF1">
      <w:pPr>
        <w:pStyle w:val="FootnoteText"/>
        <w:rPr>
          <w:rFonts w:asciiTheme="minorHAnsi" w:hAnsiTheme="minorHAnsi" w:cstheme="minorHAnsi"/>
          <w:lang w:val="mi-NZ"/>
        </w:rPr>
      </w:pPr>
      <w:r w:rsidRPr="00D357C9">
        <w:rPr>
          <w:rStyle w:val="FootnoteReference"/>
          <w:rFonts w:asciiTheme="minorHAnsi" w:hAnsiTheme="minorHAnsi" w:cstheme="minorHAnsi"/>
        </w:rPr>
        <w:footnoteRef/>
      </w:r>
      <w:r w:rsidRPr="00D357C9">
        <w:rPr>
          <w:rFonts w:asciiTheme="minorHAnsi" w:hAnsiTheme="minorHAnsi" w:cstheme="minorHAnsi"/>
        </w:rPr>
        <w:t xml:space="preserve"> </w:t>
      </w:r>
      <w:r w:rsidRPr="00D357C9">
        <w:rPr>
          <w:rFonts w:asciiTheme="minorHAnsi" w:hAnsiTheme="minorHAnsi" w:cstheme="minorHAnsi"/>
          <w:lang w:val="mi-NZ"/>
        </w:rPr>
        <w:t xml:space="preserve">Te Aka Matua O Te Ture/Law Commission (2022) </w:t>
      </w:r>
      <w:r w:rsidRPr="00D357C9">
        <w:rPr>
          <w:rFonts w:asciiTheme="minorHAnsi" w:hAnsiTheme="minorHAnsi" w:cstheme="minorHAnsi"/>
          <w:i/>
          <w:iCs/>
          <w:lang w:val="mi-NZ"/>
        </w:rPr>
        <w:t>Te Kōpū Whāngai: He Arotake/ Review of Surrogacy</w:t>
      </w:r>
      <w:r>
        <w:rPr>
          <w:rFonts w:asciiTheme="minorHAnsi" w:hAnsiTheme="minorHAnsi" w:cstheme="minorHAnsi"/>
          <w:lang w:val="mi-NZ"/>
        </w:rPr>
        <w:t>,</w:t>
      </w:r>
      <w:r w:rsidRPr="00D357C9">
        <w:rPr>
          <w:rFonts w:asciiTheme="minorHAnsi" w:hAnsiTheme="minorHAnsi" w:cstheme="minorHAnsi"/>
          <w:lang w:val="mi-NZ"/>
        </w:rPr>
        <w:t xml:space="preserve"> at para 2.72.</w:t>
      </w:r>
    </w:p>
  </w:footnote>
  <w:footnote w:id="203">
    <w:p w14:paraId="1F62EA34" w14:textId="77777777" w:rsidR="00824550" w:rsidRPr="00331A00" w:rsidRDefault="00824550" w:rsidP="00E20FF1">
      <w:pPr>
        <w:pStyle w:val="FootnoteText"/>
        <w:rPr>
          <w:lang w:val="mi-NZ"/>
        </w:rPr>
      </w:pPr>
      <w:r>
        <w:rPr>
          <w:rStyle w:val="FootnoteReference"/>
        </w:rPr>
        <w:footnoteRef/>
      </w:r>
      <w:r>
        <w:t xml:space="preserve"> </w:t>
      </w:r>
      <w:r w:rsidRPr="00331A00">
        <w:rPr>
          <w:rFonts w:asciiTheme="minorHAnsi" w:hAnsiTheme="minorHAnsi" w:cstheme="minorHAnsi"/>
        </w:rPr>
        <w:t>Ibid.</w:t>
      </w:r>
    </w:p>
  </w:footnote>
  <w:footnote w:id="204">
    <w:p w14:paraId="30BF8C6E" w14:textId="36C474B1" w:rsidR="00824550" w:rsidRPr="008157E2" w:rsidRDefault="00824550" w:rsidP="00E20FF1">
      <w:pPr>
        <w:spacing w:after="0" w:line="240" w:lineRule="auto"/>
        <w:rPr>
          <w:rFonts w:cstheme="minorHAnsi"/>
          <w:lang w:val="mi-NZ"/>
        </w:rPr>
      </w:pPr>
      <w:r>
        <w:rPr>
          <w:rStyle w:val="FootnoteReference"/>
        </w:rPr>
        <w:footnoteRef/>
      </w:r>
      <w:r>
        <w:t xml:space="preserve"> </w:t>
      </w:r>
      <w:r>
        <w:rPr>
          <w:lang w:val="mi-NZ"/>
        </w:rPr>
        <w:t xml:space="preserve"> </w:t>
      </w:r>
      <w:r w:rsidR="008157E2">
        <w:rPr>
          <w:lang w:val="mi-NZ"/>
        </w:rPr>
        <w:t xml:space="preserve">See the </w:t>
      </w:r>
      <w:r w:rsidR="008157E2" w:rsidRPr="00D9504F">
        <w:rPr>
          <w:rFonts w:cstheme="minorHAnsi"/>
          <w:lang w:val="mi-NZ"/>
        </w:rPr>
        <w:t>Rights of Tamariki Māori in Aotearoa New Zealand Thematic Report.</w:t>
      </w:r>
    </w:p>
  </w:footnote>
  <w:footnote w:id="205">
    <w:p w14:paraId="3F7B3300" w14:textId="77777777" w:rsidR="00824550" w:rsidRPr="00D357C9" w:rsidRDefault="00824550" w:rsidP="00E20FF1">
      <w:pPr>
        <w:pStyle w:val="FootnoteText"/>
        <w:rPr>
          <w:rFonts w:asciiTheme="minorHAnsi" w:hAnsiTheme="minorHAnsi" w:cstheme="minorHAnsi"/>
          <w:lang w:val="mi-NZ"/>
        </w:rPr>
      </w:pPr>
      <w:r w:rsidRPr="00D357C9">
        <w:rPr>
          <w:rStyle w:val="FootnoteReference"/>
          <w:rFonts w:asciiTheme="minorHAnsi" w:hAnsiTheme="minorHAnsi" w:cstheme="minorHAnsi"/>
        </w:rPr>
        <w:footnoteRef/>
      </w:r>
      <w:r w:rsidRPr="00D357C9">
        <w:rPr>
          <w:rFonts w:asciiTheme="minorHAnsi" w:hAnsiTheme="minorHAnsi" w:cstheme="minorHAnsi"/>
        </w:rPr>
        <w:t xml:space="preserve"> </w:t>
      </w:r>
      <w:r w:rsidRPr="00D357C9">
        <w:rPr>
          <w:rFonts w:asciiTheme="minorHAnsi" w:hAnsiTheme="minorHAnsi" w:cstheme="minorHAnsi"/>
          <w:lang w:val="mi-NZ"/>
        </w:rPr>
        <w:t>UNDRIP, Article 1.</w:t>
      </w:r>
    </w:p>
  </w:footnote>
  <w:footnote w:id="206">
    <w:p w14:paraId="6E2421EC" w14:textId="77777777" w:rsidR="00824550" w:rsidRPr="00D357C9" w:rsidRDefault="00824550" w:rsidP="00E20FF1">
      <w:pPr>
        <w:spacing w:after="0" w:line="240" w:lineRule="auto"/>
        <w:rPr>
          <w:rFonts w:cstheme="minorHAnsi"/>
          <w:lang w:val="mi-NZ"/>
        </w:rPr>
      </w:pPr>
      <w:r w:rsidRPr="00D357C9">
        <w:rPr>
          <w:rStyle w:val="FootnoteReference"/>
          <w:rFonts w:cstheme="minorHAnsi"/>
        </w:rPr>
        <w:footnoteRef/>
      </w:r>
      <w:r w:rsidRPr="00D357C9">
        <w:rPr>
          <w:rFonts w:cstheme="minorHAnsi"/>
        </w:rPr>
        <w:t xml:space="preserve"> From a letter written to the Prime Minister </w:t>
      </w:r>
      <w:r>
        <w:rPr>
          <w:rFonts w:cstheme="minorHAnsi"/>
        </w:rPr>
        <w:t>by</w:t>
      </w:r>
      <w:r w:rsidRPr="00D357C9">
        <w:rPr>
          <w:rFonts w:cstheme="minorHAnsi"/>
        </w:rPr>
        <w:t xml:space="preserve"> a fiv</w:t>
      </w:r>
      <w:r>
        <w:rPr>
          <w:rFonts w:cstheme="minorHAnsi"/>
        </w:rPr>
        <w:t>e-</w:t>
      </w:r>
      <w:r w:rsidRPr="00D357C9">
        <w:rPr>
          <w:rFonts w:cstheme="minorHAnsi"/>
        </w:rPr>
        <w:t>year</w:t>
      </w:r>
      <w:r>
        <w:rPr>
          <w:rFonts w:cstheme="minorHAnsi"/>
        </w:rPr>
        <w:t>-</w:t>
      </w:r>
      <w:r w:rsidRPr="00D357C9">
        <w:rPr>
          <w:rFonts w:cstheme="minorHAnsi"/>
        </w:rPr>
        <w:t xml:space="preserve">old and her mother and shared by the Prime Minister in her 2022 </w:t>
      </w:r>
      <w:proofErr w:type="spellStart"/>
      <w:r w:rsidRPr="00D357C9">
        <w:rPr>
          <w:rFonts w:cstheme="minorHAnsi"/>
        </w:rPr>
        <w:t>Matariki</w:t>
      </w:r>
      <w:proofErr w:type="spellEnd"/>
      <w:r w:rsidRPr="00D357C9">
        <w:rPr>
          <w:rFonts w:cstheme="minorHAnsi"/>
        </w:rPr>
        <w:t xml:space="preserve"> speech:  </w:t>
      </w:r>
      <w:hyperlink r:id="rId122" w:history="1">
        <w:r w:rsidRPr="00D357C9">
          <w:rPr>
            <w:rStyle w:val="Hyperlink"/>
            <w:rFonts w:eastAsiaTheme="majorEastAsia" w:cstheme="minorHAnsi"/>
            <w:lang w:val="mi-NZ"/>
          </w:rPr>
          <w:t>https://www.beehive.govt.nz/speech/prime-minister%E2%80%99s-matariki-speech-2022</w:t>
        </w:r>
      </w:hyperlink>
      <w:r>
        <w:rPr>
          <w:rFonts w:cstheme="minorHAnsi"/>
          <w:lang w:val="mi-NZ"/>
        </w:rPr>
        <w:t xml:space="preserve">. </w:t>
      </w:r>
      <w:r>
        <w:rPr>
          <w:rFonts w:cstheme="minorHAnsi"/>
          <w:lang w:val="mi-NZ"/>
        </w:rPr>
        <w:t xml:space="preserve">Matariki is the Māori New Year </w:t>
      </w:r>
      <w:hyperlink r:id="rId123" w:history="1">
        <w:r w:rsidRPr="00F06804">
          <w:rPr>
            <w:rStyle w:val="Hyperlink"/>
            <w:rFonts w:cstheme="minorHAnsi"/>
            <w:lang w:val="mi-NZ"/>
          </w:rPr>
          <w:t>https://www.tepapa.govt.nz/discover-collections/read-watch-play/matariki-maori-new-year</w:t>
        </w:r>
      </w:hyperlink>
      <w:r>
        <w:rPr>
          <w:rFonts w:cstheme="minorHAnsi"/>
          <w:lang w:val="mi-NZ"/>
        </w:rPr>
        <w:t xml:space="preserve"> </w:t>
      </w:r>
    </w:p>
  </w:footnote>
  <w:footnote w:id="207">
    <w:p w14:paraId="43B567F2" w14:textId="77777777" w:rsidR="00824550" w:rsidRPr="00CC003D" w:rsidRDefault="00824550" w:rsidP="00E20FF1">
      <w:pPr>
        <w:pStyle w:val="FootnoteText"/>
        <w:rPr>
          <w:rFonts w:asciiTheme="minorHAnsi" w:hAnsiTheme="minorHAnsi" w:cstheme="minorHAnsi"/>
          <w:color w:val="25409A" w:themeColor="text2"/>
          <w:lang w:val="mi-NZ"/>
        </w:rPr>
      </w:pPr>
      <w:r w:rsidRPr="00D357C9">
        <w:rPr>
          <w:rStyle w:val="FootnoteReference"/>
          <w:rFonts w:asciiTheme="minorHAnsi" w:hAnsiTheme="minorHAnsi" w:cstheme="minorHAnsi"/>
        </w:rPr>
        <w:footnoteRef/>
      </w:r>
      <w:r w:rsidRPr="00D357C9">
        <w:rPr>
          <w:rFonts w:asciiTheme="minorHAnsi" w:hAnsiTheme="minorHAnsi" w:cstheme="minorHAnsi"/>
        </w:rPr>
        <w:t xml:space="preserve"> See how Brooklyn School in Wellington celebrates Matariki: </w:t>
      </w:r>
      <w:r w:rsidRPr="00D357C9">
        <w:rPr>
          <w:rFonts w:asciiTheme="minorHAnsi" w:eastAsiaTheme="minorHAnsi" w:hAnsiTheme="minorHAnsi" w:cstheme="minorHAnsi"/>
          <w:color w:val="000000"/>
          <w:lang w:val="en-GB" w:eastAsia="en-US"/>
        </w:rPr>
        <w:t xml:space="preserve"> </w:t>
      </w:r>
      <w:hyperlink r:id="rId124" w:history="1">
        <w:r w:rsidRPr="00CC003D">
          <w:rPr>
            <w:rFonts w:asciiTheme="minorHAnsi" w:eastAsiaTheme="minorHAnsi" w:hAnsiTheme="minorHAnsi" w:cstheme="minorHAnsi"/>
            <w:color w:val="25409A" w:themeColor="text2"/>
            <w:u w:val="single" w:color="094FD1"/>
            <w:lang w:val="en-GB" w:eastAsia="en-US"/>
          </w:rPr>
          <w:t>https://www.facebook.com/watch/?v=1569284796429557</w:t>
        </w:r>
      </w:hyperlink>
      <w:r w:rsidRPr="00CC003D">
        <w:rPr>
          <w:rFonts w:asciiTheme="minorHAnsi" w:eastAsiaTheme="minorHAnsi" w:hAnsiTheme="minorHAnsi" w:cstheme="minorHAnsi"/>
          <w:color w:val="25409A" w:themeColor="text2"/>
          <w:lang w:val="en-GB" w:eastAsia="en-US"/>
        </w:rPr>
        <w:t xml:space="preserve"> </w:t>
      </w:r>
    </w:p>
  </w:footnote>
  <w:footnote w:id="208">
    <w:p w14:paraId="21617696" w14:textId="77777777" w:rsidR="00824550" w:rsidRPr="00D357C9" w:rsidRDefault="00824550" w:rsidP="00E20FF1">
      <w:pPr>
        <w:pStyle w:val="FootnoteText"/>
        <w:rPr>
          <w:rFonts w:asciiTheme="minorHAnsi" w:hAnsiTheme="minorHAnsi" w:cstheme="minorHAnsi"/>
          <w:lang w:val="mi-NZ"/>
        </w:rPr>
      </w:pPr>
      <w:r w:rsidRPr="00D357C9">
        <w:rPr>
          <w:rStyle w:val="FootnoteReference"/>
          <w:rFonts w:asciiTheme="minorHAnsi" w:hAnsiTheme="minorHAnsi" w:cstheme="minorHAnsi"/>
        </w:rPr>
        <w:footnoteRef/>
      </w:r>
      <w:r w:rsidRPr="00D357C9">
        <w:rPr>
          <w:rFonts w:asciiTheme="minorHAnsi" w:hAnsiTheme="minorHAnsi" w:cstheme="minorHAnsi"/>
        </w:rPr>
        <w:t xml:space="preserve"> As a result of petitions, including by children and young people</w:t>
      </w:r>
      <w:r>
        <w:rPr>
          <w:rFonts w:asciiTheme="minorHAnsi" w:hAnsiTheme="minorHAnsi" w:cstheme="minorHAnsi"/>
        </w:rPr>
        <w:t>,</w:t>
      </w:r>
      <w:r w:rsidRPr="00855D70">
        <w:rPr>
          <w:rFonts w:asciiTheme="minorHAnsi" w:hAnsiTheme="minorHAnsi" w:cstheme="minorHAnsi"/>
          <w:lang w:val="mi-NZ"/>
        </w:rPr>
        <w:t xml:space="preserve"> </w:t>
      </w:r>
      <w:r w:rsidRPr="00D357C9">
        <w:rPr>
          <w:rFonts w:asciiTheme="minorHAnsi" w:hAnsiTheme="minorHAnsi" w:cstheme="minorHAnsi"/>
          <w:lang w:val="mi-NZ"/>
        </w:rPr>
        <w:t xml:space="preserve">Aotearoa has recently begun teaching </w:t>
      </w:r>
      <w:r>
        <w:rPr>
          <w:rFonts w:asciiTheme="minorHAnsi" w:hAnsiTheme="minorHAnsi" w:cstheme="minorHAnsi"/>
          <w:lang w:val="mi-NZ"/>
        </w:rPr>
        <w:t>our</w:t>
      </w:r>
      <w:r w:rsidRPr="00D357C9">
        <w:rPr>
          <w:rFonts w:asciiTheme="minorHAnsi" w:hAnsiTheme="minorHAnsi" w:cstheme="minorHAnsi"/>
          <w:lang w:val="mi-NZ"/>
        </w:rPr>
        <w:t xml:space="preserve"> history in all schools</w:t>
      </w:r>
      <w:r w:rsidRPr="00D357C9">
        <w:rPr>
          <w:rFonts w:asciiTheme="minorHAnsi" w:hAnsiTheme="minorHAnsi" w:cstheme="minorHAnsi"/>
        </w:rPr>
        <w:t xml:space="preserve">: </w:t>
      </w:r>
      <w:hyperlink r:id="rId125" w:history="1">
        <w:r w:rsidRPr="00D357C9">
          <w:rPr>
            <w:rStyle w:val="Hyperlink"/>
            <w:rFonts w:asciiTheme="minorHAnsi" w:hAnsiTheme="minorHAnsi" w:cstheme="minorHAnsi"/>
          </w:rPr>
          <w:t>https://www.1news.co.nz/2019/09/13/former-otorohanga-college-girls-celebrating-role-they-played-in-govts-compulsory-nz-history-decision/</w:t>
        </w:r>
      </w:hyperlink>
      <w:r>
        <w:rPr>
          <w:rFonts w:asciiTheme="minorHAnsi" w:hAnsiTheme="minorHAnsi" w:cstheme="minorHAnsi"/>
          <w:lang w:val="mi-NZ"/>
        </w:rPr>
        <w:t xml:space="preserve">: </w:t>
      </w:r>
      <w:hyperlink r:id="rId126" w:history="1">
        <w:r w:rsidRPr="00247584">
          <w:rPr>
            <w:rStyle w:val="Hyperlink"/>
            <w:rFonts w:asciiTheme="minorHAnsi" w:hAnsiTheme="minorHAnsi" w:cstheme="minorHAnsi"/>
            <w:lang w:val="mi-NZ"/>
          </w:rPr>
          <w:t>https://www.education.govt.nz/our-work/changes-in-education/aotearoa-new-zealands-histories-and-te-takanga-o-te-wa/</w:t>
        </w:r>
      </w:hyperlink>
      <w:r w:rsidRPr="00D357C9">
        <w:rPr>
          <w:rFonts w:asciiTheme="minorHAnsi" w:hAnsiTheme="minorHAnsi" w:cstheme="minorHAnsi"/>
          <w:lang w:val="mi-NZ"/>
        </w:rPr>
        <w:t xml:space="preserve"> </w:t>
      </w:r>
    </w:p>
  </w:footnote>
  <w:footnote w:id="209">
    <w:p w14:paraId="5E5C1EF8" w14:textId="77777777" w:rsidR="00614414" w:rsidRPr="00D357C9" w:rsidRDefault="00614414" w:rsidP="00E20FF1">
      <w:pPr>
        <w:pStyle w:val="FootnoteText"/>
        <w:rPr>
          <w:rFonts w:asciiTheme="minorHAnsi" w:hAnsiTheme="minorHAnsi" w:cstheme="minorHAnsi"/>
          <w:lang w:val="mi-NZ"/>
        </w:rPr>
      </w:pPr>
      <w:r w:rsidRPr="00D357C9">
        <w:rPr>
          <w:rStyle w:val="FootnoteReference"/>
          <w:rFonts w:asciiTheme="minorHAnsi" w:hAnsiTheme="minorHAnsi" w:cstheme="minorHAnsi"/>
        </w:rPr>
        <w:footnoteRef/>
      </w:r>
      <w:r>
        <w:rPr>
          <w:rFonts w:asciiTheme="minorHAnsi" w:hAnsiTheme="minorHAnsi" w:cstheme="minorHAnsi"/>
        </w:rPr>
        <w:t xml:space="preserve"> </w:t>
      </w:r>
      <w:r w:rsidRPr="00E7687D">
        <w:rPr>
          <w:rFonts w:asciiTheme="minorHAnsi" w:hAnsiTheme="minorHAnsi" w:cstheme="minorHAnsi"/>
          <w:lang w:val="mi-NZ"/>
        </w:rPr>
        <w:t xml:space="preserve">Under </w:t>
      </w:r>
      <w:r>
        <w:rPr>
          <w:rFonts w:asciiTheme="minorHAnsi" w:hAnsiTheme="minorHAnsi" w:cstheme="minorHAnsi"/>
          <w:lang w:val="mi-NZ"/>
        </w:rPr>
        <w:t>the Privacy Act 2020,</w:t>
      </w:r>
      <w:r w:rsidRPr="00E7687D">
        <w:rPr>
          <w:rFonts w:asciiTheme="minorHAnsi" w:hAnsiTheme="minorHAnsi" w:cstheme="minorHAnsi"/>
          <w:lang w:val="mi-NZ"/>
        </w:rPr>
        <w:t xml:space="preserve"> collection of information must be lawful, fair and reasonable, requiring care to address any power imbalance and genuine consent, or authorisation of their family</w:t>
      </w:r>
      <w:r>
        <w:rPr>
          <w:rFonts w:asciiTheme="minorHAnsi" w:hAnsiTheme="minorHAnsi" w:cstheme="minorHAnsi"/>
          <w:lang w:val="mi-NZ"/>
        </w:rPr>
        <w:t>,</w:t>
      </w:r>
      <w:r w:rsidRPr="00E7687D">
        <w:rPr>
          <w:rFonts w:asciiTheme="minorHAnsi" w:hAnsiTheme="minorHAnsi" w:cstheme="minorHAnsi"/>
          <w:lang w:val="mi-NZ"/>
        </w:rPr>
        <w:t xml:space="preserve"> when collecting information from children</w:t>
      </w:r>
      <w:r w:rsidRPr="00D357C9">
        <w:rPr>
          <w:rFonts w:asciiTheme="minorHAnsi" w:hAnsiTheme="minorHAnsi" w:cstheme="minorHAnsi"/>
        </w:rPr>
        <w:t xml:space="preserve"> </w:t>
      </w:r>
      <w:hyperlink r:id="rId127" w:history="1">
        <w:r w:rsidRPr="00D357C9">
          <w:rPr>
            <w:rStyle w:val="Hyperlink"/>
            <w:rFonts w:asciiTheme="minorHAnsi" w:hAnsiTheme="minorHAnsi" w:cstheme="minorHAnsi"/>
          </w:rPr>
          <w:t>https://www.privacy.org.nz/privacy-act-2020/privacy-principles/4/</w:t>
        </w:r>
      </w:hyperlink>
      <w:r w:rsidRPr="00D357C9">
        <w:rPr>
          <w:rFonts w:asciiTheme="minorHAnsi" w:hAnsiTheme="minorHAnsi" w:cstheme="minorHAnsi"/>
        </w:rPr>
        <w:t xml:space="preserve"> </w:t>
      </w:r>
    </w:p>
  </w:footnote>
  <w:footnote w:id="210">
    <w:p w14:paraId="52AB7080" w14:textId="77777777" w:rsidR="00614414" w:rsidRPr="00D357C9" w:rsidRDefault="00614414" w:rsidP="00E20FF1">
      <w:pPr>
        <w:pStyle w:val="FootnoteText"/>
        <w:rPr>
          <w:rFonts w:asciiTheme="minorHAnsi" w:hAnsiTheme="minorHAnsi" w:cstheme="minorHAnsi"/>
          <w:lang w:val="mi-NZ"/>
        </w:rPr>
      </w:pPr>
      <w:r w:rsidRPr="00D357C9">
        <w:rPr>
          <w:rStyle w:val="FootnoteReference"/>
          <w:rFonts w:asciiTheme="minorHAnsi" w:hAnsiTheme="minorHAnsi" w:cstheme="minorHAnsi"/>
        </w:rPr>
        <w:footnoteRef/>
      </w:r>
      <w:r w:rsidRPr="00D357C9">
        <w:rPr>
          <w:rFonts w:asciiTheme="minorHAnsi" w:hAnsiTheme="minorHAnsi" w:cstheme="minorHAnsi"/>
        </w:rPr>
        <w:t xml:space="preserve"> </w:t>
      </w:r>
      <w:r w:rsidRPr="00D357C9">
        <w:rPr>
          <w:rFonts w:asciiTheme="minorHAnsi" w:hAnsiTheme="minorHAnsi" w:cstheme="minorHAnsi"/>
          <w:lang w:val="mi-NZ"/>
        </w:rPr>
        <w:t>Independent Police Conduct Authority.</w:t>
      </w:r>
    </w:p>
  </w:footnote>
  <w:footnote w:id="211">
    <w:p w14:paraId="1607CC46" w14:textId="77777777" w:rsidR="00614414" w:rsidRPr="00D357C9" w:rsidRDefault="00614414" w:rsidP="00E20FF1">
      <w:pPr>
        <w:spacing w:after="0" w:line="240" w:lineRule="auto"/>
        <w:rPr>
          <w:rFonts w:cstheme="minorHAnsi"/>
          <w:lang w:val="mi-NZ"/>
        </w:rPr>
      </w:pPr>
      <w:r w:rsidRPr="00D357C9">
        <w:rPr>
          <w:rStyle w:val="FootnoteReference"/>
          <w:rFonts w:cstheme="minorHAnsi"/>
        </w:rPr>
        <w:footnoteRef/>
      </w:r>
      <w:r w:rsidRPr="00D357C9">
        <w:rPr>
          <w:rFonts w:cstheme="minorHAnsi"/>
        </w:rPr>
        <w:t xml:space="preserve"> </w:t>
      </w:r>
      <w:r w:rsidRPr="00D357C9">
        <w:rPr>
          <w:rFonts w:cstheme="minorHAnsi"/>
          <w:lang w:val="mi-NZ"/>
        </w:rPr>
        <w:t xml:space="preserve"> </w:t>
      </w:r>
      <w:hyperlink r:id="rId128" w:history="1">
        <w:r w:rsidRPr="00D357C9">
          <w:rPr>
            <w:rStyle w:val="Hyperlink"/>
            <w:rFonts w:cstheme="minorHAnsi"/>
            <w:lang w:val="mi-NZ"/>
          </w:rPr>
          <w:t>https://www.rnz.co.nz/news/in-depth/437944/police-using-app-to-photograph-innocent-youth-it-s-so-wrong</w:t>
        </w:r>
      </w:hyperlink>
      <w:r w:rsidRPr="00D357C9">
        <w:rPr>
          <w:rFonts w:cstheme="minorHAnsi"/>
          <w:lang w:val="mi-NZ"/>
        </w:rPr>
        <w:t xml:space="preserve">; </w:t>
      </w:r>
      <w:r>
        <w:fldChar w:fldCharType="begin"/>
      </w:r>
      <w:r>
        <w:instrText xml:space="preserve"> HYPERLINK "https://www.stuff.co.nz/national/300248803/police-photographing-inquiry-extends-to-wider-publics-experiences" </w:instrText>
      </w:r>
      <w:r>
        <w:fldChar w:fldCharType="separate"/>
      </w:r>
      <w:r w:rsidRPr="00D357C9">
        <w:rPr>
          <w:rStyle w:val="Hyperlink"/>
          <w:rFonts w:cstheme="minorHAnsi"/>
          <w:lang w:val="mi-NZ"/>
        </w:rPr>
        <w:t>https://www.stuff.co.nz/national/300248803/police-photographing-inquiry-extends-to-wider-publics-experiences</w:t>
      </w:r>
      <w:r>
        <w:rPr>
          <w:rStyle w:val="Hyperlink"/>
          <w:rFonts w:cstheme="minorHAnsi"/>
          <w:lang w:val="mi-NZ"/>
        </w:rPr>
        <w:fldChar w:fldCharType="end"/>
      </w:r>
      <w:r w:rsidRPr="00D357C9">
        <w:rPr>
          <w:rFonts w:cstheme="minorHAnsi"/>
          <w:lang w:val="mi-NZ"/>
        </w:rPr>
        <w:t xml:space="preserve"> </w:t>
      </w:r>
    </w:p>
  </w:footnote>
  <w:footnote w:id="212">
    <w:p w14:paraId="443450E0" w14:textId="77777777" w:rsidR="00614414" w:rsidRPr="00D357C9" w:rsidRDefault="00614414" w:rsidP="00E20FF1">
      <w:pPr>
        <w:pStyle w:val="FootnoteText"/>
        <w:rPr>
          <w:rFonts w:asciiTheme="minorHAnsi" w:hAnsiTheme="minorHAnsi" w:cstheme="minorHAnsi"/>
          <w:lang w:val="mi-NZ"/>
        </w:rPr>
      </w:pPr>
      <w:r w:rsidRPr="00D357C9">
        <w:rPr>
          <w:rStyle w:val="FootnoteReference"/>
          <w:rFonts w:asciiTheme="minorHAnsi" w:hAnsiTheme="minorHAnsi" w:cstheme="minorHAnsi"/>
        </w:rPr>
        <w:footnoteRef/>
      </w:r>
      <w:r w:rsidRPr="00D357C9">
        <w:rPr>
          <w:rFonts w:asciiTheme="minorHAnsi" w:hAnsiTheme="minorHAnsi" w:cstheme="minorHAnsi"/>
        </w:rPr>
        <w:t xml:space="preserve"> </w:t>
      </w:r>
      <w:hyperlink r:id="rId129" w:history="1">
        <w:r w:rsidRPr="00D357C9">
          <w:rPr>
            <w:rStyle w:val="Hyperlink"/>
            <w:rFonts w:asciiTheme="minorHAnsi" w:hAnsiTheme="minorHAnsi" w:cstheme="minorHAnsi"/>
          </w:rPr>
          <w:t>https://www.rnz.co.nz/news/national/459415/police-to-no-longer-photograph-youth-unless-in-custody-barrister-concerned-arrests-of-maori-could-increase</w:t>
        </w:r>
      </w:hyperlink>
      <w:r w:rsidRPr="00D357C9">
        <w:rPr>
          <w:rFonts w:asciiTheme="minorHAnsi" w:hAnsiTheme="minorHAnsi" w:cstheme="minorHAnsi"/>
        </w:rPr>
        <w:t xml:space="preserve"> </w:t>
      </w:r>
    </w:p>
  </w:footnote>
  <w:footnote w:id="213">
    <w:p w14:paraId="260F8B1A" w14:textId="77777777" w:rsidR="00614414" w:rsidRPr="00D357C9" w:rsidRDefault="00614414" w:rsidP="00E20FF1">
      <w:pPr>
        <w:pStyle w:val="FootnoteText"/>
        <w:rPr>
          <w:rFonts w:asciiTheme="minorHAnsi" w:hAnsiTheme="minorHAnsi" w:cstheme="minorHAnsi"/>
          <w:lang w:val="mi-NZ"/>
        </w:rPr>
      </w:pPr>
      <w:r w:rsidRPr="00D357C9">
        <w:rPr>
          <w:rStyle w:val="FootnoteReference"/>
          <w:rFonts w:asciiTheme="minorHAnsi" w:hAnsiTheme="minorHAnsi" w:cstheme="minorHAnsi"/>
        </w:rPr>
        <w:footnoteRef/>
      </w:r>
      <w:r w:rsidRPr="00D357C9">
        <w:rPr>
          <w:rFonts w:asciiTheme="minorHAnsi" w:hAnsiTheme="minorHAnsi" w:cstheme="minorHAnsi"/>
        </w:rPr>
        <w:t xml:space="preserve"> Terms of </w:t>
      </w:r>
      <w:r>
        <w:rPr>
          <w:rFonts w:asciiTheme="minorHAnsi" w:hAnsiTheme="minorHAnsi" w:cstheme="minorHAnsi"/>
        </w:rPr>
        <w:t>R</w:t>
      </w:r>
      <w:r w:rsidRPr="00D357C9">
        <w:rPr>
          <w:rFonts w:asciiTheme="minorHAnsi" w:hAnsiTheme="minorHAnsi" w:cstheme="minorHAnsi"/>
        </w:rPr>
        <w:t xml:space="preserve">eference for the inquiry: </w:t>
      </w:r>
      <w:hyperlink r:id="rId130" w:history="1">
        <w:r w:rsidRPr="00D357C9">
          <w:rPr>
            <w:rStyle w:val="Hyperlink"/>
            <w:rFonts w:asciiTheme="minorHAnsi" w:hAnsiTheme="minorHAnsi" w:cstheme="minorHAnsi"/>
          </w:rPr>
          <w:t>https://www.privacy.org.nz/publications/commissioner-inquiries/joint-inquiry-into-police-photographing-of-members-of-the-public/</w:t>
        </w:r>
      </w:hyperlink>
      <w:r w:rsidRPr="00D357C9">
        <w:rPr>
          <w:rFonts w:asciiTheme="minorHAnsi" w:hAnsiTheme="minorHAnsi" w:cstheme="minorHAnsi"/>
        </w:rPr>
        <w:t xml:space="preserve"> </w:t>
      </w:r>
    </w:p>
  </w:footnote>
  <w:footnote w:id="214">
    <w:p w14:paraId="5A97CEF4" w14:textId="77777777" w:rsidR="00B14246" w:rsidRPr="00D357C9" w:rsidRDefault="00B14246" w:rsidP="00E20FF1">
      <w:pPr>
        <w:pStyle w:val="FootnoteText"/>
        <w:rPr>
          <w:rFonts w:asciiTheme="minorHAnsi" w:hAnsiTheme="minorHAnsi" w:cstheme="minorHAnsi"/>
          <w:lang w:val="mi-NZ"/>
        </w:rPr>
      </w:pPr>
      <w:r w:rsidRPr="00D357C9">
        <w:rPr>
          <w:rStyle w:val="FootnoteReference"/>
          <w:rFonts w:asciiTheme="minorHAnsi" w:hAnsiTheme="minorHAnsi" w:cstheme="minorHAnsi"/>
        </w:rPr>
        <w:footnoteRef/>
      </w:r>
      <w:r w:rsidRPr="00D357C9">
        <w:rPr>
          <w:rFonts w:asciiTheme="minorHAnsi" w:hAnsiTheme="minorHAnsi" w:cstheme="minorHAnsi"/>
        </w:rPr>
        <w:t xml:space="preserve"> The Alliance was one of the complainants.</w:t>
      </w:r>
    </w:p>
  </w:footnote>
  <w:footnote w:id="215">
    <w:p w14:paraId="0CEB47E7" w14:textId="77777777" w:rsidR="00B14246" w:rsidRPr="00D357C9" w:rsidRDefault="00B14246" w:rsidP="00E20FF1">
      <w:pPr>
        <w:pStyle w:val="FootnoteText"/>
        <w:rPr>
          <w:rFonts w:asciiTheme="minorHAnsi" w:hAnsiTheme="minorHAnsi" w:cstheme="minorHAnsi"/>
          <w:lang w:val="mi-NZ"/>
        </w:rPr>
      </w:pPr>
      <w:r w:rsidRPr="00D357C9">
        <w:rPr>
          <w:rStyle w:val="FootnoteReference"/>
          <w:rFonts w:asciiTheme="minorHAnsi" w:hAnsiTheme="minorHAnsi" w:cstheme="minorHAnsi"/>
        </w:rPr>
        <w:footnoteRef/>
      </w:r>
      <w:r w:rsidRPr="00D357C9">
        <w:rPr>
          <w:rFonts w:asciiTheme="minorHAnsi" w:hAnsiTheme="minorHAnsi" w:cstheme="minorHAnsi"/>
        </w:rPr>
        <w:t xml:space="preserve"> Media outlet Stuff’s code of practice and ethics requires the best interests principle to be applied</w:t>
      </w:r>
      <w:r>
        <w:rPr>
          <w:rFonts w:asciiTheme="minorHAnsi" w:hAnsiTheme="minorHAnsi" w:cstheme="minorHAnsi"/>
        </w:rPr>
        <w:t xml:space="preserve">: </w:t>
      </w:r>
      <w:hyperlink r:id="rId131" w:history="1">
        <w:r w:rsidRPr="00247584">
          <w:rPr>
            <w:rStyle w:val="Hyperlink"/>
            <w:rFonts w:asciiTheme="minorHAnsi" w:hAnsiTheme="minorHAnsi" w:cstheme="minorHAnsi"/>
          </w:rPr>
          <w:t>https://www.stuff.co.nz/about-stuff/300106664/stuff-editorial-code-of-practice-and-ethics</w:t>
        </w:r>
      </w:hyperlink>
      <w:r w:rsidRPr="00D357C9">
        <w:rPr>
          <w:rFonts w:asciiTheme="minorHAnsi" w:hAnsiTheme="minorHAnsi" w:cstheme="minorHAnsi"/>
        </w:rPr>
        <w:t xml:space="preserve"> </w:t>
      </w:r>
    </w:p>
  </w:footnote>
  <w:footnote w:id="216">
    <w:p w14:paraId="3932138E" w14:textId="77777777" w:rsidR="00B14246" w:rsidRPr="00D357C9" w:rsidRDefault="00B14246" w:rsidP="00E20FF1">
      <w:pPr>
        <w:pStyle w:val="FootnoteText"/>
        <w:rPr>
          <w:rFonts w:asciiTheme="minorHAnsi" w:hAnsiTheme="minorHAnsi" w:cstheme="minorHAnsi"/>
          <w:lang w:val="mi-NZ"/>
        </w:rPr>
      </w:pPr>
      <w:r w:rsidRPr="00D357C9">
        <w:rPr>
          <w:rStyle w:val="FootnoteReference"/>
          <w:rFonts w:asciiTheme="minorHAnsi" w:hAnsiTheme="minorHAnsi" w:cstheme="minorHAnsi"/>
        </w:rPr>
        <w:footnoteRef/>
      </w:r>
      <w:r w:rsidRPr="00D357C9">
        <w:rPr>
          <w:rFonts w:asciiTheme="minorHAnsi" w:hAnsiTheme="minorHAnsi" w:cstheme="minorHAnsi"/>
        </w:rPr>
        <w:t xml:space="preserve"> Sharing photographs online creates connection</w:t>
      </w:r>
      <w:r>
        <w:rPr>
          <w:rFonts w:asciiTheme="minorHAnsi" w:hAnsiTheme="minorHAnsi" w:cstheme="minorHAnsi"/>
        </w:rPr>
        <w:t>,</w:t>
      </w:r>
      <w:r w:rsidRPr="00D357C9">
        <w:rPr>
          <w:rFonts w:asciiTheme="minorHAnsi" w:hAnsiTheme="minorHAnsi" w:cstheme="minorHAnsi"/>
        </w:rPr>
        <w:t xml:space="preserve"> but it can also lead to cyber or in</w:t>
      </w:r>
      <w:r>
        <w:rPr>
          <w:rFonts w:asciiTheme="minorHAnsi" w:hAnsiTheme="minorHAnsi" w:cstheme="minorHAnsi"/>
        </w:rPr>
        <w:t>-</w:t>
      </w:r>
      <w:r w:rsidRPr="00D357C9">
        <w:rPr>
          <w:rFonts w:asciiTheme="minorHAnsi" w:hAnsiTheme="minorHAnsi" w:cstheme="minorHAnsi"/>
        </w:rPr>
        <w:t>person bullying, psychological impacts such as depression, anxiety and social alienation, and even</w:t>
      </w:r>
      <w:r>
        <w:rPr>
          <w:rFonts w:asciiTheme="minorHAnsi" w:hAnsiTheme="minorHAnsi" w:cstheme="minorHAnsi"/>
        </w:rPr>
        <w:t>,</w:t>
      </w:r>
      <w:r w:rsidRPr="00D357C9">
        <w:rPr>
          <w:rFonts w:asciiTheme="minorHAnsi" w:hAnsiTheme="minorHAnsi" w:cstheme="minorHAnsi"/>
        </w:rPr>
        <w:t xml:space="preserve"> potentially</w:t>
      </w:r>
      <w:r>
        <w:rPr>
          <w:rFonts w:asciiTheme="minorHAnsi" w:hAnsiTheme="minorHAnsi" w:cstheme="minorHAnsi"/>
        </w:rPr>
        <w:t>,</w:t>
      </w:r>
      <w:r w:rsidRPr="00D357C9">
        <w:rPr>
          <w:rFonts w:asciiTheme="minorHAnsi" w:hAnsiTheme="minorHAnsi" w:cstheme="minorHAnsi"/>
        </w:rPr>
        <w:t xml:space="preserve"> fraud and identity theft</w:t>
      </w:r>
      <w:r>
        <w:rPr>
          <w:rFonts w:asciiTheme="minorHAnsi" w:hAnsiTheme="minorHAnsi" w:cstheme="minorHAnsi"/>
        </w:rPr>
        <w:t>:</w:t>
      </w:r>
      <w:r w:rsidRPr="00D357C9">
        <w:rPr>
          <w:rFonts w:asciiTheme="minorHAnsi" w:hAnsiTheme="minorHAnsi" w:cstheme="minorHAnsi"/>
        </w:rPr>
        <w:t xml:space="preserve"> </w:t>
      </w:r>
      <w:hyperlink r:id="rId132" w:history="1">
        <w:r w:rsidRPr="00D357C9">
          <w:rPr>
            <w:rStyle w:val="Hyperlink"/>
            <w:rFonts w:asciiTheme="minorHAnsi" w:hAnsiTheme="minorHAnsi" w:cstheme="minorHAnsi"/>
          </w:rPr>
          <w:t>https://www.newsroom.co.nz/parental-oversharing-risks-nz-kids-privacy</w:t>
        </w:r>
      </w:hyperlink>
      <w:r w:rsidRPr="00D357C9">
        <w:rPr>
          <w:rFonts w:asciiTheme="minorHAnsi" w:hAnsiTheme="minorHAnsi" w:cstheme="minorHAnsi"/>
        </w:rPr>
        <w:t xml:space="preserve"> </w:t>
      </w:r>
    </w:p>
  </w:footnote>
  <w:footnote w:id="217">
    <w:p w14:paraId="1BCACC47" w14:textId="77777777" w:rsidR="00B14246" w:rsidRPr="00160EAC" w:rsidRDefault="00B14246" w:rsidP="00E20FF1">
      <w:pPr>
        <w:pStyle w:val="FootnoteText"/>
        <w:rPr>
          <w:rFonts w:asciiTheme="minorHAnsi" w:hAnsiTheme="minorHAnsi" w:cstheme="minorHAnsi"/>
          <w:lang w:val="mi-NZ"/>
        </w:rPr>
      </w:pPr>
      <w:r w:rsidRPr="00160EAC">
        <w:rPr>
          <w:rStyle w:val="FootnoteReference"/>
          <w:rFonts w:asciiTheme="minorHAnsi" w:hAnsiTheme="minorHAnsi" w:cstheme="minorHAnsi"/>
        </w:rPr>
        <w:footnoteRef/>
      </w:r>
      <w:r>
        <w:rPr>
          <w:rFonts w:asciiTheme="minorHAnsi" w:hAnsiTheme="minorHAnsi" w:cstheme="minorHAnsi"/>
        </w:rPr>
        <w:t xml:space="preserve"> ANZPM will include</w:t>
      </w:r>
      <w:r w:rsidRPr="00E7687D">
        <w:rPr>
          <w:rFonts w:asciiTheme="minorHAnsi" w:hAnsiTheme="minorHAnsi" w:cstheme="minorHAnsi"/>
          <w:lang w:val="mi-NZ"/>
        </w:rPr>
        <w:t xml:space="preserve"> both Radio New Zealand and Television New Zealand</w:t>
      </w:r>
      <w:r w:rsidRPr="00160EAC">
        <w:rPr>
          <w:rFonts w:asciiTheme="minorHAnsi" w:hAnsiTheme="minorHAnsi" w:cstheme="minorHAnsi"/>
        </w:rPr>
        <w:t xml:space="preserve"> </w:t>
      </w:r>
      <w:hyperlink r:id="rId133" w:history="1">
        <w:r w:rsidRPr="00160EAC">
          <w:rPr>
            <w:rStyle w:val="Hyperlink"/>
            <w:rFonts w:asciiTheme="minorHAnsi" w:hAnsiTheme="minorHAnsi" w:cstheme="minorHAnsi"/>
          </w:rPr>
          <w:t>https://www.rnz.co.nz/national/programmes/mediawatch/audio/2018843526/more-unanswered-questions-about-public-media-plan</w:t>
        </w:r>
      </w:hyperlink>
      <w:r w:rsidRPr="00160EAC">
        <w:rPr>
          <w:rFonts w:asciiTheme="minorHAnsi" w:hAnsiTheme="minorHAnsi" w:cstheme="minorHAnsi"/>
        </w:rPr>
        <w:t xml:space="preserve"> </w:t>
      </w:r>
    </w:p>
  </w:footnote>
  <w:footnote w:id="218">
    <w:p w14:paraId="4E0B8BD8" w14:textId="3AF146A0" w:rsidR="00B14246" w:rsidRPr="00160EAC" w:rsidRDefault="00B14246" w:rsidP="00E20FF1">
      <w:pPr>
        <w:pStyle w:val="FootnoteText"/>
        <w:rPr>
          <w:rFonts w:asciiTheme="minorHAnsi" w:hAnsiTheme="minorHAnsi" w:cstheme="minorHAnsi"/>
          <w:lang w:val="mi-NZ"/>
        </w:rPr>
      </w:pPr>
      <w:r w:rsidRPr="00160EAC">
        <w:rPr>
          <w:rStyle w:val="FootnoteReference"/>
          <w:rFonts w:asciiTheme="minorHAnsi" w:hAnsiTheme="minorHAnsi" w:cstheme="minorHAnsi"/>
        </w:rPr>
        <w:footnoteRef/>
      </w:r>
      <w:r w:rsidRPr="00160EAC">
        <w:rPr>
          <w:rFonts w:asciiTheme="minorHAnsi" w:hAnsiTheme="minorHAnsi" w:cstheme="minorHAnsi"/>
        </w:rPr>
        <w:t xml:space="preserve"> </w:t>
      </w:r>
      <w:r w:rsidR="00163977">
        <w:rPr>
          <w:rFonts w:asciiTheme="minorHAnsi" w:hAnsiTheme="minorHAnsi" w:cstheme="minorHAnsi"/>
          <w:lang w:val="mi-NZ"/>
        </w:rPr>
        <w:t>Communication between the Alliance and KidsOnScreen:New Zealand Children’s Screens Trust</w:t>
      </w:r>
      <w:r w:rsidR="0023308B">
        <w:rPr>
          <w:rFonts w:asciiTheme="minorHAnsi" w:hAnsiTheme="minorHAnsi" w:cstheme="minorHAnsi"/>
          <w:lang w:val="mi-NZ"/>
        </w:rPr>
        <w:t>.</w:t>
      </w:r>
    </w:p>
  </w:footnote>
  <w:footnote w:id="219">
    <w:p w14:paraId="2C00C552" w14:textId="77777777" w:rsidR="00B14246" w:rsidRPr="00160EAC" w:rsidRDefault="00B14246" w:rsidP="00E20FF1">
      <w:pPr>
        <w:spacing w:after="0" w:line="240" w:lineRule="auto"/>
        <w:rPr>
          <w:rFonts w:cstheme="minorHAnsi"/>
          <w:lang w:val="mi-NZ"/>
        </w:rPr>
      </w:pPr>
      <w:r w:rsidRPr="00160EAC">
        <w:rPr>
          <w:rStyle w:val="FootnoteReference"/>
          <w:rFonts w:cstheme="minorHAnsi"/>
        </w:rPr>
        <w:footnoteRef/>
      </w:r>
      <w:r w:rsidRPr="00160EAC">
        <w:rPr>
          <w:rFonts w:cstheme="minorHAnsi"/>
        </w:rPr>
        <w:t xml:space="preserve"> The </w:t>
      </w:r>
      <w:r w:rsidRPr="00160EAC">
        <w:rPr>
          <w:rFonts w:cstheme="minorHAnsi"/>
          <w:lang w:val="mi-NZ"/>
        </w:rPr>
        <w:t>Aotearoa Public Media Bill 2022, clause 13, provides that</w:t>
      </w:r>
      <w:r>
        <w:rPr>
          <w:rFonts w:cstheme="minorHAnsi"/>
          <w:lang w:val="mi-NZ"/>
        </w:rPr>
        <w:t>,</w:t>
      </w:r>
      <w:r w:rsidRPr="00160EAC">
        <w:rPr>
          <w:rFonts w:cstheme="minorHAnsi"/>
          <w:lang w:val="mi-NZ"/>
        </w:rPr>
        <w:t xml:space="preserve"> under its charter</w:t>
      </w:r>
      <w:r>
        <w:rPr>
          <w:rFonts w:cstheme="minorHAnsi"/>
          <w:lang w:val="mi-NZ"/>
        </w:rPr>
        <w:t>,</w:t>
      </w:r>
      <w:r w:rsidRPr="00160EAC">
        <w:rPr>
          <w:rFonts w:cstheme="minorHAnsi"/>
          <w:lang w:val="mi-NZ"/>
        </w:rPr>
        <w:t xml:space="preserve"> ANZPM will, amongst other things: strive to understand, engage, and serve New Zealnders of all ages, genders, abilities, ethnicities, regions, and communities; ensure that Māori perspectives are included in content and services for and about Māori; and ensure the perspectives of under-served and under-represented audiences are reflected in the development and delivery of content and services, including by providing opportunities for participation  by those audiences. </w:t>
      </w:r>
    </w:p>
  </w:footnote>
  <w:footnote w:id="220">
    <w:p w14:paraId="02780541" w14:textId="77777777" w:rsidR="007910FA" w:rsidRPr="00160EAC" w:rsidRDefault="007910FA" w:rsidP="00E20FF1">
      <w:pPr>
        <w:pStyle w:val="FootnoteText"/>
        <w:rPr>
          <w:rFonts w:asciiTheme="minorHAnsi" w:hAnsiTheme="minorHAnsi" w:cstheme="minorHAnsi"/>
          <w:lang w:val="mi-NZ"/>
        </w:rPr>
      </w:pPr>
      <w:r w:rsidRPr="00160EAC">
        <w:rPr>
          <w:rStyle w:val="FootnoteReference"/>
          <w:rFonts w:asciiTheme="minorHAnsi" w:hAnsiTheme="minorHAnsi" w:cstheme="minorHAnsi"/>
        </w:rPr>
        <w:footnoteRef/>
      </w:r>
      <w:r w:rsidRPr="00160EAC">
        <w:rPr>
          <w:rFonts w:asciiTheme="minorHAnsi" w:hAnsiTheme="minorHAnsi" w:cstheme="minorHAnsi"/>
        </w:rPr>
        <w:t xml:space="preserve"> </w:t>
      </w:r>
      <w:hyperlink r:id="rId134" w:history="1">
        <w:r w:rsidRPr="00160EAC">
          <w:rPr>
            <w:rStyle w:val="Hyperlink"/>
            <w:rFonts w:asciiTheme="minorHAnsi" w:hAnsiTheme="minorHAnsi" w:cstheme="minorHAnsi"/>
          </w:rPr>
          <w:t>https://natlib.govt.nz/about-us/collaborative-projects/new-zealand-reading-ambassador</w:t>
        </w:r>
      </w:hyperlink>
      <w:r w:rsidRPr="00160EAC">
        <w:rPr>
          <w:rFonts w:asciiTheme="minorHAnsi" w:hAnsiTheme="minorHAnsi" w:cstheme="minorHAnsi"/>
        </w:rPr>
        <w:t xml:space="preserve"> </w:t>
      </w:r>
    </w:p>
  </w:footnote>
  <w:footnote w:id="221">
    <w:p w14:paraId="516E4B61" w14:textId="77777777" w:rsidR="007910FA" w:rsidRPr="00160EAC" w:rsidRDefault="007910FA" w:rsidP="00E20FF1">
      <w:pPr>
        <w:pStyle w:val="FootnoteText"/>
        <w:rPr>
          <w:rFonts w:asciiTheme="minorHAnsi" w:hAnsiTheme="minorHAnsi" w:cstheme="minorHAnsi"/>
          <w:lang w:val="mi-NZ"/>
        </w:rPr>
      </w:pPr>
      <w:r w:rsidRPr="00160EAC">
        <w:rPr>
          <w:rStyle w:val="FootnoteReference"/>
          <w:rFonts w:asciiTheme="minorHAnsi" w:hAnsiTheme="minorHAnsi" w:cstheme="minorHAnsi"/>
        </w:rPr>
        <w:footnoteRef/>
      </w:r>
      <w:r w:rsidRPr="00160EAC">
        <w:rPr>
          <w:rFonts w:asciiTheme="minorHAnsi" w:hAnsiTheme="minorHAnsi" w:cstheme="minorHAnsi"/>
        </w:rPr>
        <w:t xml:space="preserve"> </w:t>
      </w:r>
      <w:hyperlink r:id="rId135" w:history="1">
        <w:r w:rsidRPr="00160EAC">
          <w:rPr>
            <w:rStyle w:val="Hyperlink"/>
            <w:rFonts w:asciiTheme="minorHAnsi" w:hAnsiTheme="minorHAnsi" w:cstheme="minorHAnsi"/>
          </w:rPr>
          <w:t>https://www.stuff.co.nz/pou-tiaki/te-reo-maori/122740039/the-best-te-reo-mori-books-for-children</w:t>
        </w:r>
      </w:hyperlink>
      <w:r w:rsidRPr="00160EAC">
        <w:rPr>
          <w:rFonts w:asciiTheme="minorHAnsi" w:hAnsiTheme="minorHAnsi" w:cstheme="minorHAnsi"/>
        </w:rPr>
        <w:t xml:space="preserve"> </w:t>
      </w:r>
    </w:p>
  </w:footnote>
  <w:footnote w:id="222">
    <w:p w14:paraId="0F4EADFF" w14:textId="77777777" w:rsidR="007910FA" w:rsidRPr="00160EAC" w:rsidRDefault="007910FA" w:rsidP="00E20FF1">
      <w:pPr>
        <w:spacing w:after="0" w:line="240" w:lineRule="auto"/>
        <w:rPr>
          <w:rFonts w:cstheme="minorHAnsi"/>
          <w:lang w:val="mi-NZ"/>
        </w:rPr>
      </w:pPr>
      <w:r w:rsidRPr="00160EAC">
        <w:rPr>
          <w:rStyle w:val="FootnoteReference"/>
          <w:rFonts w:cstheme="minorHAnsi"/>
        </w:rPr>
        <w:footnoteRef/>
      </w:r>
      <w:r w:rsidRPr="00160EAC">
        <w:rPr>
          <w:rFonts w:cstheme="minorHAnsi"/>
        </w:rPr>
        <w:t xml:space="preserve"> </w:t>
      </w:r>
      <w:hyperlink r:id="rId136" w:history="1">
        <w:r w:rsidRPr="00160EAC">
          <w:rPr>
            <w:rStyle w:val="Hyperlink"/>
            <w:rFonts w:cstheme="minorHAnsi"/>
            <w:lang w:val="mi-NZ"/>
          </w:rPr>
          <w:t>https://www.rnz.co.nz/programmes/the-detail/story/2018845659/reading-the-signs-why-literacy-rates-are-falling</w:t>
        </w:r>
      </w:hyperlink>
      <w:r w:rsidRPr="00160EAC">
        <w:rPr>
          <w:rFonts w:cstheme="minorHAnsi"/>
          <w:lang w:val="mi-NZ"/>
        </w:rPr>
        <w:t xml:space="preserve"> </w:t>
      </w:r>
    </w:p>
  </w:footnote>
  <w:footnote w:id="223">
    <w:p w14:paraId="5875CD60" w14:textId="77777777" w:rsidR="007910FA" w:rsidRPr="00160EAC" w:rsidRDefault="007910FA" w:rsidP="00E20FF1">
      <w:pPr>
        <w:pStyle w:val="FootnoteText"/>
        <w:rPr>
          <w:rFonts w:asciiTheme="minorHAnsi" w:hAnsiTheme="minorHAnsi" w:cstheme="minorHAnsi"/>
          <w:lang w:val="mi-NZ"/>
        </w:rPr>
      </w:pPr>
      <w:r w:rsidRPr="00160EAC">
        <w:rPr>
          <w:rStyle w:val="FootnoteReference"/>
          <w:rFonts w:asciiTheme="minorHAnsi" w:hAnsiTheme="minorHAnsi" w:cstheme="minorHAnsi"/>
        </w:rPr>
        <w:footnoteRef/>
      </w:r>
      <w:r w:rsidRPr="00160EAC">
        <w:rPr>
          <w:rFonts w:asciiTheme="minorHAnsi" w:hAnsiTheme="minorHAnsi" w:cstheme="minorHAnsi"/>
        </w:rPr>
        <w:t xml:space="preserve"> </w:t>
      </w:r>
      <w:hyperlink r:id="rId137" w:history="1">
        <w:r w:rsidRPr="00160EAC">
          <w:rPr>
            <w:rStyle w:val="Hyperlink"/>
            <w:rFonts w:asciiTheme="minorHAnsi" w:hAnsiTheme="minorHAnsi" w:cstheme="minorHAnsi"/>
          </w:rPr>
          <w:t>https://www.stuff.co.nz/national/129045624/how-books-rescued-kate-de-goldi-and-how-reading-can-save-society</w:t>
        </w:r>
      </w:hyperlink>
      <w:r w:rsidRPr="00160EAC">
        <w:rPr>
          <w:rFonts w:asciiTheme="minorHAnsi" w:hAnsiTheme="minorHAnsi" w:cstheme="minorHAnsi"/>
        </w:rPr>
        <w:t xml:space="preserve"> </w:t>
      </w:r>
    </w:p>
  </w:footnote>
  <w:footnote w:id="224">
    <w:p w14:paraId="7C2B945E" w14:textId="5F055A5E" w:rsidR="00061CEB" w:rsidRPr="00160EAC" w:rsidRDefault="00061CEB" w:rsidP="00E20FF1">
      <w:pPr>
        <w:pStyle w:val="FootnoteText"/>
        <w:rPr>
          <w:rFonts w:asciiTheme="minorHAnsi" w:hAnsiTheme="minorHAnsi" w:cstheme="minorHAnsi"/>
          <w:lang w:val="en-US"/>
        </w:rPr>
      </w:pPr>
      <w:r w:rsidRPr="00160EAC">
        <w:rPr>
          <w:rStyle w:val="FootnoteReference"/>
          <w:rFonts w:asciiTheme="minorHAnsi" w:eastAsiaTheme="majorEastAsia" w:hAnsiTheme="minorHAnsi" w:cstheme="minorHAnsi"/>
        </w:rPr>
        <w:footnoteRef/>
      </w:r>
      <w:r>
        <w:rPr>
          <w:rFonts w:asciiTheme="minorHAnsi" w:hAnsiTheme="minorHAnsi" w:cstheme="minorHAnsi"/>
        </w:rPr>
        <w:t xml:space="preserve"> </w:t>
      </w:r>
      <w:r>
        <w:rPr>
          <w:rFonts w:asciiTheme="minorHAnsi" w:hAnsiTheme="minorHAnsi" w:cstheme="minorHAnsi"/>
          <w:lang w:val="mi-NZ"/>
        </w:rPr>
        <w:t xml:space="preserve">A </w:t>
      </w:r>
      <w:r w:rsidRPr="00E7687D">
        <w:rPr>
          <w:rFonts w:asciiTheme="minorHAnsi" w:hAnsiTheme="minorHAnsi" w:cstheme="minorHAnsi"/>
          <w:lang w:val="mi-NZ"/>
        </w:rPr>
        <w:t>new 25</w:t>
      </w:r>
      <w:r>
        <w:rPr>
          <w:rFonts w:asciiTheme="minorHAnsi" w:hAnsiTheme="minorHAnsi" w:cstheme="minorHAnsi"/>
          <w:lang w:val="mi-NZ"/>
        </w:rPr>
        <w:t>-</w:t>
      </w:r>
      <w:r w:rsidRPr="00E7687D">
        <w:rPr>
          <w:rFonts w:asciiTheme="minorHAnsi" w:hAnsiTheme="minorHAnsi" w:cstheme="minorHAnsi"/>
          <w:lang w:val="mi-NZ"/>
        </w:rPr>
        <w:t xml:space="preserve">year </w:t>
      </w:r>
      <w:r>
        <w:rPr>
          <w:rFonts w:asciiTheme="minorHAnsi" w:hAnsiTheme="minorHAnsi" w:cstheme="minorHAnsi"/>
          <w:lang w:val="mi-NZ"/>
        </w:rPr>
        <w:t>N</w:t>
      </w:r>
      <w:r w:rsidRPr="00E7687D">
        <w:rPr>
          <w:rFonts w:asciiTheme="minorHAnsi" w:hAnsiTheme="minorHAnsi" w:cstheme="minorHAnsi"/>
          <w:lang w:val="mi-NZ"/>
        </w:rPr>
        <w:t xml:space="preserve">ational </w:t>
      </w:r>
      <w:r>
        <w:rPr>
          <w:rFonts w:asciiTheme="minorHAnsi" w:hAnsiTheme="minorHAnsi" w:cstheme="minorHAnsi"/>
          <w:lang w:val="mi-NZ"/>
        </w:rPr>
        <w:t>S</w:t>
      </w:r>
      <w:r w:rsidRPr="00E7687D">
        <w:rPr>
          <w:rFonts w:asciiTheme="minorHAnsi" w:hAnsiTheme="minorHAnsi" w:cstheme="minorHAnsi"/>
          <w:lang w:val="mi-NZ"/>
        </w:rPr>
        <w:t xml:space="preserve">trategy and </w:t>
      </w:r>
      <w:r>
        <w:rPr>
          <w:rFonts w:asciiTheme="minorHAnsi" w:hAnsiTheme="minorHAnsi" w:cstheme="minorHAnsi"/>
          <w:lang w:val="mi-NZ"/>
        </w:rPr>
        <w:t>A</w:t>
      </w:r>
      <w:r w:rsidRPr="00E7687D">
        <w:rPr>
          <w:rFonts w:asciiTheme="minorHAnsi" w:hAnsiTheme="minorHAnsi" w:cstheme="minorHAnsi"/>
          <w:lang w:val="mi-NZ"/>
        </w:rPr>
        <w:t xml:space="preserve">ction </w:t>
      </w:r>
      <w:r>
        <w:rPr>
          <w:rFonts w:asciiTheme="minorHAnsi" w:hAnsiTheme="minorHAnsi" w:cstheme="minorHAnsi"/>
          <w:lang w:val="mi-NZ"/>
        </w:rPr>
        <w:t>P</w:t>
      </w:r>
      <w:r w:rsidRPr="00E7687D">
        <w:rPr>
          <w:rFonts w:asciiTheme="minorHAnsi" w:hAnsiTheme="minorHAnsi" w:cstheme="minorHAnsi"/>
          <w:lang w:val="mi-NZ"/>
        </w:rPr>
        <w:t>lan to eliminate Family Violence and Sexual Violence</w:t>
      </w:r>
      <w:r w:rsidR="0023308B">
        <w:rPr>
          <w:rFonts w:asciiTheme="minorHAnsi" w:hAnsiTheme="minorHAnsi" w:cstheme="minorHAnsi"/>
          <w:lang w:val="mi-NZ"/>
        </w:rPr>
        <w:t>:</w:t>
      </w:r>
      <w:r w:rsidRPr="00160EAC">
        <w:rPr>
          <w:rFonts w:asciiTheme="minorHAnsi" w:hAnsiTheme="minorHAnsi" w:cstheme="minorHAnsi"/>
        </w:rPr>
        <w:t xml:space="preserve"> </w:t>
      </w:r>
      <w:hyperlink r:id="rId138" w:history="1">
        <w:r w:rsidRPr="00160EAC">
          <w:rPr>
            <w:rStyle w:val="Hyperlink"/>
            <w:rFonts w:asciiTheme="minorHAnsi" w:eastAsiaTheme="majorEastAsia" w:hAnsiTheme="minorHAnsi" w:cstheme="minorHAnsi"/>
          </w:rPr>
          <w:t>https://tepunaaonui.govt.nz/assets/National-strategy/Finals-translations-alt-formats/Te-Aorerekura-National-Strategy-final.pdf</w:t>
        </w:r>
      </w:hyperlink>
      <w:r w:rsidRPr="00160EAC">
        <w:rPr>
          <w:rFonts w:asciiTheme="minorHAnsi" w:hAnsiTheme="minorHAnsi" w:cstheme="minorHAnsi"/>
        </w:rPr>
        <w:t>, launched December 2021</w:t>
      </w:r>
      <w:r>
        <w:rPr>
          <w:rFonts w:asciiTheme="minorHAnsi" w:hAnsiTheme="minorHAnsi" w:cstheme="minorHAnsi"/>
        </w:rPr>
        <w:t>; s</w:t>
      </w:r>
      <w:r w:rsidRPr="00160EAC">
        <w:rPr>
          <w:rFonts w:asciiTheme="minorHAnsi" w:hAnsiTheme="minorHAnsi" w:cstheme="minorHAnsi"/>
        </w:rPr>
        <w:t xml:space="preserve">ee the Action Plan: </w:t>
      </w:r>
      <w:hyperlink r:id="rId139" w:history="1">
        <w:r w:rsidRPr="00160EAC">
          <w:rPr>
            <w:rStyle w:val="Hyperlink"/>
            <w:rFonts w:asciiTheme="minorHAnsi" w:eastAsiaTheme="majorEastAsia" w:hAnsiTheme="minorHAnsi" w:cstheme="minorHAnsi"/>
          </w:rPr>
          <w:t>https://tepunaaonui.govt.nz/assets/National-strategy/Finals-translations-alt-formats/Te-Aorerekura-Action-plan.pdf</w:t>
        </w:r>
      </w:hyperlink>
      <w:r w:rsidRPr="00160EAC">
        <w:rPr>
          <w:rFonts w:asciiTheme="minorHAnsi" w:hAnsiTheme="minorHAnsi" w:cstheme="minorHAnsi"/>
        </w:rPr>
        <w:t xml:space="preserve"> </w:t>
      </w:r>
    </w:p>
  </w:footnote>
  <w:footnote w:id="225">
    <w:p w14:paraId="2EE7CB11" w14:textId="77777777" w:rsidR="00061CEB" w:rsidRPr="00160EAC" w:rsidRDefault="00061CEB" w:rsidP="00E20FF1">
      <w:pPr>
        <w:pStyle w:val="FootnoteText"/>
        <w:rPr>
          <w:rFonts w:asciiTheme="minorHAnsi" w:hAnsiTheme="minorHAnsi" w:cstheme="minorHAnsi"/>
          <w:lang w:val="en-US"/>
        </w:rPr>
      </w:pPr>
      <w:r w:rsidRPr="00160EAC">
        <w:rPr>
          <w:rStyle w:val="FootnoteReference"/>
          <w:rFonts w:asciiTheme="minorHAnsi" w:eastAsiaTheme="majorEastAsia" w:hAnsiTheme="minorHAnsi" w:cstheme="minorHAnsi"/>
        </w:rPr>
        <w:footnoteRef/>
      </w:r>
      <w:r w:rsidRPr="00160EAC">
        <w:rPr>
          <w:rFonts w:asciiTheme="minorHAnsi" w:hAnsiTheme="minorHAnsi" w:cstheme="minorHAnsi"/>
        </w:rPr>
        <w:t xml:space="preserve"> </w:t>
      </w:r>
      <w:hyperlink r:id="rId140" w:history="1">
        <w:r w:rsidRPr="00160EAC">
          <w:rPr>
            <w:rStyle w:val="Hyperlink"/>
            <w:rFonts w:asciiTheme="minorHAnsi" w:eastAsiaTheme="majorEastAsia" w:hAnsiTheme="minorHAnsi" w:cstheme="minorHAnsi"/>
          </w:rPr>
          <w:t>https://tepunaaonui.govt.nz/assets/National-strategy/Finals-translations-alt-formats/Te-Aorerekura-National-Strategy-final.pdf</w:t>
        </w:r>
      </w:hyperlink>
      <w:r w:rsidRPr="00160EAC">
        <w:rPr>
          <w:rFonts w:asciiTheme="minorHAnsi" w:hAnsiTheme="minorHAnsi" w:cstheme="minorHAnsi"/>
        </w:rPr>
        <w:t>, p</w:t>
      </w:r>
      <w:r w:rsidRPr="00160EAC">
        <w:rPr>
          <w:rFonts w:asciiTheme="minorHAnsi" w:hAnsiTheme="minorHAnsi" w:cstheme="minorHAnsi"/>
          <w:lang w:val="en-US"/>
        </w:rPr>
        <w:t>p. 38-43.</w:t>
      </w:r>
    </w:p>
  </w:footnote>
  <w:footnote w:id="226">
    <w:p w14:paraId="0D661AD4" w14:textId="77777777" w:rsidR="00061CEB" w:rsidRPr="00160EAC" w:rsidRDefault="00061CEB" w:rsidP="00E20FF1">
      <w:pPr>
        <w:pStyle w:val="FootnoteText"/>
        <w:rPr>
          <w:rFonts w:asciiTheme="minorHAnsi" w:hAnsiTheme="minorHAnsi" w:cstheme="minorHAnsi"/>
          <w:lang w:val="mi-NZ"/>
        </w:rPr>
      </w:pPr>
      <w:r w:rsidRPr="00160EAC">
        <w:rPr>
          <w:rStyle w:val="FootnoteReference"/>
          <w:rFonts w:asciiTheme="minorHAnsi" w:eastAsiaTheme="majorEastAsia" w:hAnsiTheme="minorHAnsi" w:cstheme="minorHAnsi"/>
        </w:rPr>
        <w:footnoteRef/>
      </w:r>
      <w:r>
        <w:rPr>
          <w:rFonts w:asciiTheme="minorHAnsi" w:hAnsiTheme="minorHAnsi" w:cstheme="minorHAnsi"/>
        </w:rPr>
        <w:t xml:space="preserve"> These disproportionate impacts are acknowledged in </w:t>
      </w:r>
      <w:proofErr w:type="spellStart"/>
      <w:r>
        <w:rPr>
          <w:rFonts w:asciiTheme="minorHAnsi" w:hAnsiTheme="minorHAnsi" w:cstheme="minorHAnsi"/>
        </w:rPr>
        <w:t>Te</w:t>
      </w:r>
      <w:proofErr w:type="spellEnd"/>
      <w:r>
        <w:rPr>
          <w:rFonts w:asciiTheme="minorHAnsi" w:hAnsiTheme="minorHAnsi" w:cstheme="minorHAnsi"/>
        </w:rPr>
        <w:t xml:space="preserve"> </w:t>
      </w:r>
      <w:proofErr w:type="spellStart"/>
      <w:r>
        <w:rPr>
          <w:rFonts w:asciiTheme="minorHAnsi" w:hAnsiTheme="minorHAnsi" w:cstheme="minorHAnsi"/>
        </w:rPr>
        <w:t>Aorerekura</w:t>
      </w:r>
      <w:proofErr w:type="spellEnd"/>
      <w:r>
        <w:rPr>
          <w:rFonts w:asciiTheme="minorHAnsi" w:hAnsiTheme="minorHAnsi" w:cstheme="minorHAnsi"/>
        </w:rPr>
        <w:t>.</w:t>
      </w:r>
      <w:r w:rsidRPr="00160EAC">
        <w:rPr>
          <w:rFonts w:asciiTheme="minorHAnsi" w:hAnsiTheme="minorHAnsi" w:cstheme="minorHAnsi"/>
        </w:rPr>
        <w:t xml:space="preserve"> </w:t>
      </w:r>
      <w:hyperlink r:id="rId141" w:history="1">
        <w:r w:rsidRPr="00160EAC">
          <w:rPr>
            <w:rStyle w:val="Hyperlink"/>
            <w:rFonts w:asciiTheme="minorHAnsi" w:eastAsiaTheme="majorEastAsia" w:hAnsiTheme="minorHAnsi" w:cstheme="minorHAnsi"/>
          </w:rPr>
          <w:t>https://tepunaaonui.govt.nz/assets/National-strategy/Finals-translations-alt-formats/Te-Aorerekura-National-Strategy-final.pdf</w:t>
        </w:r>
      </w:hyperlink>
      <w:r w:rsidRPr="00160EAC">
        <w:rPr>
          <w:rFonts w:asciiTheme="minorHAnsi" w:hAnsiTheme="minorHAnsi" w:cstheme="minorHAnsi"/>
        </w:rPr>
        <w:t>, p. 10.</w:t>
      </w:r>
    </w:p>
  </w:footnote>
  <w:footnote w:id="227">
    <w:p w14:paraId="211FEDB7" w14:textId="77777777" w:rsidR="00061CEB" w:rsidRPr="00160EAC" w:rsidRDefault="00061CEB" w:rsidP="00E20FF1">
      <w:pPr>
        <w:pStyle w:val="FootnoteText"/>
        <w:rPr>
          <w:rFonts w:asciiTheme="minorHAnsi" w:hAnsiTheme="minorHAnsi" w:cstheme="minorHAnsi"/>
          <w:lang w:val="en-US"/>
        </w:rPr>
      </w:pPr>
      <w:r w:rsidRPr="00160EAC">
        <w:rPr>
          <w:rStyle w:val="FootnoteReference"/>
          <w:rFonts w:asciiTheme="minorHAnsi" w:eastAsiaTheme="majorEastAsia" w:hAnsiTheme="minorHAnsi" w:cstheme="minorHAnsi"/>
        </w:rPr>
        <w:footnoteRef/>
      </w:r>
      <w:r w:rsidRPr="00160EAC">
        <w:rPr>
          <w:rFonts w:asciiTheme="minorHAnsi" w:hAnsiTheme="minorHAnsi" w:cstheme="minorHAnsi"/>
        </w:rPr>
        <w:t xml:space="preserve"> </w:t>
      </w:r>
      <w:r w:rsidRPr="00160EAC">
        <w:rPr>
          <w:rFonts w:asciiTheme="minorHAnsi" w:hAnsiTheme="minorHAnsi" w:cstheme="minorHAnsi"/>
          <w:lang w:val="en-US"/>
        </w:rPr>
        <w:t xml:space="preserve">Government </w:t>
      </w:r>
      <w:r>
        <w:rPr>
          <w:rFonts w:asciiTheme="minorHAnsi" w:hAnsiTheme="minorHAnsi" w:cstheme="minorHAnsi"/>
          <w:lang w:val="en-US"/>
        </w:rPr>
        <w:t>R</w:t>
      </w:r>
      <w:r w:rsidRPr="00160EAC">
        <w:rPr>
          <w:rFonts w:asciiTheme="minorHAnsi" w:hAnsiTheme="minorHAnsi" w:cstheme="minorHAnsi"/>
          <w:lang w:val="en-US"/>
        </w:rPr>
        <w:t>eport, para 134.</w:t>
      </w:r>
    </w:p>
  </w:footnote>
  <w:footnote w:id="228">
    <w:p w14:paraId="60EF4FE2" w14:textId="77777777" w:rsidR="00061CEB" w:rsidRPr="00160EAC" w:rsidRDefault="00061CEB" w:rsidP="00E20FF1">
      <w:pPr>
        <w:pStyle w:val="FootnoteText"/>
        <w:rPr>
          <w:rFonts w:asciiTheme="minorHAnsi" w:hAnsiTheme="minorHAnsi" w:cstheme="minorHAnsi"/>
          <w:lang w:val="mi-NZ"/>
        </w:rPr>
      </w:pPr>
      <w:r w:rsidRPr="00160EAC">
        <w:rPr>
          <w:rStyle w:val="FootnoteReference"/>
          <w:rFonts w:asciiTheme="minorHAnsi" w:eastAsiaTheme="majorEastAsia" w:hAnsiTheme="minorHAnsi" w:cstheme="minorHAnsi"/>
        </w:rPr>
        <w:footnoteRef/>
      </w:r>
      <w:r w:rsidRPr="00160EAC">
        <w:rPr>
          <w:rFonts w:asciiTheme="minorHAnsi" w:hAnsiTheme="minorHAnsi" w:cstheme="minorHAnsi"/>
        </w:rPr>
        <w:t xml:space="preserve"> </w:t>
      </w:r>
      <w:hyperlink r:id="rId142" w:history="1">
        <w:r w:rsidRPr="00160EAC">
          <w:rPr>
            <w:rStyle w:val="Hyperlink"/>
            <w:rFonts w:asciiTheme="minorHAnsi" w:eastAsiaTheme="majorEastAsia" w:hAnsiTheme="minorHAnsi" w:cstheme="minorHAnsi"/>
          </w:rPr>
          <w:t>https://tepunaaonui.govt.nz/assets/National-strategy/Finals-translations-alt-formats/Te-Aorerekura-National-Strategy-final.pdf</w:t>
        </w:r>
      </w:hyperlink>
      <w:r w:rsidRPr="00160EAC">
        <w:rPr>
          <w:rFonts w:asciiTheme="minorHAnsi" w:hAnsiTheme="minorHAnsi" w:cstheme="minorHAnsi"/>
        </w:rPr>
        <w:t>, p. 8.</w:t>
      </w:r>
    </w:p>
  </w:footnote>
  <w:footnote w:id="229">
    <w:p w14:paraId="57D8791A" w14:textId="77777777" w:rsidR="00061CEB" w:rsidRPr="00233AF4" w:rsidRDefault="00061CEB" w:rsidP="00E20FF1">
      <w:pPr>
        <w:spacing w:after="0" w:line="240" w:lineRule="auto"/>
        <w:rPr>
          <w:rFonts w:cstheme="minorHAnsi"/>
          <w:lang w:val="mi-NZ"/>
        </w:rPr>
      </w:pPr>
      <w:r>
        <w:rPr>
          <w:rStyle w:val="FootnoteReference"/>
        </w:rPr>
        <w:footnoteRef/>
      </w:r>
      <w:r>
        <w:t xml:space="preserve"> </w:t>
      </w:r>
      <w:r w:rsidRPr="00233AF4">
        <w:rPr>
          <w:rFonts w:cstheme="minorHAnsi"/>
          <w:lang w:val="mi-NZ"/>
        </w:rPr>
        <w:t xml:space="preserve">Te Aorerekura uses the Tokotoru model (meaning the unbreakable three), a whānau centred model with three dimensions to enable and enhance wellbeing: </w:t>
      </w:r>
      <w:r w:rsidRPr="00233AF4">
        <w:rPr>
          <w:rFonts w:cstheme="minorHAnsi"/>
        </w:rPr>
        <w:t xml:space="preserve">Strengthening - a strength-based approach to enhancing the factors that support wellbeing and prevent harm; Responding - holistic, safe, accessible and integrated responses tailored to individuals, families, </w:t>
      </w:r>
      <w:proofErr w:type="spellStart"/>
      <w:r w:rsidRPr="00233AF4">
        <w:rPr>
          <w:rFonts w:cstheme="minorHAnsi"/>
        </w:rPr>
        <w:t>whānau</w:t>
      </w:r>
      <w:proofErr w:type="spellEnd"/>
      <w:r w:rsidRPr="00233AF4">
        <w:rPr>
          <w:rFonts w:cstheme="minorHAnsi"/>
        </w:rPr>
        <w:t xml:space="preserve"> and communities; Healing - a focus on supporting recovery, redress and restoration.</w:t>
      </w:r>
      <w:r w:rsidRPr="00E7687D">
        <w:rPr>
          <w:rFonts w:cstheme="minorHAnsi"/>
        </w:rPr>
        <w:t xml:space="preserve"> </w:t>
      </w:r>
    </w:p>
  </w:footnote>
  <w:footnote w:id="230">
    <w:p w14:paraId="26AAB8C8" w14:textId="77777777" w:rsidR="00061CEB" w:rsidRPr="00160EAC" w:rsidRDefault="00061CEB" w:rsidP="00E20FF1">
      <w:pPr>
        <w:pStyle w:val="FootnoteText"/>
        <w:rPr>
          <w:rFonts w:asciiTheme="minorHAnsi" w:hAnsiTheme="minorHAnsi" w:cstheme="minorHAnsi"/>
          <w:lang w:val="mi-NZ"/>
        </w:rPr>
      </w:pPr>
      <w:r w:rsidRPr="00160EAC">
        <w:rPr>
          <w:rStyle w:val="FootnoteReference"/>
          <w:rFonts w:asciiTheme="minorHAnsi" w:eastAsiaTheme="majorEastAsia" w:hAnsiTheme="minorHAnsi" w:cstheme="minorHAnsi"/>
        </w:rPr>
        <w:footnoteRef/>
      </w:r>
      <w:r w:rsidRPr="00160EAC">
        <w:rPr>
          <w:rFonts w:asciiTheme="minorHAnsi" w:hAnsiTheme="minorHAnsi" w:cstheme="minorHAnsi"/>
        </w:rPr>
        <w:t xml:space="preserve"> </w:t>
      </w:r>
      <w:r w:rsidRPr="00160EAC">
        <w:rPr>
          <w:rFonts w:asciiTheme="minorHAnsi" w:hAnsiTheme="minorHAnsi" w:cstheme="minorHAnsi"/>
          <w:lang w:val="mi-NZ"/>
        </w:rPr>
        <w:t>Ibid, p. 23.</w:t>
      </w:r>
    </w:p>
  </w:footnote>
  <w:footnote w:id="231">
    <w:p w14:paraId="7E7F9E6E" w14:textId="77777777" w:rsidR="00061CEB" w:rsidRPr="00160EAC" w:rsidRDefault="00061CEB" w:rsidP="00E20FF1">
      <w:pPr>
        <w:pStyle w:val="FootnoteText"/>
        <w:rPr>
          <w:rFonts w:asciiTheme="minorHAnsi" w:hAnsiTheme="minorHAnsi" w:cstheme="minorHAnsi"/>
          <w:lang w:val="en-US"/>
        </w:rPr>
      </w:pPr>
      <w:r w:rsidRPr="00160EAC">
        <w:rPr>
          <w:rStyle w:val="FootnoteReference"/>
          <w:rFonts w:asciiTheme="minorHAnsi" w:eastAsiaTheme="majorEastAsia" w:hAnsiTheme="minorHAnsi" w:cstheme="minorHAnsi"/>
        </w:rPr>
        <w:footnoteRef/>
      </w:r>
      <w:r w:rsidRPr="00160EAC">
        <w:rPr>
          <w:rFonts w:asciiTheme="minorHAnsi" w:hAnsiTheme="minorHAnsi" w:cstheme="minorHAnsi"/>
        </w:rPr>
        <w:t xml:space="preserve"> </w:t>
      </w:r>
      <w:r w:rsidRPr="00160EAC">
        <w:rPr>
          <w:rFonts w:asciiTheme="minorHAnsi" w:hAnsiTheme="minorHAnsi" w:cstheme="minorHAnsi"/>
          <w:lang w:val="en-US"/>
        </w:rPr>
        <w:t>Ibid, p. 48.</w:t>
      </w:r>
    </w:p>
  </w:footnote>
  <w:footnote w:id="232">
    <w:p w14:paraId="00EDD0A2" w14:textId="22B16892" w:rsidR="00061CEB" w:rsidRPr="00160EAC" w:rsidRDefault="00061CEB" w:rsidP="00E20FF1">
      <w:pPr>
        <w:pStyle w:val="FootnoteText"/>
        <w:rPr>
          <w:rFonts w:asciiTheme="minorHAnsi" w:hAnsiTheme="minorHAnsi" w:cstheme="minorHAnsi"/>
          <w:lang w:val="en-US"/>
        </w:rPr>
      </w:pPr>
      <w:r w:rsidRPr="00160EAC">
        <w:rPr>
          <w:rStyle w:val="FootnoteReference"/>
          <w:rFonts w:asciiTheme="minorHAnsi" w:eastAsiaTheme="majorEastAsia" w:hAnsiTheme="minorHAnsi" w:cstheme="minorHAnsi"/>
        </w:rPr>
        <w:footnoteRef/>
      </w:r>
      <w:r w:rsidRPr="00160EAC">
        <w:rPr>
          <w:rFonts w:asciiTheme="minorHAnsi" w:hAnsiTheme="minorHAnsi" w:cstheme="minorHAnsi"/>
        </w:rPr>
        <w:t xml:space="preserve"> </w:t>
      </w:r>
      <w:hyperlink r:id="rId143" w:history="1">
        <w:r w:rsidRPr="00160EAC">
          <w:rPr>
            <w:rStyle w:val="Hyperlink"/>
            <w:rFonts w:asciiTheme="minorHAnsi" w:eastAsiaTheme="majorEastAsia" w:hAnsiTheme="minorHAnsi" w:cstheme="minorHAnsi"/>
          </w:rPr>
          <w:t>https://tepunaaonui.govt.nz/assets/National-strategy/Finals-translations-alt-formats/Te-Aorerekura-Action-plan.pdf</w:t>
        </w:r>
      </w:hyperlink>
      <w:r w:rsidRPr="00160EAC">
        <w:rPr>
          <w:rFonts w:asciiTheme="minorHAnsi" w:hAnsiTheme="minorHAnsi" w:cstheme="minorHAnsi"/>
        </w:rPr>
        <w:t xml:space="preserve"> </w:t>
      </w:r>
      <w:r>
        <w:rPr>
          <w:rFonts w:asciiTheme="minorHAnsi" w:hAnsiTheme="minorHAnsi" w:cstheme="minorHAnsi"/>
        </w:rPr>
        <w:t xml:space="preserve">- </w:t>
      </w:r>
      <w:r w:rsidRPr="00160EAC">
        <w:rPr>
          <w:rFonts w:asciiTheme="minorHAnsi" w:hAnsiTheme="minorHAnsi" w:cstheme="minorHAnsi"/>
        </w:rPr>
        <w:t>The Action Plan includes 40 Actions across the six ‘shifts’ the Strategy focuses on. Only</w:t>
      </w:r>
      <w:r w:rsidR="00154BF7">
        <w:rPr>
          <w:rFonts w:asciiTheme="minorHAnsi" w:hAnsiTheme="minorHAnsi" w:cstheme="minorHAnsi"/>
        </w:rPr>
        <w:t xml:space="preserve"> some</w:t>
      </w:r>
      <w:r w:rsidRPr="00160EAC">
        <w:rPr>
          <w:rFonts w:asciiTheme="minorHAnsi" w:hAnsiTheme="minorHAnsi" w:cstheme="minorHAnsi"/>
        </w:rPr>
        <w:t xml:space="preserve"> of the actions specifically mention children (Action 14: Build the specialist workforces for children; Action 25: Develop social and emotional learning for children; Action 26: Strengthen community-led solutions to prevent child sexual abuse)</w:t>
      </w:r>
      <w:r>
        <w:rPr>
          <w:rFonts w:asciiTheme="minorHAnsi" w:hAnsiTheme="minorHAnsi" w:cstheme="minorHAnsi"/>
        </w:rPr>
        <w:t>. H</w:t>
      </w:r>
      <w:r w:rsidRPr="00160EAC">
        <w:rPr>
          <w:rFonts w:asciiTheme="minorHAnsi" w:hAnsiTheme="minorHAnsi" w:cstheme="minorHAnsi"/>
        </w:rPr>
        <w:t xml:space="preserve">owever, </w:t>
      </w:r>
      <w:proofErr w:type="gramStart"/>
      <w:r w:rsidRPr="00160EAC">
        <w:rPr>
          <w:rFonts w:asciiTheme="minorHAnsi" w:hAnsiTheme="minorHAnsi" w:cstheme="minorHAnsi"/>
        </w:rPr>
        <w:t>a number of</w:t>
      </w:r>
      <w:proofErr w:type="gramEnd"/>
      <w:r w:rsidRPr="00160EAC">
        <w:rPr>
          <w:rFonts w:asciiTheme="minorHAnsi" w:hAnsiTheme="minorHAnsi" w:cstheme="minorHAnsi"/>
        </w:rPr>
        <w:t xml:space="preserve"> others clearly relate to children (e.g.</w:t>
      </w:r>
      <w:r>
        <w:rPr>
          <w:rFonts w:asciiTheme="minorHAnsi" w:hAnsiTheme="minorHAnsi" w:cstheme="minorHAnsi"/>
        </w:rPr>
        <w:t>,</w:t>
      </w:r>
      <w:r w:rsidRPr="00160EAC">
        <w:rPr>
          <w:rFonts w:asciiTheme="minorHAnsi" w:hAnsiTheme="minorHAnsi" w:cstheme="minorHAnsi"/>
        </w:rPr>
        <w:t xml:space="preserve"> Action 17: Develop tools to support healthy, consensual relationships for young people; Action 24: Holistic support for safe early years; Action 34: Develop training and resources for parents, caregivers and </w:t>
      </w:r>
      <w:proofErr w:type="spellStart"/>
      <w:r w:rsidRPr="00160EAC">
        <w:rPr>
          <w:rFonts w:asciiTheme="minorHAnsi" w:hAnsiTheme="minorHAnsi" w:cstheme="minorHAnsi"/>
        </w:rPr>
        <w:t>whānau</w:t>
      </w:r>
      <w:proofErr w:type="spellEnd"/>
      <w:r w:rsidRPr="00160EAC">
        <w:rPr>
          <w:rFonts w:asciiTheme="minorHAnsi" w:hAnsiTheme="minorHAnsi" w:cstheme="minorHAnsi"/>
        </w:rPr>
        <w:t xml:space="preserve">). </w:t>
      </w:r>
    </w:p>
  </w:footnote>
  <w:footnote w:id="233">
    <w:p w14:paraId="3E699544" w14:textId="77777777" w:rsidR="00061CEB" w:rsidRPr="00160EAC" w:rsidRDefault="00061CEB" w:rsidP="00E20FF1">
      <w:pPr>
        <w:pStyle w:val="FootnoteText"/>
        <w:rPr>
          <w:rFonts w:asciiTheme="minorHAnsi" w:hAnsiTheme="minorHAnsi" w:cstheme="minorHAnsi"/>
          <w:lang w:val="en-US"/>
        </w:rPr>
      </w:pPr>
      <w:r w:rsidRPr="00160EAC">
        <w:rPr>
          <w:rStyle w:val="FootnoteReference"/>
          <w:rFonts w:asciiTheme="minorHAnsi" w:eastAsiaTheme="majorEastAsia" w:hAnsiTheme="minorHAnsi" w:cstheme="minorHAnsi"/>
        </w:rPr>
        <w:footnoteRef/>
      </w:r>
      <w:r w:rsidRPr="00160EAC">
        <w:rPr>
          <w:rFonts w:asciiTheme="minorHAnsi" w:hAnsiTheme="minorHAnsi" w:cstheme="minorHAnsi"/>
        </w:rPr>
        <w:t xml:space="preserve"> </w:t>
      </w:r>
      <w:hyperlink r:id="rId144" w:history="1">
        <w:r w:rsidRPr="00160EAC">
          <w:rPr>
            <w:rStyle w:val="Hyperlink"/>
            <w:rFonts w:asciiTheme="minorHAnsi" w:eastAsiaTheme="majorEastAsia" w:hAnsiTheme="minorHAnsi" w:cstheme="minorHAnsi"/>
          </w:rPr>
          <w:t>https://tepunaaonui.govt.nz/assets/National-strategy/Finals-translations-alt-formats/Te-Aorerekura-National-Strategy-final.pdf</w:t>
        </w:r>
      </w:hyperlink>
      <w:r w:rsidRPr="00160EAC">
        <w:rPr>
          <w:rFonts w:asciiTheme="minorHAnsi" w:hAnsiTheme="minorHAnsi" w:cstheme="minorHAnsi"/>
        </w:rPr>
        <w:t>, p. 11.</w:t>
      </w:r>
    </w:p>
  </w:footnote>
  <w:footnote w:id="234">
    <w:p w14:paraId="7390374E" w14:textId="77777777" w:rsidR="00061CEB" w:rsidRPr="00160EAC" w:rsidRDefault="00061CEB" w:rsidP="00E20FF1">
      <w:pPr>
        <w:pStyle w:val="FootnoteText"/>
        <w:rPr>
          <w:rFonts w:asciiTheme="minorHAnsi" w:hAnsiTheme="minorHAnsi" w:cstheme="minorHAnsi"/>
          <w:lang w:val="mi-NZ"/>
        </w:rPr>
      </w:pPr>
      <w:r w:rsidRPr="00160EAC">
        <w:rPr>
          <w:rStyle w:val="FootnoteReference"/>
          <w:rFonts w:asciiTheme="minorHAnsi" w:eastAsiaTheme="majorEastAsia" w:hAnsiTheme="minorHAnsi" w:cstheme="minorHAnsi"/>
        </w:rPr>
        <w:footnoteRef/>
      </w:r>
      <w:r w:rsidRPr="00160EAC">
        <w:rPr>
          <w:rFonts w:asciiTheme="minorHAnsi" w:hAnsiTheme="minorHAnsi" w:cstheme="minorHAnsi"/>
        </w:rPr>
        <w:t xml:space="preserve"> </w:t>
      </w:r>
      <w:r w:rsidRPr="00160EAC">
        <w:rPr>
          <w:rFonts w:asciiTheme="minorHAnsi" w:hAnsiTheme="minorHAnsi" w:cstheme="minorHAnsi"/>
          <w:lang w:val="mi-NZ"/>
        </w:rPr>
        <w:t>Ibid, p. 25.</w:t>
      </w:r>
    </w:p>
  </w:footnote>
  <w:footnote w:id="235">
    <w:p w14:paraId="7EA69C53" w14:textId="2DE1AC95" w:rsidR="00061CEB" w:rsidRPr="00871B26" w:rsidRDefault="00061CEB" w:rsidP="00E20FF1">
      <w:pPr>
        <w:pStyle w:val="FootnoteText"/>
        <w:rPr>
          <w:lang w:val="mi-NZ"/>
        </w:rPr>
      </w:pPr>
      <w:r>
        <w:rPr>
          <w:rStyle w:val="FootnoteReference"/>
        </w:rPr>
        <w:footnoteRef/>
      </w:r>
      <w:r>
        <w:t xml:space="preserve"> </w:t>
      </w:r>
      <w:r w:rsidRPr="001543D4">
        <w:rPr>
          <w:rFonts w:asciiTheme="minorHAnsi" w:hAnsiTheme="minorHAnsi"/>
          <w:lang w:val="mi-NZ"/>
        </w:rPr>
        <w:t>F</w:t>
      </w:r>
      <w:r w:rsidR="0023308B">
        <w:rPr>
          <w:rFonts w:asciiTheme="minorHAnsi" w:hAnsiTheme="minorHAnsi"/>
          <w:lang w:val="mi-NZ"/>
        </w:rPr>
        <w:t>oot</w:t>
      </w:r>
      <w:r w:rsidRPr="001543D4">
        <w:rPr>
          <w:rFonts w:asciiTheme="minorHAnsi" w:hAnsiTheme="minorHAnsi"/>
          <w:lang w:val="mi-NZ"/>
        </w:rPr>
        <w:t>n</w:t>
      </w:r>
      <w:r w:rsidR="0023308B">
        <w:rPr>
          <w:rFonts w:asciiTheme="minorHAnsi" w:hAnsiTheme="minorHAnsi"/>
          <w:lang w:val="mi-NZ"/>
        </w:rPr>
        <w:t>ote</w:t>
      </w:r>
      <w:r w:rsidRPr="001543D4">
        <w:rPr>
          <w:rFonts w:asciiTheme="minorHAnsi" w:hAnsiTheme="minorHAnsi"/>
          <w:lang w:val="mi-NZ"/>
        </w:rPr>
        <w:t xml:space="preserve"> 2</w:t>
      </w:r>
      <w:r w:rsidR="003F2D0D">
        <w:rPr>
          <w:rFonts w:asciiTheme="minorHAnsi" w:hAnsiTheme="minorHAnsi"/>
          <w:lang w:val="mi-NZ"/>
        </w:rPr>
        <w:t>29</w:t>
      </w:r>
      <w:r w:rsidR="00091CF0">
        <w:rPr>
          <w:rFonts w:asciiTheme="minorHAnsi" w:hAnsiTheme="minorHAnsi"/>
          <w:lang w:val="mi-NZ"/>
        </w:rPr>
        <w:t>.</w:t>
      </w:r>
      <w:r>
        <w:rPr>
          <w:lang w:val="mi-NZ"/>
        </w:rPr>
        <w:t xml:space="preserve"> </w:t>
      </w:r>
      <w:r w:rsidRPr="00871B26">
        <w:rPr>
          <w:rFonts w:asciiTheme="minorHAnsi" w:hAnsiTheme="minorHAnsi" w:cstheme="minorHAnsi"/>
          <w:lang w:val="mi-NZ"/>
        </w:rPr>
        <w:t>This includes ensuring that all three arms of the Tokotoru model (strengthening, responding and healing), as well as the learning and monitoring process, have a focus on children, their experiences and views.</w:t>
      </w:r>
    </w:p>
  </w:footnote>
  <w:footnote w:id="236">
    <w:p w14:paraId="58C8190E" w14:textId="03E95E51" w:rsidR="00061CEB" w:rsidRPr="00160EAC" w:rsidRDefault="00061CEB" w:rsidP="00E20FF1">
      <w:pPr>
        <w:pStyle w:val="FootnoteText"/>
        <w:rPr>
          <w:rFonts w:asciiTheme="minorHAnsi" w:hAnsiTheme="minorHAnsi" w:cstheme="minorHAnsi"/>
          <w:lang w:val="mi-NZ"/>
        </w:rPr>
      </w:pPr>
      <w:r w:rsidRPr="00160EAC">
        <w:rPr>
          <w:rStyle w:val="FootnoteReference"/>
          <w:rFonts w:asciiTheme="minorHAnsi" w:eastAsiaTheme="majorEastAsia" w:hAnsiTheme="minorHAnsi" w:cstheme="minorHAnsi"/>
        </w:rPr>
        <w:footnoteRef/>
      </w:r>
      <w:r w:rsidRPr="00160EAC">
        <w:rPr>
          <w:rFonts w:asciiTheme="minorHAnsi" w:hAnsiTheme="minorHAnsi" w:cstheme="minorHAnsi"/>
        </w:rPr>
        <w:t xml:space="preserve"> </w:t>
      </w:r>
      <w:r w:rsidR="00A33353">
        <w:rPr>
          <w:rFonts w:asciiTheme="minorHAnsi" w:hAnsiTheme="minorHAnsi" w:cstheme="minorHAnsi"/>
          <w:lang w:val="mi-NZ"/>
        </w:rPr>
        <w:t xml:space="preserve">I Hyslop, E Keddell </w:t>
      </w:r>
      <w:r w:rsidR="00A33353" w:rsidRPr="00A33353">
        <w:rPr>
          <w:rFonts w:asciiTheme="minorHAnsi" w:hAnsiTheme="minorHAnsi" w:cstheme="minorHAnsi"/>
          <w:i/>
          <w:iCs/>
          <w:lang w:val="mi-NZ"/>
        </w:rPr>
        <w:t>Opinion Report – Changes needed to the current system of child protection and care in Aotearoa</w:t>
      </w:r>
      <w:r w:rsidR="00A33353">
        <w:rPr>
          <w:rFonts w:asciiTheme="minorHAnsi" w:hAnsiTheme="minorHAnsi" w:cstheme="minorHAnsi"/>
          <w:lang w:val="mi-NZ"/>
        </w:rPr>
        <w:t xml:space="preserve"> (June 2022). </w:t>
      </w:r>
      <w:hyperlink r:id="rId145" w:history="1">
        <w:r w:rsidR="00A33353" w:rsidRPr="00F06804">
          <w:rPr>
            <w:rStyle w:val="Hyperlink"/>
            <w:rFonts w:asciiTheme="minorHAnsi" w:hAnsiTheme="minorHAnsi" w:cstheme="minorHAnsi"/>
            <w:lang w:val="mi-NZ"/>
          </w:rPr>
          <w:t>https://www.abuseincare.org.nz/our-progress/library/v/433/witness-statement-of-associate-professor-emily-keddell-and-dr-ian-hyslop-for-the-foster-care-public-hearing</w:t>
        </w:r>
      </w:hyperlink>
      <w:r w:rsidR="00A33353">
        <w:rPr>
          <w:rFonts w:asciiTheme="minorHAnsi" w:hAnsiTheme="minorHAnsi" w:cstheme="minorHAnsi"/>
          <w:lang w:val="mi-NZ"/>
        </w:rPr>
        <w:t xml:space="preserve"> </w:t>
      </w:r>
    </w:p>
  </w:footnote>
  <w:footnote w:id="237">
    <w:p w14:paraId="2FB2274A" w14:textId="1FE0EFB4" w:rsidR="00061CEB" w:rsidRPr="00160EAC" w:rsidRDefault="00061CEB" w:rsidP="00E20FF1">
      <w:pPr>
        <w:pStyle w:val="FootnoteText"/>
        <w:rPr>
          <w:rFonts w:asciiTheme="minorHAnsi" w:hAnsiTheme="minorHAnsi" w:cstheme="minorHAnsi"/>
          <w:lang w:val="mi-NZ"/>
        </w:rPr>
      </w:pPr>
      <w:r w:rsidRPr="00160EAC">
        <w:rPr>
          <w:rStyle w:val="FootnoteReference"/>
          <w:rFonts w:asciiTheme="minorHAnsi" w:eastAsiaTheme="majorEastAsia" w:hAnsiTheme="minorHAnsi" w:cstheme="minorHAnsi"/>
        </w:rPr>
        <w:footnoteRef/>
      </w:r>
      <w:r w:rsidRPr="00160EAC">
        <w:rPr>
          <w:rFonts w:asciiTheme="minorHAnsi" w:hAnsiTheme="minorHAnsi" w:cstheme="minorHAnsi"/>
        </w:rPr>
        <w:t xml:space="preserve"> </w:t>
      </w:r>
      <w:r w:rsidR="00A33353" w:rsidRPr="00E7687D">
        <w:rPr>
          <w:rFonts w:asciiTheme="minorHAnsi" w:hAnsiTheme="minorHAnsi" w:cstheme="minorHAnsi"/>
          <w:lang w:val="mi-NZ"/>
        </w:rPr>
        <w:t xml:space="preserve">CRC/C/NZL/CO/5, </w:t>
      </w:r>
      <w:r w:rsidRPr="00160EAC">
        <w:rPr>
          <w:rFonts w:asciiTheme="minorHAnsi" w:hAnsiTheme="minorHAnsi" w:cstheme="minorHAnsi"/>
          <w:lang w:val="mi-NZ"/>
        </w:rPr>
        <w:t xml:space="preserve">para </w:t>
      </w:r>
      <w:r w:rsidR="00A33353">
        <w:rPr>
          <w:rFonts w:asciiTheme="minorHAnsi" w:hAnsiTheme="minorHAnsi" w:cstheme="minorHAnsi"/>
          <w:lang w:val="mi-NZ"/>
        </w:rPr>
        <w:t>22</w:t>
      </w:r>
      <w:r w:rsidR="00F15887">
        <w:rPr>
          <w:rFonts w:asciiTheme="minorHAnsi" w:hAnsiTheme="minorHAnsi" w:cstheme="minorHAnsi"/>
          <w:lang w:val="mi-NZ"/>
        </w:rPr>
        <w:t>(</w:t>
      </w:r>
      <w:r w:rsidRPr="00160EAC">
        <w:rPr>
          <w:rFonts w:asciiTheme="minorHAnsi" w:hAnsiTheme="minorHAnsi" w:cstheme="minorHAnsi"/>
          <w:lang w:val="mi-NZ"/>
        </w:rPr>
        <w:t>d</w:t>
      </w:r>
      <w:r w:rsidR="00F15887">
        <w:rPr>
          <w:rFonts w:asciiTheme="minorHAnsi" w:hAnsiTheme="minorHAnsi" w:cstheme="minorHAnsi"/>
          <w:lang w:val="mi-NZ"/>
        </w:rPr>
        <w:t>)</w:t>
      </w:r>
      <w:r w:rsidRPr="00160EAC">
        <w:rPr>
          <w:rFonts w:asciiTheme="minorHAnsi" w:hAnsiTheme="minorHAnsi" w:cstheme="minorHAnsi"/>
          <w:lang w:val="mi-NZ"/>
        </w:rPr>
        <w:t>.</w:t>
      </w:r>
      <w:r>
        <w:rPr>
          <w:rFonts w:asciiTheme="minorHAnsi" w:hAnsiTheme="minorHAnsi" w:cstheme="minorHAnsi"/>
          <w:lang w:val="mi-NZ"/>
        </w:rPr>
        <w:t xml:space="preserve"> </w:t>
      </w:r>
    </w:p>
  </w:footnote>
  <w:footnote w:id="238">
    <w:p w14:paraId="609A0B3C" w14:textId="77777777" w:rsidR="00061CEB" w:rsidRPr="00160EAC" w:rsidRDefault="00061CEB" w:rsidP="00E20FF1">
      <w:pPr>
        <w:pStyle w:val="FootnoteText"/>
        <w:rPr>
          <w:rFonts w:asciiTheme="minorHAnsi" w:hAnsiTheme="minorHAnsi" w:cstheme="minorHAnsi"/>
          <w:lang w:val="en-US"/>
        </w:rPr>
      </w:pPr>
      <w:r w:rsidRPr="00160EAC">
        <w:rPr>
          <w:rStyle w:val="FootnoteReference"/>
          <w:rFonts w:asciiTheme="minorHAnsi" w:eastAsiaTheme="majorEastAsia" w:hAnsiTheme="minorHAnsi" w:cstheme="minorHAnsi"/>
        </w:rPr>
        <w:footnoteRef/>
      </w:r>
      <w:r w:rsidRPr="00160EAC">
        <w:rPr>
          <w:rFonts w:asciiTheme="minorHAnsi" w:hAnsiTheme="minorHAnsi" w:cstheme="minorHAnsi"/>
        </w:rPr>
        <w:t xml:space="preserve"> </w:t>
      </w:r>
      <w:hyperlink r:id="rId146" w:history="1">
        <w:r w:rsidRPr="00160EAC">
          <w:rPr>
            <w:rStyle w:val="Hyperlink"/>
            <w:rFonts w:asciiTheme="minorHAnsi" w:eastAsiaTheme="majorEastAsia" w:hAnsiTheme="minorHAnsi" w:cstheme="minorHAnsi"/>
          </w:rPr>
          <w:t>https://www.orangatamariki.govt.nz/assets/Uploads/About-us/Research/Data-analytics-and-insights/At-A-Glance-Harm-to-Children-in-New-Zealand.pdf</w:t>
        </w:r>
      </w:hyperlink>
      <w:r w:rsidRPr="00160EAC">
        <w:rPr>
          <w:rFonts w:asciiTheme="minorHAnsi" w:hAnsiTheme="minorHAnsi" w:cstheme="minorHAnsi"/>
        </w:rPr>
        <w:t xml:space="preserve"> </w:t>
      </w:r>
    </w:p>
  </w:footnote>
  <w:footnote w:id="239">
    <w:p w14:paraId="10ADF655" w14:textId="77777777" w:rsidR="00061CEB" w:rsidRPr="00160EAC" w:rsidRDefault="00061CEB" w:rsidP="00E20FF1">
      <w:pPr>
        <w:pStyle w:val="FootnoteText"/>
        <w:rPr>
          <w:rFonts w:asciiTheme="minorHAnsi" w:hAnsiTheme="minorHAnsi" w:cstheme="minorHAnsi"/>
          <w:lang w:val="mi-NZ"/>
        </w:rPr>
      </w:pPr>
      <w:r w:rsidRPr="00160EAC">
        <w:rPr>
          <w:rStyle w:val="FootnoteReference"/>
          <w:rFonts w:asciiTheme="minorHAnsi" w:eastAsiaTheme="majorEastAsia" w:hAnsiTheme="minorHAnsi" w:cstheme="minorHAnsi"/>
        </w:rPr>
        <w:footnoteRef/>
      </w:r>
      <w:r w:rsidRPr="00160EAC">
        <w:rPr>
          <w:rFonts w:asciiTheme="minorHAnsi" w:hAnsiTheme="minorHAnsi" w:cstheme="minorHAnsi"/>
        </w:rPr>
        <w:t xml:space="preserve"> </w:t>
      </w:r>
      <w:r w:rsidRPr="00160EAC">
        <w:rPr>
          <w:rFonts w:asciiTheme="minorHAnsi" w:hAnsiTheme="minorHAnsi" w:cstheme="minorHAnsi"/>
          <w:lang w:val="mi-NZ"/>
        </w:rPr>
        <w:t>Te Aorerekura also states</w:t>
      </w:r>
      <w:r>
        <w:rPr>
          <w:rFonts w:asciiTheme="minorHAnsi" w:hAnsiTheme="minorHAnsi" w:cstheme="minorHAnsi"/>
          <w:lang w:val="mi-NZ"/>
        </w:rPr>
        <w:t xml:space="preserve"> (at p. 68)</w:t>
      </w:r>
      <w:r w:rsidRPr="00160EAC">
        <w:rPr>
          <w:rFonts w:asciiTheme="minorHAnsi" w:hAnsiTheme="minorHAnsi" w:cstheme="minorHAnsi"/>
          <w:lang w:val="mi-NZ"/>
        </w:rPr>
        <w:t>: “</w:t>
      </w:r>
      <w:r w:rsidRPr="00160EAC">
        <w:rPr>
          <w:rFonts w:asciiTheme="minorHAnsi" w:hAnsiTheme="minorHAnsi" w:cstheme="minorHAnsi"/>
        </w:rPr>
        <w:t xml:space="preserve">We know there are gaps in our data collection on family violence and sexual violence. For example, we know there is no reliable data on the violence used against disabled people, children, young people, older people, ethnic and LGBTQI+ communities amongst others. Protocols need to be developed to ensure this data is collected by multiple organisations including specialist violence services, </w:t>
      </w:r>
      <w:proofErr w:type="spellStart"/>
      <w:r w:rsidRPr="00160EAC">
        <w:rPr>
          <w:rFonts w:asciiTheme="minorHAnsi" w:hAnsiTheme="minorHAnsi" w:cstheme="minorHAnsi"/>
        </w:rPr>
        <w:t>Ngā</w:t>
      </w:r>
      <w:proofErr w:type="spellEnd"/>
      <w:r w:rsidRPr="00160EAC">
        <w:rPr>
          <w:rFonts w:asciiTheme="minorHAnsi" w:hAnsiTheme="minorHAnsi" w:cstheme="minorHAnsi"/>
        </w:rPr>
        <w:t xml:space="preserve"> </w:t>
      </w:r>
      <w:proofErr w:type="spellStart"/>
      <w:r w:rsidRPr="00160EAC">
        <w:rPr>
          <w:rFonts w:asciiTheme="minorHAnsi" w:hAnsiTheme="minorHAnsi" w:cstheme="minorHAnsi"/>
        </w:rPr>
        <w:t>Pirihimana</w:t>
      </w:r>
      <w:proofErr w:type="spellEnd"/>
      <w:r w:rsidRPr="00160EAC">
        <w:rPr>
          <w:rFonts w:asciiTheme="minorHAnsi" w:hAnsiTheme="minorHAnsi" w:cstheme="minorHAnsi"/>
        </w:rPr>
        <w:t xml:space="preserve"> o Aotearoa | New Zealand Police, health boards, and disability services.” </w:t>
      </w:r>
      <w:hyperlink r:id="rId147" w:history="1">
        <w:r w:rsidRPr="00160EAC">
          <w:rPr>
            <w:rStyle w:val="Hyperlink"/>
            <w:rFonts w:asciiTheme="minorHAnsi" w:eastAsiaTheme="majorEastAsia" w:hAnsiTheme="minorHAnsi" w:cstheme="minorHAnsi"/>
          </w:rPr>
          <w:t>https://tepunaaonui.govt.nz/assets/National-strategy/Finals-translations-alt-formats/Te-Aorerekura-National-Strategy-final.pdf</w:t>
        </w:r>
      </w:hyperlink>
    </w:p>
  </w:footnote>
  <w:footnote w:id="240">
    <w:p w14:paraId="7CCFE62E" w14:textId="77777777" w:rsidR="00061CEB" w:rsidRPr="00160EAC" w:rsidRDefault="00061CEB" w:rsidP="00E20FF1">
      <w:pPr>
        <w:pStyle w:val="FootnoteText"/>
        <w:rPr>
          <w:rFonts w:asciiTheme="minorHAnsi" w:hAnsiTheme="minorHAnsi" w:cstheme="minorHAnsi"/>
          <w:lang w:val="en-US"/>
        </w:rPr>
      </w:pPr>
      <w:r w:rsidRPr="00160EAC">
        <w:rPr>
          <w:rStyle w:val="FootnoteReference"/>
          <w:rFonts w:asciiTheme="minorHAnsi" w:eastAsiaTheme="majorEastAsia" w:hAnsiTheme="minorHAnsi" w:cstheme="minorHAnsi"/>
        </w:rPr>
        <w:footnoteRef/>
      </w:r>
      <w:r w:rsidRPr="00160EAC">
        <w:rPr>
          <w:rFonts w:asciiTheme="minorHAnsi" w:hAnsiTheme="minorHAnsi" w:cstheme="minorHAnsi"/>
        </w:rPr>
        <w:t xml:space="preserve"> </w:t>
      </w:r>
      <w:r w:rsidRPr="00160EAC">
        <w:rPr>
          <w:rFonts w:asciiTheme="minorHAnsi" w:hAnsiTheme="minorHAnsi" w:cstheme="minorHAnsi"/>
          <w:lang w:val="en-US"/>
        </w:rPr>
        <w:t>Ibid.</w:t>
      </w:r>
    </w:p>
  </w:footnote>
  <w:footnote w:id="241">
    <w:p w14:paraId="47B92DA9" w14:textId="77777777" w:rsidR="0033193B" w:rsidRPr="00160EAC" w:rsidRDefault="0033193B" w:rsidP="00E20FF1">
      <w:pPr>
        <w:pStyle w:val="FootnoteText"/>
        <w:rPr>
          <w:rFonts w:asciiTheme="minorHAnsi" w:hAnsiTheme="minorHAnsi" w:cstheme="minorHAnsi"/>
          <w:lang w:val="en-US"/>
        </w:rPr>
      </w:pPr>
      <w:r w:rsidRPr="00160EAC">
        <w:rPr>
          <w:rStyle w:val="FootnoteReference"/>
          <w:rFonts w:asciiTheme="minorHAnsi" w:eastAsiaTheme="majorEastAsia" w:hAnsiTheme="minorHAnsi" w:cstheme="minorHAnsi"/>
        </w:rPr>
        <w:footnoteRef/>
      </w:r>
      <w:r w:rsidRPr="00160EAC">
        <w:rPr>
          <w:rFonts w:asciiTheme="minorHAnsi" w:hAnsiTheme="minorHAnsi" w:cstheme="minorHAnsi"/>
        </w:rPr>
        <w:t xml:space="preserve"> </w:t>
      </w:r>
      <w:r>
        <w:rPr>
          <w:rFonts w:asciiTheme="minorHAnsi" w:hAnsiTheme="minorHAnsi" w:cstheme="minorHAnsi"/>
        </w:rPr>
        <w:t xml:space="preserve"> </w:t>
      </w:r>
      <w:r w:rsidRPr="00E7687D">
        <w:rPr>
          <w:rFonts w:asciiTheme="minorHAnsi" w:hAnsiTheme="minorHAnsi" w:cstheme="minorHAnsi"/>
          <w:lang w:val="mi-NZ"/>
        </w:rPr>
        <w:t>Safety of Children in Care reports</w:t>
      </w:r>
      <w:r>
        <w:t xml:space="preserve">. </w:t>
      </w:r>
      <w:hyperlink r:id="rId148" w:history="1">
        <w:r w:rsidRPr="00F06804">
          <w:rPr>
            <w:rStyle w:val="Hyperlink"/>
            <w:rFonts w:asciiTheme="minorHAnsi" w:eastAsiaTheme="majorEastAsia" w:hAnsiTheme="minorHAnsi" w:cstheme="minorHAnsi"/>
            <w:lang w:val="en-US"/>
          </w:rPr>
          <w:t>https://www.orangatamariki.govt.nz/about-us/performance-and-monitoring/safety-of-children-in-care/</w:t>
        </w:r>
      </w:hyperlink>
      <w:r w:rsidRPr="00160EAC">
        <w:rPr>
          <w:rFonts w:asciiTheme="minorHAnsi" w:hAnsiTheme="minorHAnsi" w:cstheme="minorHAnsi"/>
          <w:lang w:val="en-US"/>
        </w:rPr>
        <w:t xml:space="preserve"> </w:t>
      </w:r>
    </w:p>
  </w:footnote>
  <w:footnote w:id="242">
    <w:p w14:paraId="26198663" w14:textId="77777777" w:rsidR="0033193B" w:rsidRPr="00160EAC" w:rsidRDefault="0033193B" w:rsidP="00E20FF1">
      <w:pPr>
        <w:pStyle w:val="FootnoteText"/>
        <w:rPr>
          <w:rFonts w:asciiTheme="minorHAnsi" w:hAnsiTheme="minorHAnsi" w:cstheme="minorHAnsi"/>
          <w:lang w:val="mi-NZ"/>
        </w:rPr>
      </w:pPr>
      <w:r w:rsidRPr="00160EAC">
        <w:rPr>
          <w:rStyle w:val="FootnoteReference"/>
          <w:rFonts w:asciiTheme="minorHAnsi" w:eastAsiaTheme="majorEastAsia" w:hAnsiTheme="minorHAnsi" w:cstheme="minorHAnsi"/>
        </w:rPr>
        <w:footnoteRef/>
      </w:r>
      <w:r w:rsidRPr="00160EAC">
        <w:rPr>
          <w:rFonts w:asciiTheme="minorHAnsi" w:hAnsiTheme="minorHAnsi" w:cstheme="minorHAnsi"/>
        </w:rPr>
        <w:t xml:space="preserve"> </w:t>
      </w:r>
      <w:hyperlink r:id="rId149" w:history="1">
        <w:r w:rsidRPr="00160EAC">
          <w:rPr>
            <w:rStyle w:val="Hyperlink"/>
            <w:rFonts w:asciiTheme="minorHAnsi" w:eastAsiaTheme="majorEastAsia" w:hAnsiTheme="minorHAnsi" w:cstheme="minorHAnsi"/>
          </w:rPr>
          <w:t>https://www.orangatamariki.govt.nz/assets/Uploads/About-us/Performance-and-monitoring/safety-of-children-in-care/2020-21/SOCiC-AR-2021-FA.pdf</w:t>
        </w:r>
      </w:hyperlink>
      <w:r w:rsidRPr="00160EAC">
        <w:rPr>
          <w:rFonts w:asciiTheme="minorHAnsi" w:hAnsiTheme="minorHAnsi" w:cstheme="minorHAnsi"/>
        </w:rPr>
        <w:t>, p. 8.</w:t>
      </w:r>
    </w:p>
  </w:footnote>
  <w:footnote w:id="243">
    <w:p w14:paraId="3C453D36" w14:textId="77777777" w:rsidR="0033193B" w:rsidRPr="00160EAC" w:rsidRDefault="0033193B" w:rsidP="00E20FF1">
      <w:pPr>
        <w:pStyle w:val="FootnoteText"/>
        <w:rPr>
          <w:rFonts w:asciiTheme="minorHAnsi" w:hAnsiTheme="minorHAnsi" w:cstheme="minorHAnsi"/>
          <w:lang w:val="mi-NZ"/>
        </w:rPr>
      </w:pPr>
      <w:r w:rsidRPr="00160EAC">
        <w:rPr>
          <w:rStyle w:val="FootnoteReference"/>
          <w:rFonts w:asciiTheme="minorHAnsi" w:eastAsiaTheme="majorEastAsia" w:hAnsiTheme="minorHAnsi" w:cstheme="minorHAnsi"/>
        </w:rPr>
        <w:footnoteRef/>
      </w:r>
      <w:r w:rsidRPr="00160EAC">
        <w:rPr>
          <w:rFonts w:asciiTheme="minorHAnsi" w:hAnsiTheme="minorHAnsi" w:cstheme="minorHAnsi"/>
        </w:rPr>
        <w:t xml:space="preserve"> The Report </w:t>
      </w:r>
      <w:r>
        <w:rPr>
          <w:rFonts w:asciiTheme="minorHAnsi" w:hAnsiTheme="minorHAnsi" w:cstheme="minorHAnsi"/>
        </w:rPr>
        <w:t xml:space="preserve">(p. 13ff) </w:t>
      </w:r>
      <w:r w:rsidRPr="00160EAC">
        <w:rPr>
          <w:rFonts w:asciiTheme="minorHAnsi" w:hAnsiTheme="minorHAnsi" w:cstheme="minorHAnsi"/>
        </w:rPr>
        <w:t xml:space="preserve">states that 52 children had 58 findings of neglect; 183 children had 252 findings of emotional harm; 289 children had 344 findings of physical harm; </w:t>
      </w:r>
      <w:r>
        <w:rPr>
          <w:rFonts w:asciiTheme="minorHAnsi" w:hAnsiTheme="minorHAnsi" w:cstheme="minorHAnsi"/>
        </w:rPr>
        <w:t xml:space="preserve">and </w:t>
      </w:r>
      <w:r w:rsidRPr="00160EAC">
        <w:rPr>
          <w:rFonts w:asciiTheme="minorHAnsi" w:hAnsiTheme="minorHAnsi" w:cstheme="minorHAnsi"/>
        </w:rPr>
        <w:t xml:space="preserve">77 children had 88 findings of sexual harm. </w:t>
      </w:r>
    </w:p>
  </w:footnote>
  <w:footnote w:id="244">
    <w:p w14:paraId="474A11C4" w14:textId="77777777" w:rsidR="0033193B" w:rsidRPr="00635421" w:rsidRDefault="0033193B" w:rsidP="00E20FF1">
      <w:pPr>
        <w:pStyle w:val="FootnoteText"/>
        <w:rPr>
          <w:rFonts w:asciiTheme="minorHAnsi" w:hAnsiTheme="minorHAnsi" w:cstheme="minorHAnsi"/>
          <w:lang w:val="mi-NZ"/>
        </w:rPr>
      </w:pPr>
      <w:r>
        <w:rPr>
          <w:rStyle w:val="FootnoteReference"/>
        </w:rPr>
        <w:footnoteRef/>
      </w:r>
      <w:r>
        <w:t xml:space="preserve"> </w:t>
      </w:r>
      <w:r w:rsidRPr="00635421">
        <w:rPr>
          <w:rFonts w:asciiTheme="minorHAnsi" w:hAnsiTheme="minorHAnsi" w:cstheme="minorHAnsi"/>
          <w:lang w:val="mi-NZ"/>
        </w:rPr>
        <w:t>This includes Māori Pacific children: children who have both Māori and Pacific ancestry.</w:t>
      </w:r>
    </w:p>
  </w:footnote>
  <w:footnote w:id="245">
    <w:p w14:paraId="7F985B2D" w14:textId="77777777" w:rsidR="0033193B" w:rsidRPr="00160EAC" w:rsidRDefault="0033193B" w:rsidP="00E20FF1">
      <w:pPr>
        <w:pStyle w:val="FootnoteText"/>
        <w:rPr>
          <w:rFonts w:asciiTheme="minorHAnsi" w:hAnsiTheme="minorHAnsi" w:cstheme="minorHAnsi"/>
          <w:lang w:val="mi-NZ"/>
        </w:rPr>
      </w:pPr>
      <w:r w:rsidRPr="00160EAC">
        <w:rPr>
          <w:rStyle w:val="FootnoteReference"/>
          <w:rFonts w:asciiTheme="minorHAnsi" w:eastAsiaTheme="majorEastAsia" w:hAnsiTheme="minorHAnsi" w:cstheme="minorHAnsi"/>
        </w:rPr>
        <w:footnoteRef/>
      </w:r>
      <w:r w:rsidRPr="00160EAC">
        <w:rPr>
          <w:rFonts w:asciiTheme="minorHAnsi" w:hAnsiTheme="minorHAnsi" w:cstheme="minorHAnsi"/>
        </w:rPr>
        <w:t xml:space="preserve"> </w:t>
      </w:r>
      <w:r w:rsidRPr="00160EAC">
        <w:rPr>
          <w:rFonts w:asciiTheme="minorHAnsi" w:hAnsiTheme="minorHAnsi" w:cstheme="minorHAnsi"/>
          <w:lang w:val="mi-NZ"/>
        </w:rPr>
        <w:t xml:space="preserve">Ibid, p. 9. </w:t>
      </w:r>
    </w:p>
  </w:footnote>
  <w:footnote w:id="246">
    <w:p w14:paraId="12EEB86C" w14:textId="77777777" w:rsidR="0033193B" w:rsidRPr="00160EAC" w:rsidRDefault="0033193B" w:rsidP="00E20FF1">
      <w:pPr>
        <w:pStyle w:val="FootnoteText"/>
        <w:rPr>
          <w:rFonts w:asciiTheme="minorHAnsi" w:hAnsiTheme="minorHAnsi" w:cstheme="minorHAnsi"/>
          <w:lang w:val="mi-NZ"/>
        </w:rPr>
      </w:pPr>
      <w:r w:rsidRPr="00160EAC">
        <w:rPr>
          <w:rStyle w:val="FootnoteReference"/>
          <w:rFonts w:asciiTheme="minorHAnsi" w:hAnsiTheme="minorHAnsi" w:cstheme="minorHAnsi"/>
        </w:rPr>
        <w:footnoteRef/>
      </w:r>
      <w:r w:rsidRPr="00160EAC">
        <w:rPr>
          <w:rFonts w:asciiTheme="minorHAnsi" w:hAnsiTheme="minorHAnsi" w:cstheme="minorHAnsi"/>
        </w:rPr>
        <w:t xml:space="preserve"> </w:t>
      </w:r>
      <w:r w:rsidRPr="00160EAC">
        <w:rPr>
          <w:rFonts w:asciiTheme="minorHAnsi" w:hAnsiTheme="minorHAnsi" w:cstheme="minorHAnsi"/>
          <w:lang w:val="mi-NZ"/>
        </w:rPr>
        <w:t xml:space="preserve">Government </w:t>
      </w:r>
      <w:r>
        <w:rPr>
          <w:rFonts w:asciiTheme="minorHAnsi" w:hAnsiTheme="minorHAnsi" w:cstheme="minorHAnsi"/>
          <w:lang w:val="mi-NZ"/>
        </w:rPr>
        <w:t>R</w:t>
      </w:r>
      <w:r w:rsidRPr="00160EAC">
        <w:rPr>
          <w:rFonts w:asciiTheme="minorHAnsi" w:hAnsiTheme="minorHAnsi" w:cstheme="minorHAnsi"/>
          <w:lang w:val="mi-NZ"/>
        </w:rPr>
        <w:t>eport, paras 113-117.</w:t>
      </w:r>
    </w:p>
  </w:footnote>
  <w:footnote w:id="247">
    <w:p w14:paraId="6B25D070" w14:textId="77777777" w:rsidR="0033193B" w:rsidRPr="00160EAC" w:rsidRDefault="0033193B" w:rsidP="00E20FF1">
      <w:pPr>
        <w:spacing w:after="0" w:line="240" w:lineRule="auto"/>
        <w:rPr>
          <w:rFonts w:cstheme="minorHAnsi"/>
          <w:lang w:val="mi-NZ"/>
        </w:rPr>
      </w:pPr>
      <w:r w:rsidRPr="00160EAC">
        <w:rPr>
          <w:rStyle w:val="FootnoteReference"/>
          <w:rFonts w:eastAsiaTheme="majorEastAsia" w:cstheme="minorHAnsi"/>
        </w:rPr>
        <w:footnoteRef/>
      </w:r>
      <w:r w:rsidRPr="00160EAC">
        <w:rPr>
          <w:rFonts w:cstheme="minorHAnsi"/>
        </w:rPr>
        <w:t xml:space="preserve"> </w:t>
      </w:r>
      <w:hyperlink r:id="rId150" w:history="1">
        <w:r w:rsidRPr="00160EAC">
          <w:rPr>
            <w:rStyle w:val="Hyperlink"/>
            <w:rFonts w:eastAsiaTheme="majorEastAsia" w:cstheme="minorHAnsi"/>
            <w:lang w:val="mi-NZ"/>
          </w:rPr>
          <w:t>https://www.newsroom.co.nz/alarm-at-physical-restraints-of-kids-in-care</w:t>
        </w:r>
      </w:hyperlink>
      <w:r w:rsidRPr="00160EAC">
        <w:rPr>
          <w:rFonts w:cstheme="minorHAnsi"/>
          <w:lang w:val="mi-NZ"/>
        </w:rPr>
        <w:t xml:space="preserve">  </w:t>
      </w:r>
    </w:p>
  </w:footnote>
  <w:footnote w:id="248">
    <w:p w14:paraId="24BA4449" w14:textId="77777777" w:rsidR="0033193B" w:rsidRPr="00160EAC" w:rsidRDefault="0033193B" w:rsidP="00E20FF1">
      <w:pPr>
        <w:pStyle w:val="FootnoteText"/>
        <w:rPr>
          <w:rFonts w:asciiTheme="minorHAnsi" w:hAnsiTheme="minorHAnsi" w:cstheme="minorHAnsi"/>
        </w:rPr>
      </w:pPr>
      <w:r w:rsidRPr="00160EAC">
        <w:rPr>
          <w:rStyle w:val="FootnoteReference"/>
          <w:rFonts w:asciiTheme="minorHAnsi" w:eastAsiaTheme="majorEastAsia" w:hAnsiTheme="minorHAnsi" w:cstheme="minorHAnsi"/>
        </w:rPr>
        <w:footnoteRef/>
      </w:r>
      <w:r w:rsidRPr="00160EAC">
        <w:rPr>
          <w:rFonts w:asciiTheme="minorHAnsi" w:hAnsiTheme="minorHAnsi" w:cstheme="minorHAnsi"/>
        </w:rPr>
        <w:t xml:space="preserve"> </w:t>
      </w:r>
      <w:hyperlink r:id="rId151" w:history="1">
        <w:r w:rsidRPr="00160EAC">
          <w:rPr>
            <w:rStyle w:val="Hyperlink"/>
            <w:rFonts w:asciiTheme="minorHAnsi" w:eastAsiaTheme="majorEastAsia" w:hAnsiTheme="minorHAnsi" w:cstheme="minorHAnsi"/>
          </w:rPr>
          <w:t>https://www.stuff.co.nz/national/politics/125593928/childrens-minister-orders-investigation-into-restraint-of-children-at-care-facilities-after-whistleblower-video</w:t>
        </w:r>
      </w:hyperlink>
    </w:p>
  </w:footnote>
  <w:footnote w:id="249">
    <w:p w14:paraId="18DA7811" w14:textId="77777777" w:rsidR="0033193B" w:rsidRPr="00160EAC" w:rsidRDefault="0033193B" w:rsidP="00E20FF1">
      <w:pPr>
        <w:pStyle w:val="FootnoteText"/>
        <w:rPr>
          <w:rFonts w:asciiTheme="minorHAnsi" w:hAnsiTheme="minorHAnsi" w:cstheme="minorHAnsi"/>
          <w:lang w:val="en-US"/>
        </w:rPr>
      </w:pPr>
      <w:r w:rsidRPr="00160EAC">
        <w:rPr>
          <w:rStyle w:val="FootnoteReference"/>
          <w:rFonts w:asciiTheme="minorHAnsi" w:eastAsiaTheme="majorEastAsia" w:hAnsiTheme="minorHAnsi" w:cstheme="minorHAnsi"/>
        </w:rPr>
        <w:footnoteRef/>
      </w:r>
      <w:r w:rsidRPr="00160EAC">
        <w:rPr>
          <w:rFonts w:asciiTheme="minorHAnsi" w:hAnsiTheme="minorHAnsi" w:cstheme="minorHAnsi"/>
        </w:rPr>
        <w:t xml:space="preserve"> </w:t>
      </w:r>
      <w:hyperlink r:id="rId152" w:history="1">
        <w:r w:rsidRPr="00160EAC">
          <w:rPr>
            <w:rStyle w:val="Hyperlink"/>
            <w:rFonts w:asciiTheme="minorHAnsi" w:eastAsiaTheme="majorEastAsia" w:hAnsiTheme="minorHAnsi" w:cstheme="minorHAnsi"/>
          </w:rPr>
          <w:t>https://www.orangatamariki.govt.nz/about-us/news/media-release-closure-of-te-oranga/</w:t>
        </w:r>
      </w:hyperlink>
      <w:r w:rsidRPr="00160EAC">
        <w:rPr>
          <w:rFonts w:asciiTheme="minorHAnsi" w:hAnsiTheme="minorHAnsi" w:cstheme="minorHAnsi"/>
        </w:rPr>
        <w:t xml:space="preserve"> </w:t>
      </w:r>
    </w:p>
  </w:footnote>
  <w:footnote w:id="250">
    <w:p w14:paraId="103CEBF6" w14:textId="37079DEF" w:rsidR="0033193B" w:rsidRPr="002F2C57" w:rsidRDefault="0033193B" w:rsidP="00E20FF1">
      <w:pPr>
        <w:spacing w:after="0" w:line="240" w:lineRule="auto"/>
      </w:pPr>
      <w:r>
        <w:rPr>
          <w:rStyle w:val="FootnoteReference"/>
        </w:rPr>
        <w:footnoteRef/>
      </w:r>
      <w:r>
        <w:t xml:space="preserve"> </w:t>
      </w:r>
      <w:r w:rsidR="00091CF0">
        <w:rPr>
          <w:rFonts w:cstheme="minorHAnsi"/>
          <w:lang w:val="mi-NZ"/>
        </w:rPr>
        <w:t>S</w:t>
      </w:r>
      <w:r w:rsidRPr="002F2C57">
        <w:rPr>
          <w:rFonts w:cstheme="minorHAnsi"/>
          <w:lang w:val="mi-NZ"/>
        </w:rPr>
        <w:t xml:space="preserve">ee Appendix Two on the </w:t>
      </w:r>
      <w:r w:rsidRPr="002F2C57">
        <w:rPr>
          <w:rFonts w:cstheme="minorHAnsi"/>
        </w:rPr>
        <w:t xml:space="preserve">Oversight of </w:t>
      </w:r>
      <w:proofErr w:type="spellStart"/>
      <w:r w:rsidRPr="002F2C57">
        <w:rPr>
          <w:rFonts w:cstheme="minorHAnsi"/>
        </w:rPr>
        <w:t>Oranga</w:t>
      </w:r>
      <w:proofErr w:type="spellEnd"/>
      <w:r w:rsidRPr="002F2C57">
        <w:rPr>
          <w:rFonts w:cstheme="minorHAnsi"/>
        </w:rPr>
        <w:t xml:space="preserve"> Tamariki System and Children and Young People’s Commission Bill 2021, which describes proposed changes to oversight of the OT system, including State care.</w:t>
      </w:r>
    </w:p>
  </w:footnote>
  <w:footnote w:id="251">
    <w:p w14:paraId="62872B00" w14:textId="3F1DA562" w:rsidR="00A400EA" w:rsidRPr="00A400EA" w:rsidRDefault="00A400EA" w:rsidP="00E20FF1">
      <w:pPr>
        <w:spacing w:after="0" w:line="240" w:lineRule="auto"/>
      </w:pPr>
      <w:r w:rsidRPr="00A400EA">
        <w:rPr>
          <w:rStyle w:val="FootnoteReference"/>
        </w:rPr>
        <w:footnoteRef/>
      </w:r>
      <w:r w:rsidRPr="00A400EA">
        <w:t xml:space="preserve"> </w:t>
      </w:r>
      <w:r>
        <w:rPr>
          <w:rFonts w:cs="Arial"/>
        </w:rPr>
        <w:t>The facility has now</w:t>
      </w:r>
      <w:r w:rsidRPr="00A400EA">
        <w:rPr>
          <w:rFonts w:cs="Arial"/>
        </w:rPr>
        <w:t xml:space="preserve"> been reopened: </w:t>
      </w:r>
      <w:hyperlink r:id="rId153" w:anchor=":~:text=A%20decision%20to%20close%20Oranga,%E2%80%9D%2C%20which%20was%20being%20developed" w:history="1">
        <w:proofErr w:type="spellStart"/>
        <w:r w:rsidRPr="00A400EA">
          <w:rPr>
            <w:rStyle w:val="Hyperlink"/>
          </w:rPr>
          <w:t>Te</w:t>
        </w:r>
        <w:proofErr w:type="spellEnd"/>
        <w:r w:rsidRPr="00A400EA">
          <w:rPr>
            <w:rStyle w:val="Hyperlink"/>
          </w:rPr>
          <w:t xml:space="preserve"> </w:t>
        </w:r>
        <w:proofErr w:type="spellStart"/>
        <w:r w:rsidRPr="00A400EA">
          <w:rPr>
            <w:rStyle w:val="Hyperlink"/>
          </w:rPr>
          <w:t>Oranga</w:t>
        </w:r>
        <w:proofErr w:type="spellEnd"/>
        <w:r w:rsidRPr="00A400EA">
          <w:rPr>
            <w:rStyle w:val="Hyperlink"/>
          </w:rPr>
          <w:t xml:space="preserve"> to stay open after investigation into </w:t>
        </w:r>
        <w:proofErr w:type="spellStart"/>
        <w:r w:rsidRPr="00A400EA">
          <w:rPr>
            <w:rStyle w:val="Hyperlink"/>
          </w:rPr>
          <w:t>whistleblower</w:t>
        </w:r>
        <w:proofErr w:type="spellEnd"/>
        <w:r w:rsidRPr="00A400EA">
          <w:rPr>
            <w:rStyle w:val="Hyperlink"/>
          </w:rPr>
          <w:t xml:space="preserve"> video - no evidence </w:t>
        </w:r>
        <w:proofErr w:type="spellStart"/>
        <w:r w:rsidRPr="00A400EA">
          <w:rPr>
            <w:rStyle w:val="Hyperlink"/>
          </w:rPr>
          <w:t>tamariki</w:t>
        </w:r>
        <w:proofErr w:type="spellEnd"/>
        <w:r w:rsidRPr="00A400EA">
          <w:rPr>
            <w:rStyle w:val="Hyperlink"/>
          </w:rPr>
          <w:t xml:space="preserve"> unsafe</w:t>
        </w:r>
      </w:hyperlink>
    </w:p>
  </w:footnote>
  <w:footnote w:id="252">
    <w:p w14:paraId="0C34F04C" w14:textId="759E8FB9" w:rsidR="0033193B" w:rsidRPr="00824A65" w:rsidRDefault="0033193B" w:rsidP="00E20FF1">
      <w:pPr>
        <w:spacing w:after="0" w:line="240" w:lineRule="auto"/>
        <w:rPr>
          <w:rFonts w:cstheme="minorHAnsi"/>
          <w:lang w:val="mi-NZ"/>
        </w:rPr>
      </w:pPr>
      <w:r w:rsidRPr="00160EAC">
        <w:rPr>
          <w:rStyle w:val="FootnoteReference"/>
          <w:rFonts w:eastAsiaTheme="majorEastAsia" w:cstheme="minorHAnsi"/>
        </w:rPr>
        <w:footnoteRef/>
      </w:r>
      <w:r w:rsidRPr="00160EAC">
        <w:rPr>
          <w:rFonts w:cstheme="minorHAnsi"/>
        </w:rPr>
        <w:t xml:space="preserve"> </w:t>
      </w:r>
      <w:r w:rsidRPr="00160EAC">
        <w:rPr>
          <w:rFonts w:cstheme="minorHAnsi"/>
          <w:lang w:val="mi-NZ"/>
        </w:rPr>
        <w:t>Currently, under the proposed changes:</w:t>
      </w:r>
      <w:r>
        <w:rPr>
          <w:rFonts w:cstheme="minorHAnsi"/>
          <w:lang w:val="mi-NZ"/>
        </w:rPr>
        <w:t xml:space="preserve"> c</w:t>
      </w:r>
      <w:r w:rsidRPr="00824A65">
        <w:rPr>
          <w:rFonts w:cstheme="minorHAnsi"/>
          <w:lang w:val="mi-NZ"/>
        </w:rPr>
        <w:t xml:space="preserve">hildren and young people are no longer able to get in touch with the Children’s Commissioner if they are experiencing abuse in care or being treated poorly. Instead, they are required to make a complaint to </w:t>
      </w:r>
      <w:r>
        <w:rPr>
          <w:rFonts w:cstheme="minorHAnsi"/>
          <w:lang w:val="mi-NZ"/>
        </w:rPr>
        <w:t>OT</w:t>
      </w:r>
      <w:r w:rsidRPr="00824A65">
        <w:rPr>
          <w:rFonts w:cstheme="minorHAnsi"/>
          <w:lang w:val="mi-NZ"/>
        </w:rPr>
        <w:t xml:space="preserve">. If </w:t>
      </w:r>
      <w:r>
        <w:rPr>
          <w:rFonts w:cstheme="minorHAnsi"/>
          <w:lang w:val="mi-NZ"/>
        </w:rPr>
        <w:t>dis</w:t>
      </w:r>
      <w:r w:rsidRPr="00824A65">
        <w:rPr>
          <w:rFonts w:cstheme="minorHAnsi"/>
          <w:lang w:val="mi-NZ"/>
        </w:rPr>
        <w:t xml:space="preserve">satisfied with the outcome, they may seek a review by contacting the Chief Executive’s Advisory Panel or the Office of the Ombudsman. </w:t>
      </w:r>
      <w:r>
        <w:rPr>
          <w:rFonts w:cstheme="minorHAnsi"/>
          <w:lang w:val="mi-NZ"/>
        </w:rPr>
        <w:t>Furthermore, t</w:t>
      </w:r>
      <w:r w:rsidRPr="00824A65">
        <w:rPr>
          <w:rFonts w:cstheme="minorHAnsi"/>
          <w:lang w:val="mi-NZ"/>
        </w:rPr>
        <w:t xml:space="preserve">he agency that has been set up to monitor the care system is a departmental agency, so </w:t>
      </w:r>
      <w:r>
        <w:rPr>
          <w:rFonts w:cstheme="minorHAnsi"/>
          <w:lang w:val="mi-NZ"/>
        </w:rPr>
        <w:t xml:space="preserve">is </w:t>
      </w:r>
      <w:r w:rsidRPr="00824A65">
        <w:rPr>
          <w:rFonts w:cstheme="minorHAnsi"/>
          <w:lang w:val="mi-NZ"/>
        </w:rPr>
        <w:t>not independent from Government. It has limited powers of entry and must give notice of entry. The Monitor’s statutory mandate does not cover any safeguarding obligations in relation to indivdual children if, for example, during monitoring it uncovers a situation where a child is at risk of violence or abuse</w:t>
      </w:r>
      <w:r>
        <w:rPr>
          <w:rFonts w:cstheme="minorHAnsi"/>
          <w:lang w:val="mi-NZ"/>
        </w:rPr>
        <w:t xml:space="preserve">. </w:t>
      </w:r>
      <w:r w:rsidRPr="00824A65">
        <w:rPr>
          <w:rFonts w:cstheme="minorHAnsi"/>
          <w:lang w:val="mi-NZ"/>
        </w:rPr>
        <w:t>Under the Bill</w:t>
      </w:r>
      <w:r>
        <w:rPr>
          <w:rFonts w:cstheme="minorHAnsi"/>
          <w:lang w:val="mi-NZ"/>
        </w:rPr>
        <w:t>,</w:t>
      </w:r>
      <w:r w:rsidRPr="00824A65">
        <w:rPr>
          <w:rFonts w:cstheme="minorHAnsi"/>
          <w:lang w:val="mi-NZ"/>
        </w:rPr>
        <w:t xml:space="preserve"> the Children and Young Pe</w:t>
      </w:r>
      <w:r>
        <w:rPr>
          <w:rFonts w:cstheme="minorHAnsi"/>
          <w:lang w:val="mi-NZ"/>
        </w:rPr>
        <w:t>ople’</w:t>
      </w:r>
      <w:r w:rsidRPr="00824A65">
        <w:rPr>
          <w:rFonts w:cstheme="minorHAnsi"/>
          <w:lang w:val="mi-NZ"/>
        </w:rPr>
        <w:t>s Commission no longer has any specific monitoring responsibilities or powers in relation to children in the care system.</w:t>
      </w:r>
      <w:r>
        <w:rPr>
          <w:rFonts w:cstheme="minorHAnsi"/>
          <w:lang w:val="mi-NZ"/>
        </w:rPr>
        <w:t xml:space="preserve"> </w:t>
      </w:r>
      <w:r w:rsidR="00091CF0">
        <w:rPr>
          <w:rFonts w:cstheme="minorHAnsi"/>
          <w:lang w:val="mi-NZ"/>
        </w:rPr>
        <w:t>S</w:t>
      </w:r>
      <w:r>
        <w:rPr>
          <w:rFonts w:cstheme="minorHAnsi"/>
          <w:lang w:val="mi-NZ"/>
        </w:rPr>
        <w:t>ee Appendix Two for more information.</w:t>
      </w:r>
    </w:p>
  </w:footnote>
  <w:footnote w:id="253">
    <w:p w14:paraId="65F3425D" w14:textId="77777777" w:rsidR="0033193B" w:rsidRPr="00D7270E" w:rsidRDefault="0033193B" w:rsidP="00E20FF1">
      <w:pPr>
        <w:pStyle w:val="FootnoteText"/>
        <w:rPr>
          <w:lang w:val="mi-NZ"/>
        </w:rPr>
      </w:pPr>
      <w:r>
        <w:rPr>
          <w:rStyle w:val="FootnoteReference"/>
        </w:rPr>
        <w:footnoteRef/>
      </w:r>
      <w:r>
        <w:t xml:space="preserve"> </w:t>
      </w:r>
      <w:r w:rsidRPr="00F15887">
        <w:rPr>
          <w:rFonts w:ascii="Verdana" w:hAnsi="Verdana"/>
        </w:rPr>
        <w:t>In this television interview two care experience young people from VOYCE-</w:t>
      </w:r>
      <w:proofErr w:type="spellStart"/>
      <w:r w:rsidRPr="00F15887">
        <w:rPr>
          <w:rFonts w:ascii="Verdana" w:hAnsi="Verdana"/>
        </w:rPr>
        <w:t>Whakarongo</w:t>
      </w:r>
      <w:proofErr w:type="spellEnd"/>
      <w:r w:rsidRPr="00F15887">
        <w:rPr>
          <w:rFonts w:ascii="Verdana" w:hAnsi="Verdana"/>
        </w:rPr>
        <w:t xml:space="preserve"> Mai explain their concerns.  </w:t>
      </w:r>
      <w:hyperlink r:id="rId154" w:history="1">
        <w:r w:rsidRPr="00F15887">
          <w:rPr>
            <w:rStyle w:val="Hyperlink"/>
            <w:rFonts w:ascii="Verdana" w:hAnsi="Verdana"/>
          </w:rPr>
          <w:t>https://www.facebook.com/watch/?v=5529901897042984</w:t>
        </w:r>
      </w:hyperlink>
      <w:r w:rsidRPr="00F15887">
        <w:rPr>
          <w:rFonts w:ascii="Verdana" w:hAnsi="Verdana"/>
        </w:rPr>
        <w:t xml:space="preserve"> . See also the Children in State Care Thematic Report.</w:t>
      </w:r>
    </w:p>
  </w:footnote>
  <w:footnote w:id="254">
    <w:p w14:paraId="12AFF50B" w14:textId="77777777" w:rsidR="0033193B" w:rsidRPr="003D2768" w:rsidRDefault="0033193B" w:rsidP="00E20FF1">
      <w:pPr>
        <w:pStyle w:val="FootnoteText"/>
        <w:rPr>
          <w:lang w:val="mi-NZ"/>
        </w:rPr>
      </w:pPr>
      <w:r>
        <w:rPr>
          <w:rStyle w:val="FootnoteReference"/>
        </w:rPr>
        <w:footnoteRef/>
      </w:r>
      <w:r>
        <w:t xml:space="preserve"> </w:t>
      </w:r>
      <w:r w:rsidRPr="003D2768">
        <w:rPr>
          <w:rFonts w:asciiTheme="minorHAnsi" w:hAnsiTheme="minorHAnsi" w:cstheme="minorHAnsi"/>
          <w:lang w:val="mi-NZ"/>
        </w:rPr>
        <w:t>The RCOI’s terms of reference are avai</w:t>
      </w:r>
      <w:r>
        <w:rPr>
          <w:rFonts w:asciiTheme="minorHAnsi" w:hAnsiTheme="minorHAnsi" w:cstheme="minorHAnsi"/>
          <w:lang w:val="mi-NZ"/>
        </w:rPr>
        <w:t>la</w:t>
      </w:r>
      <w:r w:rsidRPr="003D2768">
        <w:rPr>
          <w:rFonts w:asciiTheme="minorHAnsi" w:hAnsiTheme="minorHAnsi" w:cstheme="minorHAnsi"/>
          <w:lang w:val="mi-NZ"/>
        </w:rPr>
        <w:t xml:space="preserve">ble here: </w:t>
      </w:r>
      <w:hyperlink r:id="rId155" w:history="1">
        <w:r w:rsidRPr="003D2768">
          <w:rPr>
            <w:rStyle w:val="Hyperlink"/>
            <w:rFonts w:asciiTheme="minorHAnsi" w:hAnsiTheme="minorHAnsi" w:cstheme="minorHAnsi"/>
            <w:lang w:val="mi-NZ"/>
          </w:rPr>
          <w:t>https://www.abuseincare.org.nz/our-progress/library/v/3/terms-of-reference</w:t>
        </w:r>
      </w:hyperlink>
      <w:r>
        <w:rPr>
          <w:lang w:val="mi-NZ"/>
        </w:rPr>
        <w:t xml:space="preserve"> </w:t>
      </w:r>
    </w:p>
  </w:footnote>
  <w:footnote w:id="255">
    <w:p w14:paraId="035873E0" w14:textId="77777777" w:rsidR="0033193B" w:rsidRPr="000571F7" w:rsidRDefault="0033193B" w:rsidP="00E20FF1">
      <w:pPr>
        <w:pStyle w:val="FootnoteText"/>
        <w:rPr>
          <w:rFonts w:asciiTheme="minorHAnsi" w:hAnsiTheme="minorHAnsi" w:cstheme="minorHAnsi"/>
          <w:lang w:val="mi-NZ"/>
        </w:rPr>
      </w:pPr>
      <w:r w:rsidRPr="000571F7">
        <w:rPr>
          <w:rStyle w:val="FootnoteReference"/>
          <w:rFonts w:asciiTheme="minorHAnsi" w:eastAsiaTheme="majorEastAsia" w:hAnsiTheme="minorHAnsi" w:cstheme="minorHAnsi"/>
        </w:rPr>
        <w:footnoteRef/>
      </w:r>
      <w:r w:rsidRPr="000571F7">
        <w:rPr>
          <w:rFonts w:asciiTheme="minorHAnsi" w:hAnsiTheme="minorHAnsi" w:cstheme="minorHAnsi"/>
        </w:rPr>
        <w:t xml:space="preserve"> </w:t>
      </w:r>
      <w:hyperlink r:id="rId156" w:tooltip="https://www.abuseincare.org.nz/our-inquiries/" w:history="1">
        <w:r w:rsidRPr="00CC003D">
          <w:rPr>
            <w:rFonts w:asciiTheme="minorHAnsi" w:hAnsiTheme="minorHAnsi" w:cstheme="minorHAnsi"/>
            <w:color w:val="25409A" w:themeColor="text2"/>
            <w:u w:val="single"/>
          </w:rPr>
          <w:t>https://www.abuseincare.org.nz/our-inquiries/</w:t>
        </w:r>
      </w:hyperlink>
      <w:r w:rsidRPr="00CC003D">
        <w:rPr>
          <w:rFonts w:asciiTheme="minorHAnsi" w:hAnsiTheme="minorHAnsi" w:cstheme="minorHAnsi"/>
          <w:color w:val="25409A" w:themeColor="text2"/>
          <w:u w:val="single"/>
        </w:rPr>
        <w:t xml:space="preserve"> </w:t>
      </w:r>
    </w:p>
  </w:footnote>
  <w:footnote w:id="256">
    <w:p w14:paraId="736219C9" w14:textId="77777777" w:rsidR="0033193B" w:rsidRPr="000571F7" w:rsidRDefault="0033193B" w:rsidP="00E20FF1">
      <w:pPr>
        <w:pStyle w:val="FootnoteText"/>
        <w:rPr>
          <w:rFonts w:asciiTheme="minorHAnsi" w:hAnsiTheme="minorHAnsi" w:cstheme="minorHAnsi"/>
          <w:lang w:val="mi-NZ"/>
        </w:rPr>
      </w:pPr>
      <w:r w:rsidRPr="000571F7">
        <w:rPr>
          <w:rStyle w:val="FootnoteReference"/>
          <w:rFonts w:asciiTheme="minorHAnsi" w:eastAsiaTheme="majorEastAsia" w:hAnsiTheme="minorHAnsi" w:cstheme="minorHAnsi"/>
        </w:rPr>
        <w:footnoteRef/>
      </w:r>
      <w:r w:rsidRPr="000571F7">
        <w:rPr>
          <w:rFonts w:asciiTheme="minorHAnsi" w:hAnsiTheme="minorHAnsi" w:cstheme="minorHAnsi"/>
        </w:rPr>
        <w:t xml:space="preserve"> He </w:t>
      </w:r>
      <w:proofErr w:type="spellStart"/>
      <w:r w:rsidRPr="000571F7">
        <w:rPr>
          <w:rFonts w:asciiTheme="minorHAnsi" w:hAnsiTheme="minorHAnsi" w:cstheme="minorHAnsi"/>
        </w:rPr>
        <w:t>Purapura</w:t>
      </w:r>
      <w:proofErr w:type="spellEnd"/>
      <w:r w:rsidRPr="000571F7">
        <w:rPr>
          <w:rFonts w:asciiTheme="minorHAnsi" w:hAnsiTheme="minorHAnsi" w:cstheme="minorHAnsi"/>
        </w:rPr>
        <w:t xml:space="preserve"> Ora, </w:t>
      </w:r>
      <w:r>
        <w:rPr>
          <w:rFonts w:asciiTheme="minorHAnsi" w:hAnsiTheme="minorHAnsi" w:cstheme="minorHAnsi"/>
        </w:rPr>
        <w:t>H</w:t>
      </w:r>
      <w:r w:rsidRPr="000571F7">
        <w:rPr>
          <w:rFonts w:asciiTheme="minorHAnsi" w:hAnsiTheme="minorHAnsi" w:cstheme="minorHAnsi"/>
        </w:rPr>
        <w:t xml:space="preserve">e </w:t>
      </w:r>
      <w:proofErr w:type="spellStart"/>
      <w:r w:rsidRPr="000571F7">
        <w:rPr>
          <w:rFonts w:asciiTheme="minorHAnsi" w:hAnsiTheme="minorHAnsi" w:cstheme="minorHAnsi"/>
        </w:rPr>
        <w:t>Māra</w:t>
      </w:r>
      <w:proofErr w:type="spellEnd"/>
      <w:r w:rsidRPr="000571F7">
        <w:rPr>
          <w:rFonts w:asciiTheme="minorHAnsi" w:hAnsiTheme="minorHAnsi" w:cstheme="minorHAnsi"/>
        </w:rPr>
        <w:t xml:space="preserve"> </w:t>
      </w:r>
      <w:proofErr w:type="spellStart"/>
      <w:r w:rsidRPr="000571F7">
        <w:rPr>
          <w:rFonts w:asciiTheme="minorHAnsi" w:hAnsiTheme="minorHAnsi" w:cstheme="minorHAnsi"/>
        </w:rPr>
        <w:t>Tipu</w:t>
      </w:r>
      <w:proofErr w:type="spellEnd"/>
      <w:r w:rsidRPr="000571F7">
        <w:rPr>
          <w:rFonts w:asciiTheme="minorHAnsi" w:hAnsiTheme="minorHAnsi" w:cstheme="minorHAnsi"/>
        </w:rPr>
        <w:t xml:space="preserve"> From Redress to </w:t>
      </w:r>
      <w:proofErr w:type="spellStart"/>
      <w:r w:rsidRPr="000571F7">
        <w:rPr>
          <w:rFonts w:asciiTheme="minorHAnsi" w:hAnsiTheme="minorHAnsi" w:cstheme="minorHAnsi"/>
        </w:rPr>
        <w:t>Puretumu</w:t>
      </w:r>
      <w:proofErr w:type="spellEnd"/>
      <w:r w:rsidRPr="000571F7">
        <w:rPr>
          <w:rFonts w:asciiTheme="minorHAnsi" w:hAnsiTheme="minorHAnsi" w:cstheme="minorHAnsi"/>
        </w:rPr>
        <w:t xml:space="preserve"> </w:t>
      </w:r>
      <w:proofErr w:type="spellStart"/>
      <w:r w:rsidRPr="000571F7">
        <w:rPr>
          <w:rFonts w:asciiTheme="minorHAnsi" w:hAnsiTheme="minorHAnsi" w:cstheme="minorHAnsi"/>
        </w:rPr>
        <w:t>Torowhānui</w:t>
      </w:r>
      <w:proofErr w:type="spellEnd"/>
      <w:r w:rsidRPr="000571F7">
        <w:rPr>
          <w:rFonts w:asciiTheme="minorHAnsi" w:hAnsiTheme="minorHAnsi" w:cstheme="minorHAnsi"/>
        </w:rPr>
        <w:t xml:space="preserve"> Vol. 1 </w:t>
      </w:r>
      <w:hyperlink r:id="rId157" w:history="1">
        <w:r w:rsidRPr="000571F7">
          <w:rPr>
            <w:rStyle w:val="Hyperlink"/>
            <w:rFonts w:asciiTheme="minorHAnsi" w:eastAsiaTheme="majorEastAsia" w:hAnsiTheme="minorHAnsi" w:cstheme="minorHAnsi"/>
          </w:rPr>
          <w:t>https://www.abuseincare.org.nz/assets/Uploads/Documents/He-Purapura-Ora-he-Mara-Tipu-Vol_1_Web.pdf</w:t>
        </w:r>
      </w:hyperlink>
      <w:r w:rsidRPr="000571F7">
        <w:rPr>
          <w:rFonts w:asciiTheme="minorHAnsi" w:hAnsiTheme="minorHAnsi" w:cstheme="minorHAnsi"/>
        </w:rPr>
        <w:t xml:space="preserve"> and Vol. 2 </w:t>
      </w:r>
      <w:hyperlink r:id="rId158" w:history="1">
        <w:r w:rsidRPr="000571F7">
          <w:rPr>
            <w:rStyle w:val="Hyperlink"/>
            <w:rFonts w:asciiTheme="minorHAnsi" w:eastAsiaTheme="majorEastAsia" w:hAnsiTheme="minorHAnsi" w:cstheme="minorHAnsi"/>
          </w:rPr>
          <w:t>https://www.abuseincare.org.nz/assets/Uploads/Documents/He-Purapura-Ora-he-Mara-Tipu-Volume-Two-Web.pdf</w:t>
        </w:r>
      </w:hyperlink>
      <w:r w:rsidRPr="000571F7">
        <w:rPr>
          <w:rFonts w:asciiTheme="minorHAnsi" w:hAnsiTheme="minorHAnsi" w:cstheme="minorHAnsi"/>
        </w:rPr>
        <w:t xml:space="preserve">, December 2021. </w:t>
      </w:r>
    </w:p>
  </w:footnote>
  <w:footnote w:id="257">
    <w:p w14:paraId="158423D1" w14:textId="77777777" w:rsidR="0033193B" w:rsidRPr="00824A65" w:rsidRDefault="0033193B" w:rsidP="00E20FF1">
      <w:pPr>
        <w:pStyle w:val="FootnoteText"/>
        <w:rPr>
          <w:rFonts w:asciiTheme="minorHAnsi" w:hAnsiTheme="minorHAnsi" w:cstheme="minorHAnsi"/>
        </w:rPr>
      </w:pPr>
      <w:r w:rsidRPr="00824A65">
        <w:rPr>
          <w:rStyle w:val="FootnoteReference"/>
          <w:rFonts w:asciiTheme="minorHAnsi" w:eastAsia="SimSun" w:hAnsiTheme="minorHAnsi" w:cstheme="minorHAnsi"/>
        </w:rPr>
        <w:footnoteRef/>
      </w:r>
      <w:r w:rsidRPr="00824A65">
        <w:rPr>
          <w:rFonts w:asciiTheme="minorHAnsi" w:hAnsiTheme="minorHAnsi" w:cstheme="minorHAnsi"/>
        </w:rPr>
        <w:t xml:space="preserve"> </w:t>
      </w:r>
      <w:hyperlink r:id="rId159" w:history="1">
        <w:r w:rsidRPr="00824A65">
          <w:rPr>
            <w:rStyle w:val="Hyperlink"/>
            <w:rFonts w:asciiTheme="minorHAnsi" w:eastAsiaTheme="majorEastAsia" w:hAnsiTheme="minorHAnsi" w:cstheme="minorHAnsi"/>
          </w:rPr>
          <w:t>https://www.abuseincare.org.nz/our-progress/reports/from-redress-to-puretumu/from-redress-to-puretumu-5/1-1-introduction-24/</w:t>
        </w:r>
      </w:hyperlink>
      <w:r w:rsidRPr="00824A65">
        <w:rPr>
          <w:rFonts w:asciiTheme="minorHAnsi" w:hAnsiTheme="minorHAnsi" w:cstheme="minorHAnsi"/>
        </w:rPr>
        <w:t xml:space="preserve"> </w:t>
      </w:r>
    </w:p>
  </w:footnote>
  <w:footnote w:id="258">
    <w:p w14:paraId="095EBCB4" w14:textId="77777777" w:rsidR="0033193B" w:rsidRPr="00824A65" w:rsidRDefault="0033193B" w:rsidP="00E20FF1">
      <w:pPr>
        <w:pStyle w:val="FootnoteText"/>
        <w:rPr>
          <w:rFonts w:asciiTheme="minorHAnsi" w:hAnsiTheme="minorHAnsi" w:cstheme="minorHAnsi"/>
          <w:lang w:val="mi-NZ"/>
        </w:rPr>
      </w:pPr>
      <w:r w:rsidRPr="00824A65">
        <w:rPr>
          <w:rStyle w:val="FootnoteReference"/>
          <w:rFonts w:asciiTheme="minorHAnsi" w:hAnsiTheme="minorHAnsi" w:cstheme="minorHAnsi"/>
        </w:rPr>
        <w:footnoteRef/>
      </w:r>
      <w:r w:rsidRPr="00824A65">
        <w:rPr>
          <w:rFonts w:asciiTheme="minorHAnsi" w:hAnsiTheme="minorHAnsi" w:cstheme="minorHAnsi"/>
        </w:rPr>
        <w:t xml:space="preserve"> See </w:t>
      </w:r>
      <w:r w:rsidRPr="00824A65">
        <w:rPr>
          <w:rFonts w:asciiTheme="minorHAnsi" w:hAnsiTheme="minorHAnsi" w:cstheme="minorHAnsi"/>
          <w:lang w:val="mi-NZ"/>
        </w:rPr>
        <w:t>Appendix Two.</w:t>
      </w:r>
    </w:p>
  </w:footnote>
  <w:footnote w:id="259">
    <w:p w14:paraId="420536B7" w14:textId="77777777" w:rsidR="00124FEB" w:rsidRPr="006A0F87" w:rsidRDefault="00124FEB" w:rsidP="00E20FF1">
      <w:pPr>
        <w:spacing w:after="0" w:line="240" w:lineRule="auto"/>
        <w:rPr>
          <w:rFonts w:cstheme="minorHAnsi"/>
          <w:b/>
          <w:bCs/>
          <w:color w:val="00B0F0"/>
        </w:rPr>
      </w:pPr>
      <w:r w:rsidRPr="006A0F87">
        <w:rPr>
          <w:rStyle w:val="FootnoteReference"/>
          <w:rFonts w:cstheme="minorHAnsi"/>
        </w:rPr>
        <w:footnoteRef/>
      </w:r>
      <w:r w:rsidRPr="006A0F87">
        <w:rPr>
          <w:rFonts w:cstheme="minorHAnsi"/>
        </w:rPr>
        <w:t xml:space="preserve"> </w:t>
      </w:r>
      <w:r w:rsidRPr="006A0F87">
        <w:rPr>
          <w:rFonts w:cstheme="minorHAnsi"/>
          <w:color w:val="3F3F3F"/>
        </w:rPr>
        <w:t xml:space="preserve">Fatima, Isaac &amp; </w:t>
      </w:r>
      <w:proofErr w:type="spellStart"/>
      <w:r w:rsidRPr="006A0F87">
        <w:rPr>
          <w:rFonts w:cstheme="minorHAnsi"/>
          <w:color w:val="3F3F3F"/>
        </w:rPr>
        <w:t>Reihana</w:t>
      </w:r>
      <w:proofErr w:type="spellEnd"/>
      <w:r w:rsidRPr="006A0F87">
        <w:rPr>
          <w:rFonts w:cstheme="minorHAnsi"/>
          <w:color w:val="3F3F3F"/>
        </w:rPr>
        <w:t xml:space="preserve">, State care experienced young people and members of independent advocacy organisation, VOYCE – </w:t>
      </w:r>
      <w:proofErr w:type="spellStart"/>
      <w:r w:rsidRPr="006A0F87">
        <w:rPr>
          <w:rFonts w:cstheme="minorHAnsi"/>
          <w:color w:val="3F3F3F"/>
        </w:rPr>
        <w:t>Whakarongo</w:t>
      </w:r>
      <w:proofErr w:type="spellEnd"/>
      <w:r w:rsidRPr="006A0F87">
        <w:rPr>
          <w:rFonts w:cstheme="minorHAnsi"/>
          <w:color w:val="3F3F3F"/>
        </w:rPr>
        <w:t xml:space="preserve"> Mai, New Zealand.</w:t>
      </w:r>
    </w:p>
  </w:footnote>
  <w:footnote w:id="260">
    <w:p w14:paraId="3FF67110" w14:textId="77777777" w:rsidR="00124FEB" w:rsidRPr="00824A65" w:rsidRDefault="00124FEB" w:rsidP="00E20FF1">
      <w:pPr>
        <w:spacing w:after="0" w:line="240" w:lineRule="auto"/>
        <w:rPr>
          <w:rFonts w:cstheme="minorHAnsi"/>
          <w:lang w:val="mi-NZ"/>
        </w:rPr>
      </w:pPr>
      <w:r w:rsidRPr="00824A65">
        <w:rPr>
          <w:rStyle w:val="FootnoteReference"/>
          <w:rFonts w:eastAsia="SimSun" w:cstheme="minorHAnsi"/>
        </w:rPr>
        <w:footnoteRef/>
      </w:r>
      <w:r w:rsidRPr="00824A65">
        <w:rPr>
          <w:rFonts w:cstheme="minorHAnsi"/>
        </w:rPr>
        <w:t xml:space="preserve"> </w:t>
      </w:r>
      <w:r w:rsidRPr="00824A65">
        <w:rPr>
          <w:rFonts w:cstheme="minorHAnsi"/>
          <w:lang w:val="mi-NZ"/>
        </w:rPr>
        <w:t>Many children grow up in reconstituted families</w:t>
      </w:r>
      <w:r>
        <w:rPr>
          <w:rFonts w:cstheme="minorHAnsi"/>
          <w:lang w:val="mi-NZ"/>
        </w:rPr>
        <w:t xml:space="preserve"> </w:t>
      </w:r>
      <w:r w:rsidRPr="00824A65">
        <w:rPr>
          <w:rFonts w:cstheme="minorHAnsi"/>
          <w:lang w:val="mi-NZ"/>
        </w:rPr>
        <w:t>and research suggests that there is churn in family relationships as parental partnerships change. Non-biological parenting has become more common with the growth in reconstituted families, same-sex relationships, surrogate parenting and transgender parenting. There are increasing numbers of “beanpole” families (families that contain several generations in low numbers, often all living in the same household</w:t>
      </w:r>
      <w:r w:rsidRPr="00824A65">
        <w:rPr>
          <w:rStyle w:val="FootnoteReference"/>
          <w:rFonts w:eastAsia="SimSun" w:cstheme="minorHAnsi"/>
          <w:lang w:val="mi-NZ"/>
        </w:rPr>
        <w:t xml:space="preserve"> </w:t>
      </w:r>
      <w:r w:rsidRPr="00824A65">
        <w:rPr>
          <w:rFonts w:cstheme="minorHAnsi"/>
          <w:lang w:val="mi-NZ"/>
        </w:rPr>
        <w:t>) and dispersed families (families who do not live together in one location for various reasons). The OECD predicts there will be an increase in single-parent households of 29% between 2006 and 2031</w:t>
      </w:r>
      <w:r>
        <w:rPr>
          <w:rFonts w:cstheme="minorHAnsi"/>
          <w:lang w:val="mi-NZ"/>
        </w:rPr>
        <w:t>:</w:t>
      </w:r>
    </w:p>
    <w:p w14:paraId="6C5C4FDF" w14:textId="77777777" w:rsidR="00124FEB" w:rsidRPr="00824A65" w:rsidRDefault="00000000" w:rsidP="00E20FF1">
      <w:pPr>
        <w:pStyle w:val="FootnoteText"/>
        <w:rPr>
          <w:rFonts w:asciiTheme="minorHAnsi" w:hAnsiTheme="minorHAnsi" w:cstheme="minorHAnsi"/>
          <w:lang w:val="mi-NZ"/>
        </w:rPr>
      </w:pPr>
      <w:hyperlink r:id="rId160" w:history="1">
        <w:r w:rsidR="00124FEB" w:rsidRPr="00824A65">
          <w:rPr>
            <w:rStyle w:val="Hyperlink"/>
            <w:rFonts w:asciiTheme="minorHAnsi" w:eastAsiaTheme="majorEastAsia" w:hAnsiTheme="minorHAnsi" w:cstheme="minorHAnsi"/>
          </w:rPr>
          <w:t>https://www.nzherald.co.nz/lifestyle/paul-spoonley-book-how-new-zealand-families-have-changed/IEGBVEQE4TOB2EBUHQ4KX5ZFTU/#</w:t>
        </w:r>
      </w:hyperlink>
    </w:p>
  </w:footnote>
  <w:footnote w:id="261">
    <w:p w14:paraId="2C710EC8" w14:textId="77777777" w:rsidR="00124FEB" w:rsidRPr="00824A65" w:rsidRDefault="00124FEB" w:rsidP="00E20FF1">
      <w:pPr>
        <w:spacing w:after="0" w:line="240" w:lineRule="auto"/>
        <w:rPr>
          <w:rFonts w:cstheme="minorHAnsi"/>
          <w:lang w:val="mi-NZ"/>
        </w:rPr>
      </w:pPr>
      <w:r w:rsidRPr="00824A65">
        <w:rPr>
          <w:rStyle w:val="FootnoteReference"/>
          <w:rFonts w:eastAsia="SimSun" w:cstheme="minorHAnsi"/>
        </w:rPr>
        <w:footnoteRef/>
      </w:r>
      <w:r w:rsidRPr="00824A65">
        <w:rPr>
          <w:rFonts w:cstheme="minorHAnsi"/>
        </w:rPr>
        <w:t xml:space="preserve"> </w:t>
      </w:r>
      <w:r w:rsidRPr="00824A65">
        <w:rPr>
          <w:rFonts w:cstheme="minorHAnsi"/>
          <w:lang w:val="mi-NZ"/>
        </w:rPr>
        <w:t>About 30% of all family households in Aotearoa are sole-parent families, and numbers are predicted to rise. In 2013, the median household income for a couple with children was $92,000, but for sole parents it was $33,000. Children with disabilities are more likely to live in s</w:t>
      </w:r>
      <w:r>
        <w:rPr>
          <w:rFonts w:cstheme="minorHAnsi"/>
          <w:lang w:val="mi-NZ"/>
        </w:rPr>
        <w:t>ol</w:t>
      </w:r>
      <w:r w:rsidRPr="00824A65">
        <w:rPr>
          <w:rFonts w:cstheme="minorHAnsi"/>
          <w:lang w:val="mi-NZ"/>
        </w:rPr>
        <w:t>e</w:t>
      </w:r>
      <w:r>
        <w:rPr>
          <w:rFonts w:cstheme="minorHAnsi"/>
          <w:lang w:val="mi-NZ"/>
        </w:rPr>
        <w:t>-</w:t>
      </w:r>
      <w:r w:rsidRPr="00824A65">
        <w:rPr>
          <w:rFonts w:cstheme="minorHAnsi"/>
          <w:lang w:val="mi-NZ"/>
        </w:rPr>
        <w:t xml:space="preserve">parent households. </w:t>
      </w:r>
    </w:p>
  </w:footnote>
  <w:footnote w:id="262">
    <w:p w14:paraId="15BAE11F" w14:textId="77777777" w:rsidR="00124FEB" w:rsidRPr="00824A65" w:rsidRDefault="00124FEB" w:rsidP="00E20FF1">
      <w:pPr>
        <w:autoSpaceDE w:val="0"/>
        <w:autoSpaceDN w:val="0"/>
        <w:adjustRightInd w:val="0"/>
        <w:spacing w:after="0" w:line="240" w:lineRule="auto"/>
        <w:rPr>
          <w:rFonts w:cstheme="minorHAnsi"/>
          <w:color w:val="44546B"/>
        </w:rPr>
      </w:pPr>
      <w:r w:rsidRPr="00824A65">
        <w:rPr>
          <w:rStyle w:val="FootnoteReference"/>
          <w:rFonts w:eastAsia="SimSun" w:cstheme="minorHAnsi"/>
        </w:rPr>
        <w:footnoteRef/>
      </w:r>
      <w:r w:rsidRPr="00824A65">
        <w:rPr>
          <w:rFonts w:cstheme="minorHAnsi"/>
        </w:rPr>
        <w:t xml:space="preserve"> </w:t>
      </w:r>
      <w:r>
        <w:rPr>
          <w:rFonts w:cstheme="minorHAnsi"/>
        </w:rPr>
        <w:t xml:space="preserve">E </w:t>
      </w:r>
      <w:proofErr w:type="spellStart"/>
      <w:r w:rsidRPr="00824A65">
        <w:rPr>
          <w:rFonts w:cstheme="minorHAnsi"/>
          <w:color w:val="000000" w:themeColor="text1"/>
        </w:rPr>
        <w:t>Keddell</w:t>
      </w:r>
      <w:proofErr w:type="spellEnd"/>
      <w:r w:rsidRPr="00824A65">
        <w:rPr>
          <w:rFonts w:cstheme="minorHAnsi"/>
          <w:color w:val="000000" w:themeColor="text1"/>
        </w:rPr>
        <w:t xml:space="preserve">, </w:t>
      </w:r>
      <w:r>
        <w:rPr>
          <w:rFonts w:cstheme="minorHAnsi"/>
          <w:color w:val="000000" w:themeColor="text1"/>
        </w:rPr>
        <w:t xml:space="preserve">L </w:t>
      </w:r>
      <w:r w:rsidRPr="00824A65">
        <w:rPr>
          <w:rFonts w:cstheme="minorHAnsi"/>
          <w:color w:val="000000" w:themeColor="text1"/>
        </w:rPr>
        <w:t xml:space="preserve">Fitzmaurice &amp; </w:t>
      </w:r>
      <w:r>
        <w:rPr>
          <w:rFonts w:cstheme="minorHAnsi"/>
          <w:color w:val="000000" w:themeColor="text1"/>
        </w:rPr>
        <w:t xml:space="preserve">K </w:t>
      </w:r>
      <w:r w:rsidRPr="00824A65">
        <w:rPr>
          <w:rFonts w:cstheme="minorHAnsi"/>
          <w:color w:val="000000" w:themeColor="text1"/>
        </w:rPr>
        <w:t xml:space="preserve">Cleaver (2021). </w:t>
      </w:r>
      <w:r w:rsidRPr="00824A65">
        <w:rPr>
          <w:rFonts w:cstheme="minorHAnsi"/>
          <w:i/>
          <w:iCs/>
          <w:color w:val="000000" w:themeColor="text1"/>
        </w:rPr>
        <w:t xml:space="preserve">The prevention project: Supporting </w:t>
      </w:r>
      <w:proofErr w:type="spellStart"/>
      <w:r w:rsidRPr="00824A65">
        <w:rPr>
          <w:rFonts w:cstheme="minorHAnsi"/>
          <w:i/>
          <w:iCs/>
          <w:color w:val="000000" w:themeColor="text1"/>
        </w:rPr>
        <w:t>whānau</w:t>
      </w:r>
      <w:proofErr w:type="spellEnd"/>
      <w:r w:rsidRPr="00824A65">
        <w:rPr>
          <w:rFonts w:cstheme="minorHAnsi"/>
          <w:i/>
          <w:iCs/>
          <w:color w:val="000000" w:themeColor="text1"/>
        </w:rPr>
        <w:t xml:space="preserve"> and reducing baby removals</w:t>
      </w:r>
      <w:r w:rsidRPr="00824A65">
        <w:rPr>
          <w:rFonts w:cstheme="minorHAnsi"/>
          <w:color w:val="000000" w:themeColor="text1"/>
        </w:rPr>
        <w:t>. University of Otago</w:t>
      </w:r>
      <w:r w:rsidRPr="00824A65">
        <w:rPr>
          <w:rFonts w:cstheme="minorHAnsi"/>
          <w:color w:val="44546B"/>
        </w:rPr>
        <w:t>: https://ourarchive.otago.ac.nz</w:t>
      </w:r>
    </w:p>
  </w:footnote>
  <w:footnote w:id="263">
    <w:p w14:paraId="3D5B2AB8" w14:textId="1909193E" w:rsidR="00124FEB" w:rsidRPr="00824A65" w:rsidRDefault="00124FEB" w:rsidP="00E20FF1">
      <w:pPr>
        <w:pStyle w:val="FootnoteText"/>
        <w:rPr>
          <w:rFonts w:asciiTheme="minorHAnsi" w:hAnsiTheme="minorHAnsi" w:cstheme="minorHAnsi"/>
          <w:lang w:val="mi-NZ"/>
        </w:rPr>
      </w:pPr>
      <w:r w:rsidRPr="00824A65">
        <w:rPr>
          <w:rStyle w:val="FootnoteReference"/>
          <w:rFonts w:asciiTheme="minorHAnsi" w:eastAsia="SimSun" w:hAnsiTheme="minorHAnsi" w:cstheme="minorHAnsi"/>
        </w:rPr>
        <w:footnoteRef/>
      </w:r>
      <w:r w:rsidRPr="00824A65">
        <w:rPr>
          <w:rFonts w:asciiTheme="minorHAnsi" w:hAnsiTheme="minorHAnsi" w:cstheme="minorHAnsi"/>
        </w:rPr>
        <w:t xml:space="preserve"> </w:t>
      </w:r>
      <w:hyperlink r:id="rId161" w:history="1">
        <w:r w:rsidRPr="00824A65">
          <w:rPr>
            <w:rStyle w:val="Hyperlink"/>
            <w:rFonts w:asciiTheme="minorHAnsi" w:eastAsiaTheme="majorEastAsia" w:hAnsiTheme="minorHAnsi" w:cstheme="minorHAnsi"/>
          </w:rPr>
          <w:t>https://www.stuff.co.nz/national/politics/300418466/oranga-tamariki-government-again-directs-overhaul-after-report-criticises-weak-disconnected-and-unfit-agency</w:t>
        </w:r>
      </w:hyperlink>
      <w:r w:rsidRPr="00824A65">
        <w:rPr>
          <w:rFonts w:asciiTheme="minorHAnsi" w:hAnsiTheme="minorHAnsi" w:cstheme="minorHAnsi"/>
        </w:rPr>
        <w:t>.</w:t>
      </w:r>
    </w:p>
  </w:footnote>
  <w:footnote w:id="264">
    <w:p w14:paraId="6D82A11E" w14:textId="3FAEC39D" w:rsidR="00124FEB" w:rsidRPr="00824A65" w:rsidRDefault="00124FEB" w:rsidP="00E20FF1">
      <w:pPr>
        <w:pStyle w:val="NoSpacing"/>
        <w:rPr>
          <w:rFonts w:cstheme="minorHAnsi"/>
          <w:color w:val="000000"/>
        </w:rPr>
      </w:pPr>
      <w:r w:rsidRPr="00824A65">
        <w:rPr>
          <w:rStyle w:val="FootnoteReference"/>
          <w:rFonts w:cstheme="minorHAnsi"/>
        </w:rPr>
        <w:footnoteRef/>
      </w:r>
      <w:r w:rsidRPr="00824A65">
        <w:rPr>
          <w:rFonts w:cstheme="minorHAnsi"/>
        </w:rPr>
        <w:t xml:space="preserve"> </w:t>
      </w:r>
      <w:r w:rsidRPr="00824A65">
        <w:rPr>
          <w:rFonts w:cstheme="minorHAnsi"/>
          <w:color w:val="000000"/>
        </w:rPr>
        <w:t xml:space="preserve">Iwi are working with the Government to keep their </w:t>
      </w:r>
      <w:proofErr w:type="spellStart"/>
      <w:r w:rsidRPr="00824A65">
        <w:rPr>
          <w:rFonts w:cstheme="minorHAnsi"/>
          <w:color w:val="000000"/>
        </w:rPr>
        <w:t>p</w:t>
      </w:r>
      <w:r>
        <w:rPr>
          <w:rFonts w:cstheme="minorHAnsi"/>
          <w:color w:val="000000"/>
        </w:rPr>
        <w:t>ē</w:t>
      </w:r>
      <w:r w:rsidRPr="00824A65">
        <w:rPr>
          <w:rFonts w:cstheme="minorHAnsi"/>
          <w:color w:val="000000"/>
        </w:rPr>
        <w:t>p</w:t>
      </w:r>
      <w:r>
        <w:rPr>
          <w:rFonts w:cstheme="minorHAnsi"/>
          <w:color w:val="000000"/>
        </w:rPr>
        <w:t>ē</w:t>
      </w:r>
      <w:proofErr w:type="spellEnd"/>
      <w:r w:rsidRPr="00824A65">
        <w:rPr>
          <w:rFonts w:cstheme="minorHAnsi"/>
          <w:color w:val="000000"/>
        </w:rPr>
        <w:t xml:space="preserve">, </w:t>
      </w:r>
      <w:proofErr w:type="spellStart"/>
      <w:r w:rsidRPr="00824A65">
        <w:rPr>
          <w:rFonts w:cstheme="minorHAnsi"/>
          <w:color w:val="000000"/>
        </w:rPr>
        <w:t>tamariki</w:t>
      </w:r>
      <w:proofErr w:type="spellEnd"/>
      <w:r w:rsidRPr="00824A65">
        <w:rPr>
          <w:rFonts w:cstheme="minorHAnsi"/>
          <w:color w:val="000000"/>
        </w:rPr>
        <w:t xml:space="preserve"> and </w:t>
      </w:r>
      <w:proofErr w:type="spellStart"/>
      <w:r w:rsidRPr="00824A65">
        <w:rPr>
          <w:rFonts w:cstheme="minorHAnsi"/>
          <w:color w:val="000000"/>
        </w:rPr>
        <w:t>rangatahi</w:t>
      </w:r>
      <w:proofErr w:type="spellEnd"/>
      <w:r w:rsidRPr="00824A65">
        <w:rPr>
          <w:rFonts w:cstheme="minorHAnsi"/>
          <w:color w:val="000000"/>
        </w:rPr>
        <w:t xml:space="preserve"> out of State care. For example, </w:t>
      </w:r>
      <w:proofErr w:type="spellStart"/>
      <w:r w:rsidRPr="00824A65">
        <w:rPr>
          <w:rFonts w:cstheme="minorHAnsi"/>
          <w:color w:val="000000"/>
        </w:rPr>
        <w:t>Ngati</w:t>
      </w:r>
      <w:proofErr w:type="spellEnd"/>
      <w:r w:rsidRPr="00824A65">
        <w:rPr>
          <w:rFonts w:cstheme="minorHAnsi"/>
          <w:color w:val="000000"/>
        </w:rPr>
        <w:t xml:space="preserve"> </w:t>
      </w:r>
      <w:proofErr w:type="spellStart"/>
      <w:r w:rsidRPr="00824A65">
        <w:rPr>
          <w:rFonts w:cstheme="minorHAnsi"/>
          <w:color w:val="000000"/>
        </w:rPr>
        <w:t>Porou’s</w:t>
      </w:r>
      <w:proofErr w:type="spellEnd"/>
      <w:r w:rsidRPr="00824A65">
        <w:rPr>
          <w:rFonts w:cstheme="minorHAnsi"/>
          <w:color w:val="000000"/>
        </w:rPr>
        <w:t xml:space="preserve"> objective is that </w:t>
      </w:r>
      <w:r>
        <w:rPr>
          <w:rFonts w:cstheme="minorHAnsi"/>
          <w:color w:val="000000"/>
        </w:rPr>
        <w:t>“</w:t>
      </w:r>
      <w:r w:rsidRPr="00824A65">
        <w:rPr>
          <w:rFonts w:cstheme="minorHAnsi"/>
          <w:color w:val="000000"/>
        </w:rPr>
        <w:t xml:space="preserve">all </w:t>
      </w:r>
      <w:proofErr w:type="spellStart"/>
      <w:r w:rsidRPr="00824A65">
        <w:rPr>
          <w:rFonts w:cstheme="minorHAnsi"/>
          <w:color w:val="000000"/>
        </w:rPr>
        <w:t>tamariki</w:t>
      </w:r>
      <w:proofErr w:type="spellEnd"/>
      <w:r w:rsidRPr="00824A65">
        <w:rPr>
          <w:rFonts w:cstheme="minorHAnsi"/>
          <w:color w:val="000000"/>
        </w:rPr>
        <w:t xml:space="preserve"> </w:t>
      </w:r>
      <w:proofErr w:type="spellStart"/>
      <w:r w:rsidRPr="00824A65">
        <w:rPr>
          <w:rFonts w:cstheme="minorHAnsi"/>
          <w:color w:val="000000"/>
        </w:rPr>
        <w:t>mokopuna</w:t>
      </w:r>
      <w:proofErr w:type="spellEnd"/>
      <w:r w:rsidRPr="00824A65">
        <w:rPr>
          <w:rFonts w:cstheme="minorHAnsi"/>
          <w:color w:val="000000"/>
        </w:rPr>
        <w:t xml:space="preserve"> are nurtured in caring and loving environments provided by their immediate and extended </w:t>
      </w:r>
      <w:proofErr w:type="spellStart"/>
      <w:r w:rsidRPr="00824A65">
        <w:rPr>
          <w:rFonts w:cstheme="minorHAnsi"/>
          <w:color w:val="000000"/>
        </w:rPr>
        <w:t>whānau</w:t>
      </w:r>
      <w:proofErr w:type="spellEnd"/>
      <w:r w:rsidRPr="00824A65">
        <w:rPr>
          <w:rFonts w:cstheme="minorHAnsi"/>
          <w:color w:val="000000"/>
        </w:rPr>
        <w:t>.”</w:t>
      </w:r>
      <w:r>
        <w:rPr>
          <w:rFonts w:cstheme="minorHAnsi"/>
          <w:color w:val="000000"/>
        </w:rPr>
        <w:t xml:space="preserve"> </w:t>
      </w:r>
      <w:r w:rsidRPr="00824A65">
        <w:rPr>
          <w:rFonts w:cstheme="minorHAnsi"/>
        </w:rPr>
        <w:t xml:space="preserve">These aspirations are fairly universal across all Iwi including, for example, </w:t>
      </w:r>
      <w:proofErr w:type="spellStart"/>
      <w:r w:rsidRPr="00824A65">
        <w:rPr>
          <w:rFonts w:cstheme="minorHAnsi"/>
          <w:color w:val="000000"/>
        </w:rPr>
        <w:t>Tuhoe</w:t>
      </w:r>
      <w:proofErr w:type="spellEnd"/>
      <w:r w:rsidRPr="00824A65">
        <w:rPr>
          <w:rFonts w:cstheme="minorHAnsi"/>
          <w:color w:val="000000"/>
        </w:rPr>
        <w:t xml:space="preserve">, Tainui, </w:t>
      </w:r>
      <w:proofErr w:type="spellStart"/>
      <w:r w:rsidRPr="00824A65">
        <w:rPr>
          <w:rFonts w:cstheme="minorHAnsi"/>
          <w:color w:val="000000"/>
        </w:rPr>
        <w:t>Ngaphui</w:t>
      </w:r>
      <w:proofErr w:type="spellEnd"/>
      <w:r w:rsidRPr="00824A65">
        <w:rPr>
          <w:rFonts w:cstheme="minorHAnsi"/>
          <w:color w:val="000000"/>
        </w:rPr>
        <w:t xml:space="preserve">, </w:t>
      </w:r>
      <w:proofErr w:type="spellStart"/>
      <w:r w:rsidRPr="00824A65">
        <w:rPr>
          <w:rFonts w:cstheme="minorHAnsi"/>
          <w:color w:val="000000"/>
        </w:rPr>
        <w:t>Ngati</w:t>
      </w:r>
      <w:proofErr w:type="spellEnd"/>
      <w:r w:rsidRPr="00824A65">
        <w:rPr>
          <w:rFonts w:cstheme="minorHAnsi"/>
          <w:color w:val="000000"/>
        </w:rPr>
        <w:t xml:space="preserve"> </w:t>
      </w:r>
      <w:proofErr w:type="spellStart"/>
      <w:r w:rsidRPr="00824A65">
        <w:rPr>
          <w:rFonts w:cstheme="minorHAnsi"/>
          <w:color w:val="000000"/>
        </w:rPr>
        <w:t>Kahungunu</w:t>
      </w:r>
      <w:proofErr w:type="spellEnd"/>
      <w:r w:rsidRPr="00824A65">
        <w:rPr>
          <w:rFonts w:cstheme="minorHAnsi"/>
        </w:rPr>
        <w:t xml:space="preserve"> </w:t>
      </w:r>
      <w:r w:rsidRPr="00824A65">
        <w:rPr>
          <w:rFonts w:cstheme="minorHAnsi"/>
          <w:color w:val="000000"/>
        </w:rPr>
        <w:t xml:space="preserve">and </w:t>
      </w:r>
      <w:proofErr w:type="spellStart"/>
      <w:r w:rsidRPr="00824A65">
        <w:rPr>
          <w:rFonts w:cstheme="minorHAnsi"/>
          <w:color w:val="000000"/>
        </w:rPr>
        <w:t>Ngāi</w:t>
      </w:r>
      <w:proofErr w:type="spellEnd"/>
      <w:r w:rsidRPr="00824A65">
        <w:rPr>
          <w:rFonts w:cstheme="minorHAnsi"/>
          <w:color w:val="000000"/>
        </w:rPr>
        <w:t xml:space="preserve"> </w:t>
      </w:r>
      <w:proofErr w:type="spellStart"/>
      <w:r w:rsidRPr="00824A65">
        <w:rPr>
          <w:rFonts w:cstheme="minorHAnsi"/>
          <w:color w:val="000000"/>
        </w:rPr>
        <w:t>Tahu</w:t>
      </w:r>
      <w:proofErr w:type="spellEnd"/>
      <w:r>
        <w:rPr>
          <w:rFonts w:cstheme="minorHAnsi"/>
          <w:color w:val="000000"/>
        </w:rPr>
        <w:t>:</w:t>
      </w:r>
      <w:r w:rsidRPr="00824A65">
        <w:rPr>
          <w:rFonts w:cstheme="minorHAnsi"/>
          <w:color w:val="000000"/>
        </w:rPr>
        <w:t xml:space="preserve"> </w:t>
      </w:r>
      <w:hyperlink r:id="rId162" w:history="1">
        <w:r w:rsidRPr="00824A65">
          <w:rPr>
            <w:rStyle w:val="Hyperlink"/>
            <w:rFonts w:cstheme="minorHAnsi"/>
          </w:rPr>
          <w:t>https://www.stuff.co.nz/pou-tiaki/126753087/govt-funds-trailblazer-ngi-tahu-programme-to-keep-mori-kids-out-of-state-care</w:t>
        </w:r>
      </w:hyperlink>
      <w:r w:rsidRPr="00824A65">
        <w:rPr>
          <w:rFonts w:cstheme="minorHAnsi"/>
        </w:rPr>
        <w:t xml:space="preserve">; </w:t>
      </w:r>
      <w:hyperlink r:id="rId163" w:history="1">
        <w:r w:rsidRPr="00CC003D">
          <w:rPr>
            <w:rFonts w:cstheme="minorHAnsi"/>
            <w:color w:val="25409A" w:themeColor="text2"/>
            <w:u w:val="single" w:color="094FD1"/>
          </w:rPr>
          <w:t>https://www.gisborneherald.co.nz/frontpage-featured/20200201/iwi-vision-for-children/</w:t>
        </w:r>
      </w:hyperlink>
    </w:p>
  </w:footnote>
  <w:footnote w:id="265">
    <w:p w14:paraId="476BF8A7" w14:textId="77777777" w:rsidR="00124FEB" w:rsidRPr="00824A65" w:rsidRDefault="00124FEB" w:rsidP="00E20FF1">
      <w:pPr>
        <w:pStyle w:val="NoSpacing"/>
        <w:rPr>
          <w:rFonts w:cstheme="minorHAnsi"/>
          <w:color w:val="000000"/>
        </w:rPr>
      </w:pPr>
      <w:r>
        <w:rPr>
          <w:rStyle w:val="FootnoteReference"/>
        </w:rPr>
        <w:footnoteRef/>
      </w:r>
      <w:r>
        <w:t xml:space="preserve"> </w:t>
      </w:r>
      <w:r w:rsidRPr="00824A65">
        <w:rPr>
          <w:rFonts w:cstheme="minorHAnsi"/>
          <w:lang w:val="mi-NZ"/>
        </w:rPr>
        <w:t>See</w:t>
      </w:r>
      <w:r>
        <w:rPr>
          <w:rFonts w:cstheme="minorHAnsi"/>
          <w:lang w:val="mi-NZ"/>
        </w:rPr>
        <w:t>,</w:t>
      </w:r>
      <w:r w:rsidRPr="00824A65">
        <w:rPr>
          <w:rFonts w:cstheme="minorHAnsi"/>
          <w:lang w:val="mi-NZ"/>
        </w:rPr>
        <w:t xml:space="preserve"> for example</w:t>
      </w:r>
      <w:r>
        <w:rPr>
          <w:rFonts w:cstheme="minorHAnsi"/>
          <w:lang w:val="mi-NZ"/>
        </w:rPr>
        <w:t>,</w:t>
      </w:r>
      <w:r w:rsidRPr="00824A65">
        <w:rPr>
          <w:rFonts w:cstheme="minorHAnsi"/>
          <w:lang w:val="mi-NZ"/>
        </w:rPr>
        <w:t xml:space="preserve"> </w:t>
      </w:r>
      <w:hyperlink r:id="rId164" w:history="1">
        <w:r w:rsidRPr="00824A65">
          <w:rPr>
            <w:rStyle w:val="Hyperlink"/>
            <w:rFonts w:cstheme="minorHAnsi"/>
            <w:lang w:val="mi-NZ"/>
          </w:rPr>
          <w:t>https://www.sspa.org.nz/images/Mana_Whaanau_Handout_October_2019.pdf</w:t>
        </w:r>
      </w:hyperlink>
      <w:r w:rsidRPr="00824A65">
        <w:rPr>
          <w:rFonts w:cstheme="minorHAnsi"/>
          <w:lang w:val="mi-NZ"/>
        </w:rPr>
        <w:t xml:space="preserve"> </w:t>
      </w:r>
      <w:r w:rsidRPr="00824A65">
        <w:rPr>
          <w:rFonts w:cstheme="minorHAnsi"/>
          <w:color w:val="000000"/>
        </w:rPr>
        <w:t xml:space="preserve"> </w:t>
      </w:r>
    </w:p>
    <w:p w14:paraId="142F0925" w14:textId="77777777" w:rsidR="00124FEB" w:rsidRPr="00824A65" w:rsidRDefault="00124FEB" w:rsidP="00E20FF1">
      <w:pPr>
        <w:pStyle w:val="NoSpacing"/>
        <w:rPr>
          <w:rFonts w:cstheme="minorHAnsi"/>
        </w:rPr>
      </w:pPr>
      <w:r w:rsidRPr="00824A65">
        <w:rPr>
          <w:rFonts w:cstheme="minorHAnsi"/>
          <w:color w:val="000000"/>
        </w:rPr>
        <w:t xml:space="preserve">Mana </w:t>
      </w:r>
      <w:proofErr w:type="spellStart"/>
      <w:r w:rsidRPr="00824A65">
        <w:rPr>
          <w:rFonts w:cstheme="minorHAnsi"/>
          <w:color w:val="000000"/>
        </w:rPr>
        <w:t>Whānau</w:t>
      </w:r>
      <w:proofErr w:type="spellEnd"/>
      <w:r>
        <w:rPr>
          <w:rFonts w:cstheme="minorHAnsi"/>
        </w:rPr>
        <w:t xml:space="preserve"> is </w:t>
      </w:r>
      <w:r w:rsidRPr="00824A65">
        <w:rPr>
          <w:rFonts w:cstheme="minorHAnsi"/>
        </w:rPr>
        <w:t xml:space="preserve">an intensive in-home parenting support programme </w:t>
      </w:r>
      <w:r w:rsidRPr="00824A65">
        <w:rPr>
          <w:rFonts w:cstheme="minorHAnsi"/>
          <w:color w:val="000000"/>
        </w:rPr>
        <w:t>predicated on strong, collaborative relationships between community organisations and the local OT site.</w:t>
      </w:r>
      <w:r w:rsidRPr="00824A65">
        <w:rPr>
          <w:rFonts w:cstheme="minorHAnsi"/>
        </w:rPr>
        <w:t xml:space="preserve"> </w:t>
      </w:r>
      <w:r>
        <w:rPr>
          <w:rFonts w:cstheme="minorHAnsi"/>
          <w:color w:val="000000"/>
        </w:rPr>
        <w:t>It</w:t>
      </w:r>
      <w:r w:rsidRPr="00824A65">
        <w:rPr>
          <w:rFonts w:cstheme="minorHAnsi"/>
          <w:color w:val="000000"/>
        </w:rPr>
        <w:t xml:space="preserve"> is </w:t>
      </w:r>
      <w:r w:rsidRPr="00824A65">
        <w:rPr>
          <w:rFonts w:cstheme="minorHAnsi"/>
        </w:rPr>
        <w:t>based on the understanding that:</w:t>
      </w:r>
      <w:r w:rsidRPr="00824A65">
        <w:rPr>
          <w:rStyle w:val="FootnoteReference"/>
          <w:rFonts w:cstheme="minorHAnsi"/>
          <w:color w:val="000000"/>
        </w:rPr>
        <w:t xml:space="preserve"> </w:t>
      </w:r>
      <w:r w:rsidRPr="00824A65">
        <w:rPr>
          <w:rFonts w:cstheme="minorHAnsi"/>
        </w:rPr>
        <w:t xml:space="preserve">being separated from </w:t>
      </w:r>
      <w:proofErr w:type="spellStart"/>
      <w:r w:rsidRPr="00824A65">
        <w:rPr>
          <w:rFonts w:cstheme="minorHAnsi"/>
        </w:rPr>
        <w:t>whānau</w:t>
      </w:r>
      <w:proofErr w:type="spellEnd"/>
      <w:r w:rsidRPr="00824A65">
        <w:rPr>
          <w:rFonts w:cstheme="minorHAnsi"/>
        </w:rPr>
        <w:t xml:space="preserve"> has a detrimental effect on both </w:t>
      </w:r>
      <w:proofErr w:type="spellStart"/>
      <w:r w:rsidRPr="00824A65">
        <w:rPr>
          <w:rFonts w:cstheme="minorHAnsi"/>
        </w:rPr>
        <w:t>tamariki</w:t>
      </w:r>
      <w:proofErr w:type="spellEnd"/>
      <w:r w:rsidRPr="00824A65">
        <w:rPr>
          <w:rFonts w:cstheme="minorHAnsi"/>
        </w:rPr>
        <w:t xml:space="preserve"> and their </w:t>
      </w:r>
      <w:proofErr w:type="spellStart"/>
      <w:r w:rsidRPr="00824A65">
        <w:rPr>
          <w:rFonts w:cstheme="minorHAnsi"/>
        </w:rPr>
        <w:t>whānau</w:t>
      </w:r>
      <w:proofErr w:type="spellEnd"/>
      <w:r>
        <w:rPr>
          <w:rFonts w:cstheme="minorHAnsi"/>
        </w:rPr>
        <w:t>; it</w:t>
      </w:r>
      <w:r w:rsidRPr="00824A65">
        <w:rPr>
          <w:rFonts w:cstheme="minorHAnsi"/>
        </w:rPr>
        <w:t xml:space="preserve"> is in the best interest</w:t>
      </w:r>
      <w:r>
        <w:rPr>
          <w:rFonts w:cstheme="minorHAnsi"/>
        </w:rPr>
        <w:t>s</w:t>
      </w:r>
      <w:r w:rsidRPr="00824A65">
        <w:rPr>
          <w:rFonts w:cstheme="minorHAnsi"/>
        </w:rPr>
        <w:t xml:space="preserve"> of the </w:t>
      </w:r>
      <w:proofErr w:type="spellStart"/>
      <w:r w:rsidRPr="00824A65">
        <w:rPr>
          <w:rFonts w:cstheme="minorHAnsi"/>
        </w:rPr>
        <w:t>tamariki</w:t>
      </w:r>
      <w:proofErr w:type="spellEnd"/>
      <w:r w:rsidRPr="00824A65">
        <w:rPr>
          <w:rFonts w:cstheme="minorHAnsi"/>
        </w:rPr>
        <w:t xml:space="preserve"> to remain safely in the care of their </w:t>
      </w:r>
      <w:proofErr w:type="spellStart"/>
      <w:r w:rsidRPr="00824A65">
        <w:rPr>
          <w:rFonts w:cstheme="minorHAnsi"/>
        </w:rPr>
        <w:t>whānau</w:t>
      </w:r>
      <w:proofErr w:type="spellEnd"/>
      <w:r w:rsidRPr="00824A65">
        <w:rPr>
          <w:rFonts w:cstheme="minorHAnsi"/>
        </w:rPr>
        <w:t>, wherever this is possible; change is possible</w:t>
      </w:r>
      <w:r>
        <w:rPr>
          <w:rFonts w:cstheme="minorHAnsi"/>
        </w:rPr>
        <w:t xml:space="preserve"> since, w</w:t>
      </w:r>
      <w:r w:rsidRPr="00824A65">
        <w:rPr>
          <w:rFonts w:cstheme="minorHAnsi"/>
        </w:rPr>
        <w:t>ith the right support and resources</w:t>
      </w:r>
      <w:r>
        <w:rPr>
          <w:rFonts w:cstheme="minorHAnsi"/>
        </w:rPr>
        <w:t>,</w:t>
      </w:r>
      <w:r w:rsidRPr="00824A65">
        <w:rPr>
          <w:rFonts w:cstheme="minorHAnsi"/>
        </w:rPr>
        <w:t xml:space="preserve"> most </w:t>
      </w:r>
      <w:proofErr w:type="spellStart"/>
      <w:r w:rsidRPr="00824A65">
        <w:rPr>
          <w:rFonts w:cstheme="minorHAnsi"/>
        </w:rPr>
        <w:t>whānau</w:t>
      </w:r>
      <w:proofErr w:type="spellEnd"/>
      <w:r w:rsidRPr="00824A65">
        <w:rPr>
          <w:rFonts w:cstheme="minorHAnsi"/>
        </w:rPr>
        <w:t xml:space="preserve"> have the ability to care for their </w:t>
      </w:r>
      <w:proofErr w:type="spellStart"/>
      <w:r w:rsidRPr="00824A65">
        <w:rPr>
          <w:rFonts w:cstheme="minorHAnsi"/>
        </w:rPr>
        <w:t>tamariki</w:t>
      </w:r>
      <w:proofErr w:type="spellEnd"/>
      <w:r w:rsidRPr="00824A65">
        <w:rPr>
          <w:rFonts w:cstheme="minorHAnsi"/>
        </w:rPr>
        <w:t xml:space="preserve"> safely; toxic stressors must be reduced or removed for parents to be able to build their capabilities; and change is more likely and sustainable when </w:t>
      </w:r>
      <w:proofErr w:type="spellStart"/>
      <w:r w:rsidRPr="00824A65">
        <w:rPr>
          <w:rFonts w:cstheme="minorHAnsi"/>
        </w:rPr>
        <w:t>whānau</w:t>
      </w:r>
      <w:proofErr w:type="spellEnd"/>
      <w:r w:rsidRPr="00824A65">
        <w:rPr>
          <w:rFonts w:cstheme="minorHAnsi"/>
        </w:rPr>
        <w:t xml:space="preserve"> determine and drive the changes they want to make.</w:t>
      </w:r>
    </w:p>
    <w:p w14:paraId="6B7E8830" w14:textId="1D08D8EF" w:rsidR="00124FEB" w:rsidRPr="00D42C5B" w:rsidRDefault="00124FEB" w:rsidP="00E20FF1">
      <w:pPr>
        <w:pStyle w:val="FootnoteText"/>
        <w:rPr>
          <w:lang w:val="mi-NZ"/>
        </w:rPr>
      </w:pPr>
      <w:r w:rsidRPr="00824A65">
        <w:rPr>
          <w:rStyle w:val="FootnoteReference"/>
          <w:rFonts w:asciiTheme="minorHAnsi" w:eastAsia="SimSun" w:hAnsiTheme="minorHAnsi" w:cstheme="minorHAnsi"/>
        </w:rPr>
        <w:footnoteRef/>
      </w:r>
      <w:r w:rsidRPr="00824A65">
        <w:rPr>
          <w:rFonts w:asciiTheme="minorHAnsi" w:hAnsiTheme="minorHAnsi" w:cstheme="minorHAnsi"/>
        </w:rPr>
        <w:t xml:space="preserve"> </w:t>
      </w:r>
      <w:r w:rsidRPr="00824A65">
        <w:rPr>
          <w:rFonts w:asciiTheme="minorHAnsi" w:hAnsiTheme="minorHAnsi" w:cstheme="minorHAnsi"/>
          <w:lang w:val="mi-NZ"/>
        </w:rPr>
        <w:t xml:space="preserve">As stated in the Minister for Children’s Ministerial Advisory Board’s report </w:t>
      </w:r>
      <w:r w:rsidRPr="00824A65">
        <w:rPr>
          <w:rFonts w:asciiTheme="minorHAnsi" w:hAnsiTheme="minorHAnsi" w:cstheme="minorHAnsi"/>
          <w:i/>
          <w:iCs/>
          <w:lang w:val="mi-NZ"/>
        </w:rPr>
        <w:t xml:space="preserve">Hipokingia ki te kahu Aroha, Hipokingina ki te Katoa </w:t>
      </w:r>
      <w:r>
        <w:rPr>
          <w:rFonts w:asciiTheme="minorHAnsi" w:hAnsiTheme="minorHAnsi" w:cstheme="minorHAnsi"/>
          <w:lang w:val="mi-NZ"/>
        </w:rPr>
        <w:t>(</w:t>
      </w:r>
      <w:r>
        <w:fldChar w:fldCharType="begin"/>
      </w:r>
      <w:r>
        <w:instrText xml:space="preserve"> HYPERLINK "https://www.beehive.govt.nz/sites/default/files/2021-09/SWRB082-OT-Report-FA-ENG-WEB.PDF" </w:instrText>
      </w:r>
      <w:r>
        <w:fldChar w:fldCharType="separate"/>
      </w:r>
      <w:r w:rsidR="003F2D0D" w:rsidRPr="00F06804">
        <w:rPr>
          <w:rStyle w:val="Hyperlink"/>
          <w:rFonts w:asciiTheme="minorHAnsi" w:hAnsiTheme="minorHAnsi" w:cstheme="minorHAnsi"/>
          <w:lang w:val="mi-NZ"/>
        </w:rPr>
        <w:t>https://www.beehive.govt.nz/sites/default/files/2021-09/SWRB082-OT-Report-FA-ENG-WEB.PDF</w:t>
      </w:r>
      <w:r>
        <w:rPr>
          <w:rStyle w:val="Hyperlink"/>
          <w:rFonts w:asciiTheme="minorHAnsi" w:hAnsiTheme="minorHAnsi" w:cstheme="minorHAnsi"/>
          <w:lang w:val="mi-NZ"/>
        </w:rPr>
        <w:fldChar w:fldCharType="end"/>
      </w:r>
      <w:r w:rsidR="003F2D0D">
        <w:rPr>
          <w:rFonts w:asciiTheme="minorHAnsi" w:hAnsiTheme="minorHAnsi" w:cstheme="minorHAnsi"/>
          <w:lang w:val="mi-NZ"/>
        </w:rPr>
        <w:t xml:space="preserve"> </w:t>
      </w:r>
      <w:r w:rsidRPr="00824A65">
        <w:rPr>
          <w:rFonts w:asciiTheme="minorHAnsi" w:hAnsiTheme="minorHAnsi" w:cstheme="minorHAnsi"/>
          <w:lang w:val="mi-NZ"/>
        </w:rPr>
        <w:t>)</w:t>
      </w:r>
      <w:r w:rsidRPr="00824A65">
        <w:rPr>
          <w:rFonts w:asciiTheme="minorHAnsi" w:hAnsiTheme="minorHAnsi" w:cstheme="minorHAnsi"/>
          <w:i/>
          <w:iCs/>
          <w:lang w:val="mi-NZ"/>
        </w:rPr>
        <w:t xml:space="preserve">, </w:t>
      </w:r>
      <w:r w:rsidRPr="00824A65">
        <w:rPr>
          <w:rFonts w:asciiTheme="minorHAnsi" w:hAnsiTheme="minorHAnsi" w:cstheme="minorHAnsi"/>
          <w:lang w:val="mi-NZ"/>
        </w:rPr>
        <w:t>and the Oranga Tamariki Future Direction Action Plan</w:t>
      </w:r>
      <w:r>
        <w:rPr>
          <w:rFonts w:asciiTheme="minorHAnsi" w:hAnsiTheme="minorHAnsi" w:cstheme="minorHAnsi"/>
          <w:lang w:val="mi-NZ"/>
        </w:rPr>
        <w:t>:</w:t>
      </w:r>
      <w:r w:rsidRPr="00824A65">
        <w:rPr>
          <w:rFonts w:asciiTheme="minorHAnsi" w:hAnsiTheme="minorHAnsi" w:cstheme="minorHAnsi"/>
          <w:lang w:val="mi-NZ"/>
        </w:rPr>
        <w:t xml:space="preserve"> (</w:t>
      </w:r>
      <w:r>
        <w:fldChar w:fldCharType="begin"/>
      </w:r>
      <w:r>
        <w:instrText xml:space="preserve"> HYPERLINK "https://www.orangatamariki.govt.nz/assets/Uploads/About-us/News/2021/MAB-report-action-plan-release/OT-Future-Direction-Action-Plan.pdf" </w:instrText>
      </w:r>
      <w:r>
        <w:fldChar w:fldCharType="separate"/>
      </w:r>
      <w:r w:rsidR="003F2D0D" w:rsidRPr="00F06804">
        <w:rPr>
          <w:rStyle w:val="Hyperlink"/>
          <w:rFonts w:asciiTheme="minorHAnsi" w:hAnsiTheme="minorHAnsi" w:cstheme="minorHAnsi"/>
          <w:lang w:val="mi-NZ"/>
        </w:rPr>
        <w:t>https://www.orangatamariki.govt.nz/assets/Uploads/About-us/News/2021/MAB-report-action-plan-release/OT-Future-Direction-Action-Plan.pdf</w:t>
      </w:r>
      <w:r>
        <w:rPr>
          <w:rStyle w:val="Hyperlink"/>
          <w:rFonts w:asciiTheme="minorHAnsi" w:hAnsiTheme="minorHAnsi" w:cstheme="minorHAnsi"/>
          <w:lang w:val="mi-NZ"/>
        </w:rPr>
        <w:fldChar w:fldCharType="end"/>
      </w:r>
      <w:r w:rsidR="003F2D0D">
        <w:rPr>
          <w:rFonts w:asciiTheme="minorHAnsi" w:hAnsiTheme="minorHAnsi" w:cstheme="minorHAnsi"/>
          <w:lang w:val="mi-NZ"/>
        </w:rPr>
        <w:t xml:space="preserve"> </w:t>
      </w:r>
      <w:r w:rsidRPr="00824A65">
        <w:rPr>
          <w:rFonts w:asciiTheme="minorHAnsi" w:hAnsiTheme="minorHAnsi" w:cstheme="minorHAnsi"/>
          <w:lang w:val="mi-NZ"/>
        </w:rPr>
        <w:t xml:space="preserve">).  </w:t>
      </w:r>
    </w:p>
  </w:footnote>
  <w:footnote w:id="266">
    <w:p w14:paraId="703B78AB" w14:textId="6759570A" w:rsidR="00124FEB" w:rsidRPr="00824A65" w:rsidRDefault="00124FEB" w:rsidP="00E20FF1">
      <w:pPr>
        <w:pStyle w:val="FootnoteText"/>
        <w:rPr>
          <w:rFonts w:asciiTheme="minorHAnsi" w:hAnsiTheme="minorHAnsi" w:cstheme="minorHAnsi"/>
          <w:lang w:val="mi-NZ"/>
        </w:rPr>
      </w:pPr>
      <w:r w:rsidRPr="00824A65">
        <w:rPr>
          <w:rStyle w:val="FootnoteReference"/>
          <w:rFonts w:asciiTheme="minorHAnsi" w:eastAsia="SimSun" w:hAnsiTheme="minorHAnsi" w:cstheme="minorHAnsi"/>
        </w:rPr>
        <w:footnoteRef/>
      </w:r>
      <w:r w:rsidRPr="00824A65">
        <w:rPr>
          <w:rFonts w:asciiTheme="minorHAnsi" w:hAnsiTheme="minorHAnsi" w:cstheme="minorHAnsi"/>
        </w:rPr>
        <w:t xml:space="preserve"> </w:t>
      </w:r>
      <w:r w:rsidRPr="00824A65">
        <w:rPr>
          <w:rFonts w:asciiTheme="minorHAnsi" w:hAnsiTheme="minorHAnsi" w:cstheme="minorHAnsi"/>
          <w:lang w:val="mi-NZ"/>
        </w:rPr>
        <w:t xml:space="preserve">As stated in the Minister for Children’s Ministerial Advisory Board’s report </w:t>
      </w:r>
      <w:r w:rsidRPr="00824A65">
        <w:rPr>
          <w:rFonts w:asciiTheme="minorHAnsi" w:hAnsiTheme="minorHAnsi" w:cstheme="minorHAnsi"/>
          <w:i/>
          <w:iCs/>
          <w:lang w:val="mi-NZ"/>
        </w:rPr>
        <w:t xml:space="preserve">Hipokingia ki te kahu Aroha, Hipokingina ki te Katoa </w:t>
      </w:r>
      <w:r>
        <w:rPr>
          <w:rFonts w:asciiTheme="minorHAnsi" w:hAnsiTheme="minorHAnsi" w:cstheme="minorHAnsi"/>
          <w:lang w:val="mi-NZ"/>
        </w:rPr>
        <w:t>(</w:t>
      </w:r>
      <w:r w:rsidRPr="00824A65">
        <w:rPr>
          <w:rFonts w:asciiTheme="minorHAnsi" w:hAnsiTheme="minorHAnsi" w:cstheme="minorHAnsi"/>
          <w:lang w:val="mi-NZ"/>
        </w:rPr>
        <w:t>https://www.beehive.govt.nz/sites/default/files/2021-09/SWRB082-OT-Report-FA-ENG-WEB.PDF)</w:t>
      </w:r>
      <w:r w:rsidRPr="00824A65">
        <w:rPr>
          <w:rFonts w:asciiTheme="minorHAnsi" w:hAnsiTheme="minorHAnsi" w:cstheme="minorHAnsi"/>
          <w:i/>
          <w:iCs/>
          <w:lang w:val="mi-NZ"/>
        </w:rPr>
        <w:t xml:space="preserve">, </w:t>
      </w:r>
      <w:r w:rsidRPr="00824A65">
        <w:rPr>
          <w:rFonts w:asciiTheme="minorHAnsi" w:hAnsiTheme="minorHAnsi" w:cstheme="minorHAnsi"/>
          <w:lang w:val="mi-NZ"/>
        </w:rPr>
        <w:t>and the Oranga Tamariki Future Direction Action Plan</w:t>
      </w:r>
      <w:r>
        <w:rPr>
          <w:rFonts w:asciiTheme="minorHAnsi" w:hAnsiTheme="minorHAnsi" w:cstheme="minorHAnsi"/>
          <w:lang w:val="mi-NZ"/>
        </w:rPr>
        <w:t>:</w:t>
      </w:r>
      <w:r w:rsidRPr="00824A65">
        <w:rPr>
          <w:rFonts w:asciiTheme="minorHAnsi" w:hAnsiTheme="minorHAnsi" w:cstheme="minorHAnsi"/>
          <w:lang w:val="mi-NZ"/>
        </w:rPr>
        <w:t xml:space="preserve"> (</w:t>
      </w:r>
      <w:r>
        <w:fldChar w:fldCharType="begin"/>
      </w:r>
      <w:r>
        <w:instrText xml:space="preserve"> HYPERLINK "https://www.orangatamariki.govt.nz/assets/Uploads/About-us/News/2021/MAB-report-action-plan-release/OT-Future-Direction-Action-Plan.pdf" </w:instrText>
      </w:r>
      <w:r>
        <w:fldChar w:fldCharType="separate"/>
      </w:r>
      <w:r w:rsidR="003F2D0D" w:rsidRPr="00F06804">
        <w:rPr>
          <w:rStyle w:val="Hyperlink"/>
          <w:rFonts w:asciiTheme="minorHAnsi" w:hAnsiTheme="minorHAnsi" w:cstheme="minorHAnsi"/>
          <w:lang w:val="mi-NZ"/>
        </w:rPr>
        <w:t>https://www.orangatamariki.govt.nz/assets/Uploads/About-us/News/2021/MAB-report-action-plan-release/OT-Future-Direction-Action-Plan.pdf</w:t>
      </w:r>
      <w:r>
        <w:rPr>
          <w:rStyle w:val="Hyperlink"/>
          <w:rFonts w:asciiTheme="minorHAnsi" w:hAnsiTheme="minorHAnsi" w:cstheme="minorHAnsi"/>
          <w:lang w:val="mi-NZ"/>
        </w:rPr>
        <w:fldChar w:fldCharType="end"/>
      </w:r>
      <w:r w:rsidR="003F2D0D">
        <w:rPr>
          <w:rFonts w:asciiTheme="minorHAnsi" w:hAnsiTheme="minorHAnsi" w:cstheme="minorHAnsi"/>
          <w:lang w:val="mi-NZ"/>
        </w:rPr>
        <w:t xml:space="preserve"> </w:t>
      </w:r>
      <w:r w:rsidRPr="00824A65">
        <w:rPr>
          <w:rFonts w:asciiTheme="minorHAnsi" w:hAnsiTheme="minorHAnsi" w:cstheme="minorHAnsi"/>
          <w:lang w:val="mi-NZ"/>
        </w:rPr>
        <w:t xml:space="preserve">).  </w:t>
      </w:r>
    </w:p>
  </w:footnote>
  <w:footnote w:id="267">
    <w:p w14:paraId="3491333B" w14:textId="77777777" w:rsidR="00124FEB" w:rsidRPr="00824A65" w:rsidRDefault="00124FEB" w:rsidP="00E20FF1">
      <w:pPr>
        <w:pStyle w:val="FootnoteText"/>
        <w:rPr>
          <w:rFonts w:asciiTheme="minorHAnsi" w:hAnsiTheme="minorHAnsi" w:cstheme="minorHAnsi"/>
          <w:lang w:val="mi-NZ"/>
        </w:rPr>
      </w:pPr>
      <w:r w:rsidRPr="00824A65">
        <w:rPr>
          <w:rStyle w:val="FootnoteReference"/>
          <w:rFonts w:asciiTheme="minorHAnsi" w:eastAsia="SimSun" w:hAnsiTheme="minorHAnsi" w:cstheme="minorHAnsi"/>
        </w:rPr>
        <w:footnoteRef/>
      </w:r>
      <w:r w:rsidRPr="00824A65">
        <w:rPr>
          <w:rFonts w:asciiTheme="minorHAnsi" w:hAnsiTheme="minorHAnsi" w:cstheme="minorHAnsi"/>
        </w:rPr>
        <w:t xml:space="preserve"> </w:t>
      </w:r>
      <w:r w:rsidRPr="00824A65">
        <w:rPr>
          <w:rFonts w:asciiTheme="minorHAnsi" w:hAnsiTheme="minorHAnsi" w:cstheme="minorHAnsi"/>
          <w:lang w:val="mi-NZ"/>
        </w:rPr>
        <w:t xml:space="preserve">See, for example, </w:t>
      </w:r>
      <w:r>
        <w:fldChar w:fldCharType="begin"/>
      </w:r>
      <w:r>
        <w:instrText xml:space="preserve"> HYPERLINK "https://www.rnz.co.nz/national/programmes/ninetonoon/audio/2018847604/oranga-tamariki-funding-for-charities-in-doubt" </w:instrText>
      </w:r>
      <w:r>
        <w:fldChar w:fldCharType="separate"/>
      </w:r>
      <w:r w:rsidRPr="00824A65">
        <w:rPr>
          <w:rStyle w:val="Hyperlink"/>
          <w:rFonts w:asciiTheme="minorHAnsi" w:eastAsiaTheme="majorEastAsia" w:hAnsiTheme="minorHAnsi" w:cstheme="minorHAnsi"/>
          <w:lang w:val="mi-NZ"/>
        </w:rPr>
        <w:t>https://www.rnz.co.nz/national/programmes/ninetonoon/audio/2018847604/oranga-tamariki-funding-for-charities-in-doubt</w:t>
      </w:r>
      <w:r>
        <w:rPr>
          <w:rStyle w:val="Hyperlink"/>
          <w:rFonts w:asciiTheme="minorHAnsi" w:eastAsiaTheme="majorEastAsia" w:hAnsiTheme="minorHAnsi" w:cstheme="minorHAnsi"/>
          <w:lang w:val="mi-NZ"/>
        </w:rPr>
        <w:fldChar w:fldCharType="end"/>
      </w:r>
      <w:r w:rsidRPr="00824A65">
        <w:rPr>
          <w:rFonts w:asciiTheme="minorHAnsi" w:hAnsiTheme="minorHAnsi" w:cstheme="minorHAnsi"/>
          <w:lang w:val="mi-NZ"/>
        </w:rPr>
        <w:t xml:space="preserve"> </w:t>
      </w:r>
    </w:p>
  </w:footnote>
  <w:footnote w:id="268">
    <w:p w14:paraId="59A1DBDB" w14:textId="653DF8FA" w:rsidR="00124FEB" w:rsidRPr="0017215B" w:rsidRDefault="00124FEB" w:rsidP="00E20FF1">
      <w:pPr>
        <w:pStyle w:val="FootnoteText"/>
        <w:rPr>
          <w:rFonts w:asciiTheme="minorHAnsi" w:hAnsiTheme="minorHAnsi" w:cstheme="minorHAnsi"/>
          <w:lang w:val="mi-NZ"/>
        </w:rPr>
      </w:pPr>
      <w:r w:rsidRPr="0017215B">
        <w:rPr>
          <w:rStyle w:val="FootnoteReference"/>
          <w:rFonts w:asciiTheme="minorHAnsi" w:eastAsia="SimSun" w:hAnsiTheme="minorHAnsi" w:cstheme="minorHAnsi"/>
        </w:rPr>
        <w:footnoteRef/>
      </w:r>
      <w:r w:rsidRPr="0017215B">
        <w:rPr>
          <w:rFonts w:asciiTheme="minorHAnsi" w:hAnsiTheme="minorHAnsi" w:cstheme="minorHAnsi"/>
        </w:rPr>
        <w:t xml:space="preserve"> </w:t>
      </w:r>
      <w:r w:rsidRPr="00E7687D">
        <w:rPr>
          <w:rFonts w:asciiTheme="minorHAnsi" w:hAnsiTheme="minorHAnsi" w:cstheme="minorHAnsi"/>
          <w:color w:val="000000" w:themeColor="text1"/>
        </w:rPr>
        <w:t>Care experienced young person</w:t>
      </w:r>
      <w:r w:rsidR="001675BD">
        <w:rPr>
          <w:rFonts w:asciiTheme="minorHAnsi" w:hAnsiTheme="minorHAnsi" w:cstheme="minorHAnsi"/>
          <w:lang w:val="mi-NZ"/>
        </w:rPr>
        <w:t>,</w:t>
      </w:r>
      <w:r>
        <w:rPr>
          <w:rFonts w:asciiTheme="minorHAnsi" w:hAnsiTheme="minorHAnsi" w:cstheme="minorHAnsi"/>
          <w:lang w:val="mi-NZ"/>
        </w:rPr>
        <w:t xml:space="preserve"> </w:t>
      </w:r>
      <w:r w:rsidR="003F2D0D">
        <w:rPr>
          <w:rFonts w:asciiTheme="minorHAnsi" w:hAnsiTheme="minorHAnsi" w:cstheme="minorHAnsi"/>
          <w:lang w:val="mi-NZ"/>
        </w:rPr>
        <w:t xml:space="preserve">see Children in State </w:t>
      </w:r>
      <w:proofErr w:type="gramStart"/>
      <w:r w:rsidR="003F2D0D">
        <w:rPr>
          <w:rFonts w:asciiTheme="minorHAnsi" w:hAnsiTheme="minorHAnsi" w:cstheme="minorHAnsi"/>
          <w:lang w:val="mi-NZ"/>
        </w:rPr>
        <w:t>care</w:t>
      </w:r>
      <w:proofErr w:type="gramEnd"/>
      <w:r w:rsidR="003F2D0D">
        <w:rPr>
          <w:rFonts w:asciiTheme="minorHAnsi" w:hAnsiTheme="minorHAnsi" w:cstheme="minorHAnsi"/>
          <w:lang w:val="mi-NZ"/>
        </w:rPr>
        <w:t xml:space="preserve"> </w:t>
      </w:r>
      <w:r w:rsidRPr="0017215B">
        <w:rPr>
          <w:rFonts w:asciiTheme="minorHAnsi" w:hAnsiTheme="minorHAnsi" w:cstheme="minorHAnsi"/>
          <w:lang w:val="mi-NZ"/>
        </w:rPr>
        <w:t>Thematic Report.</w:t>
      </w:r>
    </w:p>
  </w:footnote>
  <w:footnote w:id="269">
    <w:p w14:paraId="355C4CA0" w14:textId="77777777" w:rsidR="00124FEB" w:rsidRPr="00CF202B" w:rsidRDefault="00124FEB" w:rsidP="00E20FF1">
      <w:pPr>
        <w:spacing w:after="0" w:line="240" w:lineRule="auto"/>
      </w:pPr>
      <w:r w:rsidRPr="00CF202B">
        <w:rPr>
          <w:rStyle w:val="FootnoteReference"/>
        </w:rPr>
        <w:footnoteRef/>
      </w:r>
      <w:r w:rsidRPr="00CF202B">
        <w:t xml:space="preserve"> </w:t>
      </w:r>
      <w:r w:rsidRPr="001543D4">
        <w:rPr>
          <w:rFonts w:cstheme="minorHAnsi"/>
          <w:lang w:val="mi-NZ"/>
        </w:rPr>
        <w:t>This includes Māori Pacific children: children who have both Māori and Pacific ancestry.</w:t>
      </w:r>
      <w:r w:rsidRPr="001543D4">
        <w:t xml:space="preserve"> </w:t>
      </w:r>
      <w:hyperlink r:id="rId165" w:tooltip="https://www.orangatamariki.govt.nz/about-us/performance-and-monitoring/quarterly-report/care-and-protection-statistics/" w:history="1">
        <w:r w:rsidRPr="00CC003D">
          <w:rPr>
            <w:rStyle w:val="Hyperlink"/>
            <w:rFonts w:eastAsiaTheme="majorEastAsia" w:cs="Calibri"/>
            <w:color w:val="25409A" w:themeColor="text2"/>
          </w:rPr>
          <w:t>https://www.orangatamariki.govt.nz/about-us/performance-and-monitoring/quarterly-report/care-and-protection-statistics/</w:t>
        </w:r>
      </w:hyperlink>
    </w:p>
  </w:footnote>
  <w:footnote w:id="270">
    <w:p w14:paraId="30F478A8" w14:textId="77777777" w:rsidR="00124FEB" w:rsidRPr="00CF202B" w:rsidRDefault="00124FEB" w:rsidP="00E20FF1">
      <w:pPr>
        <w:spacing w:after="0" w:line="240" w:lineRule="auto"/>
      </w:pPr>
      <w:r w:rsidRPr="00CF202B">
        <w:rPr>
          <w:rStyle w:val="FootnoteReference"/>
        </w:rPr>
        <w:footnoteRef/>
      </w:r>
      <w:r w:rsidRPr="00CF202B">
        <w:t xml:space="preserve"> </w:t>
      </w:r>
      <w:r w:rsidRPr="001543D4">
        <w:rPr>
          <w:rFonts w:cstheme="minorHAnsi"/>
          <w:lang w:val="mi-NZ"/>
        </w:rPr>
        <w:t xml:space="preserve">This includes Māori Pacific children: children who have both Māori and Pacific ancestry. </w:t>
      </w:r>
      <w:r>
        <w:fldChar w:fldCharType="begin"/>
      </w:r>
      <w:r>
        <w:instrText xml:space="preserve"> HYPERLINK "https://www.orangatamariki.govt.nz/about-us/performance-and-monitoring/quarterly-report/youth-justice-statistics/" \o "https://www.orangatamariki.govt.nz/about-us/performance-and-monitoring/quarterly-report/youth-justice-statistics/" </w:instrText>
      </w:r>
      <w:r>
        <w:fldChar w:fldCharType="separate"/>
      </w:r>
      <w:r w:rsidRPr="00CC003D">
        <w:rPr>
          <w:rStyle w:val="Hyperlink"/>
          <w:rFonts w:eastAsiaTheme="majorEastAsia" w:cs="Calibri"/>
          <w:color w:val="25409A" w:themeColor="text2"/>
        </w:rPr>
        <w:t>https://www.orangatamariki.govt.nz/about-us/performance-and-monitoring/quarterly-report/youth-justice-statistics/</w:t>
      </w:r>
      <w:r>
        <w:rPr>
          <w:rStyle w:val="Hyperlink"/>
          <w:rFonts w:eastAsiaTheme="majorEastAsia" w:cs="Calibri"/>
          <w:color w:val="25409A" w:themeColor="text2"/>
        </w:rPr>
        <w:fldChar w:fldCharType="end"/>
      </w:r>
    </w:p>
  </w:footnote>
  <w:footnote w:id="271">
    <w:p w14:paraId="2DC59967" w14:textId="77777777" w:rsidR="00124FEB" w:rsidRPr="0017215B" w:rsidRDefault="00124FEB" w:rsidP="00E20FF1">
      <w:pPr>
        <w:pStyle w:val="FootnoteText"/>
        <w:rPr>
          <w:rFonts w:asciiTheme="minorHAnsi" w:hAnsiTheme="minorHAnsi" w:cstheme="minorHAnsi"/>
          <w:lang w:val="mi-NZ"/>
        </w:rPr>
      </w:pPr>
      <w:r w:rsidRPr="0017215B">
        <w:rPr>
          <w:rStyle w:val="FootnoteReference"/>
          <w:rFonts w:asciiTheme="minorHAnsi" w:eastAsia="SimSun" w:hAnsiTheme="minorHAnsi" w:cstheme="minorHAnsi"/>
        </w:rPr>
        <w:footnoteRef/>
      </w:r>
      <w:r w:rsidRPr="0017215B">
        <w:rPr>
          <w:rFonts w:asciiTheme="minorHAnsi" w:hAnsiTheme="minorHAnsi" w:cstheme="minorHAnsi"/>
        </w:rPr>
        <w:t xml:space="preserve"> </w:t>
      </w:r>
      <w:r w:rsidRPr="0017215B">
        <w:rPr>
          <w:rFonts w:asciiTheme="minorHAnsi" w:hAnsiTheme="minorHAnsi" w:cstheme="minorHAnsi"/>
          <w:lang w:val="mi-NZ"/>
        </w:rPr>
        <w:t>As recommended by the Committee previously at CRC/C/NZL/CO/5, para 28.</w:t>
      </w:r>
    </w:p>
  </w:footnote>
  <w:footnote w:id="272">
    <w:p w14:paraId="109ACC21" w14:textId="686D2F6C" w:rsidR="00124FEB" w:rsidRPr="00D05CA8" w:rsidRDefault="00124FEB" w:rsidP="00E20FF1">
      <w:pPr>
        <w:pStyle w:val="FootnoteText"/>
        <w:rPr>
          <w:lang w:val="mi-NZ"/>
        </w:rPr>
      </w:pPr>
      <w:r>
        <w:rPr>
          <w:rStyle w:val="FootnoteReference"/>
        </w:rPr>
        <w:footnoteRef/>
      </w:r>
      <w:r>
        <w:t xml:space="preserve"> </w:t>
      </w:r>
      <w:r w:rsidR="001675BD">
        <w:rPr>
          <w:rFonts w:asciiTheme="minorHAnsi" w:hAnsiTheme="minorHAnsi" w:cstheme="minorHAnsi"/>
        </w:rPr>
        <w:t>S</w:t>
      </w:r>
      <w:r>
        <w:rPr>
          <w:rFonts w:asciiTheme="minorHAnsi" w:hAnsiTheme="minorHAnsi" w:cstheme="minorHAnsi"/>
        </w:rPr>
        <w:t>ee Appendix Two for more information about children deprived of a family environment.</w:t>
      </w:r>
    </w:p>
  </w:footnote>
  <w:footnote w:id="273">
    <w:p w14:paraId="1D95BAF3" w14:textId="77777777" w:rsidR="00124FEB" w:rsidRPr="001F4BA9" w:rsidRDefault="00124FEB" w:rsidP="00E20FF1">
      <w:pPr>
        <w:pStyle w:val="FootnoteText"/>
      </w:pPr>
      <w:r w:rsidRPr="0017215B">
        <w:rPr>
          <w:rStyle w:val="FootnoteReference"/>
          <w:rFonts w:asciiTheme="minorHAnsi" w:eastAsiaTheme="majorEastAsia" w:hAnsiTheme="minorHAnsi" w:cstheme="minorHAnsi"/>
        </w:rPr>
        <w:footnoteRef/>
      </w:r>
      <w:r w:rsidRPr="0017215B">
        <w:rPr>
          <w:rFonts w:asciiTheme="minorHAnsi" w:hAnsiTheme="minorHAnsi" w:cstheme="minorHAnsi"/>
        </w:rPr>
        <w:t xml:space="preserve"> </w:t>
      </w:r>
      <w:r w:rsidRPr="0017215B">
        <w:rPr>
          <w:rFonts w:asciiTheme="minorHAnsi" w:hAnsiTheme="minorHAnsi" w:cstheme="minorHAnsi"/>
          <w:i/>
          <w:iCs/>
        </w:rPr>
        <w:t>“Experiences of Care in Aotearoa: Agency Compliance with the National Care Standards and Related Matters Regulations”</w:t>
      </w:r>
      <w:r>
        <w:rPr>
          <w:rFonts w:asciiTheme="minorHAnsi" w:hAnsiTheme="minorHAnsi" w:cstheme="minorHAnsi"/>
          <w:i/>
          <w:iCs/>
        </w:rPr>
        <w:t xml:space="preserve"> </w:t>
      </w:r>
      <w:r w:rsidRPr="0017215B">
        <w:rPr>
          <w:rFonts w:asciiTheme="minorHAnsi" w:hAnsiTheme="minorHAnsi" w:cstheme="minorHAnsi"/>
        </w:rPr>
        <w:t>(ICM, 2022).</w:t>
      </w:r>
      <w:r>
        <w:rPr>
          <w:rFonts w:asciiTheme="minorHAnsi" w:hAnsiTheme="minorHAnsi" w:cstheme="minorHAnsi"/>
          <w:i/>
          <w:iCs/>
        </w:rPr>
        <w:t xml:space="preserve">   </w:t>
      </w:r>
    </w:p>
  </w:footnote>
  <w:footnote w:id="274">
    <w:p w14:paraId="1431AF28" w14:textId="77777777" w:rsidR="00124FEB" w:rsidRPr="0017215B" w:rsidRDefault="00124FEB" w:rsidP="00E20FF1">
      <w:pPr>
        <w:pStyle w:val="FootnoteText"/>
        <w:rPr>
          <w:rFonts w:asciiTheme="minorHAnsi" w:hAnsiTheme="minorHAnsi" w:cstheme="minorHAnsi"/>
        </w:rPr>
      </w:pPr>
      <w:r w:rsidRPr="0017215B">
        <w:rPr>
          <w:rStyle w:val="FootnoteReference"/>
          <w:rFonts w:asciiTheme="minorHAnsi" w:eastAsiaTheme="majorEastAsia" w:hAnsiTheme="minorHAnsi" w:cstheme="minorHAnsi"/>
        </w:rPr>
        <w:footnoteRef/>
      </w:r>
      <w:r w:rsidRPr="0017215B">
        <w:rPr>
          <w:rFonts w:asciiTheme="minorHAnsi" w:hAnsiTheme="minorHAnsi" w:cstheme="minorHAnsi"/>
        </w:rPr>
        <w:t xml:space="preserve"> Covers the period between 1 July 2020 and 30 June 2021.</w:t>
      </w:r>
    </w:p>
  </w:footnote>
  <w:footnote w:id="275">
    <w:p w14:paraId="511951D2" w14:textId="3E3D82D1" w:rsidR="00124FEB" w:rsidRPr="0017215B" w:rsidRDefault="00124FEB" w:rsidP="00E20FF1">
      <w:pPr>
        <w:pStyle w:val="FootnoteText"/>
        <w:rPr>
          <w:rFonts w:asciiTheme="minorHAnsi" w:hAnsiTheme="minorHAnsi" w:cstheme="minorHAnsi"/>
          <w:lang w:val="en-US"/>
        </w:rPr>
      </w:pPr>
      <w:r w:rsidRPr="0017215B">
        <w:rPr>
          <w:rStyle w:val="FootnoteReference"/>
          <w:rFonts w:asciiTheme="minorHAnsi" w:eastAsia="SimSun" w:hAnsiTheme="minorHAnsi" w:cstheme="minorHAnsi"/>
        </w:rPr>
        <w:footnoteRef/>
      </w:r>
      <w:r w:rsidRPr="0017215B">
        <w:rPr>
          <w:rFonts w:asciiTheme="minorHAnsi" w:hAnsiTheme="minorHAnsi" w:cstheme="minorHAnsi"/>
        </w:rPr>
        <w:t xml:space="preserve"> </w:t>
      </w:r>
      <w:r w:rsidRPr="0017215B">
        <w:rPr>
          <w:rFonts w:asciiTheme="minorHAnsi" w:hAnsiTheme="minorHAnsi" w:cstheme="minorHAnsi"/>
          <w:lang w:val="mi-NZ"/>
        </w:rPr>
        <w:t>Te Matataki 202</w:t>
      </w:r>
      <w:r w:rsidR="00371FAC">
        <w:rPr>
          <w:rFonts w:asciiTheme="minorHAnsi" w:hAnsiTheme="minorHAnsi" w:cstheme="minorHAnsi"/>
          <w:lang w:val="mi-NZ"/>
        </w:rPr>
        <w:t>1</w:t>
      </w:r>
      <w:r w:rsidRPr="0017215B">
        <w:rPr>
          <w:rFonts w:asciiTheme="minorHAnsi" w:hAnsiTheme="minorHAnsi" w:cstheme="minorHAnsi"/>
          <w:lang w:val="mi-NZ"/>
        </w:rPr>
        <w:t>, Aotearoa’s first national survey of children in care</w:t>
      </w:r>
      <w:r>
        <w:rPr>
          <w:rFonts w:asciiTheme="minorHAnsi" w:hAnsiTheme="minorHAnsi" w:cstheme="minorHAnsi"/>
          <w:lang w:val="mi-NZ"/>
        </w:rPr>
        <w:t xml:space="preserve">: </w:t>
      </w:r>
      <w:hyperlink r:id="rId166" w:history="1">
        <w:r w:rsidRPr="00247584">
          <w:rPr>
            <w:rStyle w:val="Hyperlink"/>
            <w:rFonts w:asciiTheme="minorHAnsi" w:eastAsiaTheme="majorEastAsia" w:hAnsiTheme="minorHAnsi" w:cstheme="minorHAnsi"/>
            <w:lang w:val="mi-NZ"/>
          </w:rPr>
          <w:t>https://www.orangatamariki.govt.nz/about-us/news/te/</w:t>
        </w:r>
      </w:hyperlink>
    </w:p>
  </w:footnote>
  <w:footnote w:id="276">
    <w:p w14:paraId="5364B948" w14:textId="77777777" w:rsidR="00124FEB" w:rsidRPr="0017215B" w:rsidRDefault="00124FEB" w:rsidP="00E20FF1">
      <w:pPr>
        <w:shd w:val="clear" w:color="auto" w:fill="FFFFFF"/>
        <w:spacing w:after="0" w:line="240" w:lineRule="auto"/>
        <w:rPr>
          <w:rFonts w:cstheme="minorHAnsi"/>
        </w:rPr>
      </w:pPr>
      <w:r w:rsidRPr="0017215B">
        <w:rPr>
          <w:rStyle w:val="FootnoteReference"/>
          <w:rFonts w:cstheme="minorHAnsi"/>
        </w:rPr>
        <w:footnoteRef/>
      </w:r>
      <w:r w:rsidRPr="0017215B">
        <w:rPr>
          <w:rFonts w:cstheme="minorHAnsi"/>
        </w:rPr>
        <w:t xml:space="preserve"> For more information on what children say about their experiences of care, see </w:t>
      </w:r>
      <w:hyperlink r:id="rId167" w:history="1">
        <w:r w:rsidRPr="0017215B">
          <w:rPr>
            <w:rStyle w:val="Hyperlink"/>
            <w:rFonts w:cstheme="minorHAnsi"/>
          </w:rPr>
          <w:t>https://www.youth19.ac.nz/publications/the-voices-of-young-people-involved-with-oranga-tamariki</w:t>
        </w:r>
      </w:hyperlink>
      <w:r w:rsidRPr="0017215B">
        <w:rPr>
          <w:rFonts w:cstheme="minorHAnsi"/>
        </w:rPr>
        <w:t xml:space="preserve"> </w:t>
      </w:r>
    </w:p>
  </w:footnote>
  <w:footnote w:id="277">
    <w:p w14:paraId="5A24F0BF" w14:textId="60AF1E0D" w:rsidR="00124FEB" w:rsidRPr="0017215B" w:rsidRDefault="00124FEB" w:rsidP="00E20FF1">
      <w:pPr>
        <w:pStyle w:val="FootnoteText"/>
        <w:rPr>
          <w:rFonts w:asciiTheme="minorHAnsi" w:hAnsiTheme="minorHAnsi" w:cstheme="minorHAnsi"/>
          <w:lang w:val="mi-NZ"/>
        </w:rPr>
      </w:pPr>
      <w:r w:rsidRPr="0017215B">
        <w:rPr>
          <w:rStyle w:val="FootnoteReference"/>
          <w:rFonts w:asciiTheme="minorHAnsi" w:hAnsiTheme="minorHAnsi" w:cstheme="minorHAnsi"/>
        </w:rPr>
        <w:footnoteRef/>
      </w:r>
      <w:r w:rsidRPr="0017215B">
        <w:rPr>
          <w:rFonts w:asciiTheme="minorHAnsi" w:hAnsiTheme="minorHAnsi" w:cstheme="minorHAnsi"/>
        </w:rPr>
        <w:t xml:space="preserve"> </w:t>
      </w:r>
      <w:r w:rsidR="00371FAC">
        <w:rPr>
          <w:rFonts w:asciiTheme="minorHAnsi" w:hAnsiTheme="minorHAnsi" w:cstheme="minorHAnsi"/>
        </w:rPr>
        <w:t xml:space="preserve">His Honour Judge Tony Fitzgerald discusses on </w:t>
      </w:r>
      <w:r w:rsidR="00FD2661">
        <w:rPr>
          <w:rFonts w:asciiTheme="minorHAnsi" w:hAnsiTheme="minorHAnsi" w:cstheme="minorHAnsi"/>
        </w:rPr>
        <w:t xml:space="preserve">the use of children’s rights by lawyers and others </w:t>
      </w:r>
      <w:r w:rsidR="00371FAC">
        <w:rPr>
          <w:rFonts w:asciiTheme="minorHAnsi" w:hAnsiTheme="minorHAnsi" w:cstheme="minorHAnsi"/>
        </w:rPr>
        <w:t xml:space="preserve">in </w:t>
      </w:r>
      <w:r w:rsidR="00FD2661">
        <w:rPr>
          <w:rFonts w:asciiTheme="minorHAnsi" w:hAnsiTheme="minorHAnsi" w:cstheme="minorHAnsi"/>
        </w:rPr>
        <w:t xml:space="preserve">the OT system in </w:t>
      </w:r>
      <w:r w:rsidR="00371FAC">
        <w:rPr>
          <w:rFonts w:asciiTheme="minorHAnsi" w:hAnsiTheme="minorHAnsi" w:cstheme="minorHAnsi"/>
        </w:rPr>
        <w:t xml:space="preserve">this webinar. </w:t>
      </w:r>
      <w:hyperlink r:id="rId168" w:history="1">
        <w:r w:rsidR="00FD2661" w:rsidRPr="00F06804">
          <w:rPr>
            <w:rStyle w:val="Hyperlink"/>
            <w:rFonts w:asciiTheme="minorHAnsi" w:hAnsiTheme="minorHAnsi" w:cstheme="minorHAnsi"/>
          </w:rPr>
          <w:t>https://www.youtube.com/watch?v=Mp7V5FCEtTQ</w:t>
        </w:r>
      </w:hyperlink>
      <w:r w:rsidR="00FD2661">
        <w:rPr>
          <w:rFonts w:asciiTheme="minorHAnsi" w:hAnsiTheme="minorHAnsi" w:cstheme="minorHAnsi"/>
        </w:rPr>
        <w:t xml:space="preserve"> </w:t>
      </w:r>
    </w:p>
  </w:footnote>
  <w:footnote w:id="278">
    <w:p w14:paraId="5634B750" w14:textId="45C21F07" w:rsidR="00124FEB" w:rsidRPr="0017215B" w:rsidRDefault="00124FEB" w:rsidP="00E20FF1">
      <w:pPr>
        <w:pStyle w:val="FootnoteText"/>
        <w:rPr>
          <w:rFonts w:asciiTheme="minorHAnsi" w:hAnsiTheme="minorHAnsi" w:cstheme="minorHAnsi"/>
          <w:lang w:val="mi-NZ"/>
        </w:rPr>
      </w:pPr>
      <w:r w:rsidRPr="0017215B">
        <w:rPr>
          <w:rStyle w:val="FootnoteReference"/>
          <w:rFonts w:asciiTheme="minorHAnsi" w:eastAsia="SimSun" w:hAnsiTheme="minorHAnsi" w:cstheme="minorHAnsi"/>
        </w:rPr>
        <w:footnoteRef/>
      </w:r>
      <w:r w:rsidRPr="0017215B">
        <w:rPr>
          <w:rFonts w:asciiTheme="minorHAnsi" w:hAnsiTheme="minorHAnsi" w:cstheme="minorHAnsi"/>
        </w:rPr>
        <w:t xml:space="preserve"> </w:t>
      </w:r>
      <w:r w:rsidR="00FD2661">
        <w:rPr>
          <w:rFonts w:asciiTheme="minorHAnsi" w:hAnsiTheme="minorHAnsi" w:cstheme="minorHAnsi"/>
        </w:rPr>
        <w:t>See paras 134-137 above.</w:t>
      </w:r>
    </w:p>
  </w:footnote>
  <w:footnote w:id="279">
    <w:p w14:paraId="3F690B87" w14:textId="00AF26BE" w:rsidR="003E42F3" w:rsidRPr="00042192" w:rsidRDefault="003E42F3" w:rsidP="00E20FF1">
      <w:pPr>
        <w:pStyle w:val="FootnoteText"/>
        <w:rPr>
          <w:lang w:val="mi-NZ"/>
        </w:rPr>
      </w:pPr>
      <w:r>
        <w:rPr>
          <w:rStyle w:val="FootnoteReference"/>
        </w:rPr>
        <w:footnoteRef/>
      </w:r>
      <w:r>
        <w:t xml:space="preserve"> </w:t>
      </w:r>
      <w:r w:rsidRPr="002179F5">
        <w:rPr>
          <w:rFonts w:asciiTheme="minorHAnsi" w:hAnsiTheme="minorHAnsi" w:cstheme="minorHAnsi"/>
          <w:lang w:val="mi-NZ"/>
        </w:rPr>
        <w:t xml:space="preserve">Government </w:t>
      </w:r>
      <w:r w:rsidR="001675BD">
        <w:rPr>
          <w:rFonts w:asciiTheme="minorHAnsi" w:hAnsiTheme="minorHAnsi" w:cstheme="minorHAnsi"/>
          <w:lang w:val="mi-NZ"/>
        </w:rPr>
        <w:t>R</w:t>
      </w:r>
      <w:r w:rsidRPr="002179F5">
        <w:rPr>
          <w:rFonts w:asciiTheme="minorHAnsi" w:hAnsiTheme="minorHAnsi" w:cstheme="minorHAnsi"/>
          <w:lang w:val="mi-NZ"/>
        </w:rPr>
        <w:t>eport, para 176.</w:t>
      </w:r>
    </w:p>
  </w:footnote>
  <w:footnote w:id="280">
    <w:p w14:paraId="3BEC1A7A" w14:textId="77777777" w:rsidR="003E42F3" w:rsidRPr="0017215B" w:rsidRDefault="003E42F3" w:rsidP="00E20FF1">
      <w:pPr>
        <w:pStyle w:val="FootnoteText"/>
        <w:rPr>
          <w:rFonts w:asciiTheme="minorHAnsi" w:hAnsiTheme="minorHAnsi" w:cstheme="minorHAnsi"/>
          <w:lang w:val="mi-NZ"/>
        </w:rPr>
      </w:pPr>
      <w:r w:rsidRPr="0017215B">
        <w:rPr>
          <w:rStyle w:val="FootnoteReference"/>
          <w:rFonts w:asciiTheme="minorHAnsi" w:hAnsiTheme="minorHAnsi" w:cstheme="minorHAnsi"/>
        </w:rPr>
        <w:footnoteRef/>
      </w:r>
      <w:r w:rsidRPr="0017215B">
        <w:rPr>
          <w:rFonts w:asciiTheme="minorHAnsi" w:hAnsiTheme="minorHAnsi" w:cstheme="minorHAnsi"/>
        </w:rPr>
        <w:t xml:space="preserve"> </w:t>
      </w:r>
      <w:r>
        <w:rPr>
          <w:rFonts w:asciiTheme="minorHAnsi" w:hAnsiTheme="minorHAnsi" w:cstheme="minorHAnsi"/>
          <w:lang w:val="mi-NZ"/>
        </w:rPr>
        <w:t>Based on</w:t>
      </w:r>
      <w:r w:rsidRPr="0017215B">
        <w:rPr>
          <w:rFonts w:asciiTheme="minorHAnsi" w:hAnsiTheme="minorHAnsi" w:cstheme="minorHAnsi"/>
          <w:lang w:val="mi-NZ"/>
        </w:rPr>
        <w:t xml:space="preserve"> governing legislation </w:t>
      </w:r>
      <w:r>
        <w:rPr>
          <w:rFonts w:asciiTheme="minorHAnsi" w:hAnsiTheme="minorHAnsi" w:cstheme="minorHAnsi"/>
          <w:lang w:val="mi-NZ"/>
        </w:rPr>
        <w:t>from the 1950s:</w:t>
      </w:r>
      <w:r w:rsidRPr="0017215B">
        <w:rPr>
          <w:rFonts w:asciiTheme="minorHAnsi" w:hAnsiTheme="minorHAnsi" w:cstheme="minorHAnsi"/>
          <w:lang w:val="mi-NZ"/>
        </w:rPr>
        <w:t xml:space="preserve"> Adoption Act 1955. </w:t>
      </w:r>
    </w:p>
  </w:footnote>
  <w:footnote w:id="281">
    <w:p w14:paraId="6BC08B64" w14:textId="77777777" w:rsidR="003E42F3" w:rsidRPr="00835F0A" w:rsidRDefault="003E42F3" w:rsidP="00E20FF1">
      <w:pPr>
        <w:pStyle w:val="FootnoteText"/>
        <w:rPr>
          <w:lang w:val="mi-NZ"/>
        </w:rPr>
      </w:pPr>
      <w:r w:rsidRPr="0017215B">
        <w:rPr>
          <w:rStyle w:val="FootnoteReference"/>
          <w:rFonts w:asciiTheme="minorHAnsi" w:hAnsiTheme="minorHAnsi" w:cstheme="minorHAnsi"/>
        </w:rPr>
        <w:footnoteRef/>
      </w:r>
      <w:r w:rsidRPr="0017215B">
        <w:rPr>
          <w:rFonts w:asciiTheme="minorHAnsi" w:hAnsiTheme="minorHAnsi" w:cstheme="minorHAnsi"/>
        </w:rPr>
        <w:t xml:space="preserve"> </w:t>
      </w:r>
      <w:r w:rsidRPr="0017215B">
        <w:rPr>
          <w:rFonts w:asciiTheme="minorHAnsi" w:hAnsiTheme="minorHAnsi" w:cstheme="minorHAnsi"/>
          <w:lang w:val="mi-NZ"/>
        </w:rPr>
        <w:t xml:space="preserve">See, for example, </w:t>
      </w:r>
      <w:hyperlink r:id="rId169" w:history="1">
        <w:r w:rsidRPr="0017215B">
          <w:rPr>
            <w:rStyle w:val="Hyperlink"/>
            <w:rFonts w:asciiTheme="minorHAnsi" w:eastAsiaTheme="majorEastAsia" w:hAnsiTheme="minorHAnsi" w:cstheme="minorHAnsi"/>
            <w:lang w:val="mi-NZ"/>
          </w:rPr>
          <w:t>https://www.rnz.co.nz/programmes/the-detail/story/2018849156/growing-pains-our-outdated-adoption-laws</w:t>
        </w:r>
      </w:hyperlink>
      <w:r w:rsidRPr="00835F0A">
        <w:rPr>
          <w:lang w:val="mi-NZ"/>
        </w:rPr>
        <w:t xml:space="preserve"> </w:t>
      </w:r>
    </w:p>
  </w:footnote>
  <w:footnote w:id="282">
    <w:p w14:paraId="54B069B2" w14:textId="77777777" w:rsidR="003E42F3" w:rsidRPr="00E72667" w:rsidRDefault="003E42F3" w:rsidP="00E20FF1">
      <w:pPr>
        <w:pStyle w:val="FootnoteText"/>
        <w:rPr>
          <w:rFonts w:asciiTheme="minorHAnsi" w:hAnsiTheme="minorHAnsi" w:cstheme="minorHAnsi"/>
          <w:lang w:val="mi-NZ"/>
        </w:rPr>
      </w:pPr>
      <w:r w:rsidRPr="00E72667">
        <w:rPr>
          <w:rStyle w:val="FootnoteReference"/>
          <w:rFonts w:asciiTheme="minorHAnsi" w:hAnsiTheme="minorHAnsi" w:cstheme="minorHAnsi"/>
        </w:rPr>
        <w:footnoteRef/>
      </w:r>
      <w:r w:rsidRPr="00E72667">
        <w:rPr>
          <w:rFonts w:asciiTheme="minorHAnsi" w:hAnsiTheme="minorHAnsi" w:cstheme="minorHAnsi"/>
        </w:rPr>
        <w:t xml:space="preserve"> </w:t>
      </w:r>
      <w:hyperlink r:id="rId170" w:anchor=":~:text=New%20Zealand's%2066%2Dyear%2Dold,largely%20the%20same%20since%201955" w:history="1">
        <w:r w:rsidRPr="00E72667">
          <w:rPr>
            <w:rStyle w:val="Hyperlink"/>
            <w:rFonts w:asciiTheme="minorHAnsi" w:eastAsiaTheme="majorEastAsia" w:hAnsiTheme="minorHAnsi" w:cstheme="minorHAnsi"/>
          </w:rPr>
          <w:t>https://www.beehive.govt.nz/release/adoption-laws-under-review#:~:text=New%20Zealand's%2066%2Dyear%2Dold,largely%20the%20same%20since%201955</w:t>
        </w:r>
      </w:hyperlink>
      <w:r w:rsidRPr="00E72667">
        <w:rPr>
          <w:rFonts w:asciiTheme="minorHAnsi" w:hAnsiTheme="minorHAnsi" w:cstheme="minorHAnsi"/>
        </w:rPr>
        <w:t>. Public consultation is currently underway</w:t>
      </w:r>
      <w:r>
        <w:rPr>
          <w:rFonts w:asciiTheme="minorHAnsi" w:hAnsiTheme="minorHAnsi" w:cstheme="minorHAnsi"/>
        </w:rPr>
        <w:t>:</w:t>
      </w:r>
      <w:r w:rsidRPr="00E72667">
        <w:rPr>
          <w:rFonts w:asciiTheme="minorHAnsi" w:hAnsiTheme="minorHAnsi" w:cstheme="minorHAnsi"/>
        </w:rPr>
        <w:t xml:space="preserve"> </w:t>
      </w:r>
      <w:hyperlink r:id="rId171" w:history="1">
        <w:r w:rsidRPr="00E72667">
          <w:rPr>
            <w:rStyle w:val="Hyperlink"/>
            <w:rFonts w:asciiTheme="minorHAnsi" w:eastAsiaTheme="majorEastAsia" w:hAnsiTheme="minorHAnsi" w:cstheme="minorHAnsi"/>
          </w:rPr>
          <w:t>https://consultations.justice.govt.nz/policy/adoption-law-reform/</w:t>
        </w:r>
      </w:hyperlink>
    </w:p>
  </w:footnote>
  <w:footnote w:id="283">
    <w:p w14:paraId="0ED3C0F0" w14:textId="77777777" w:rsidR="003E42F3" w:rsidRPr="00E72667" w:rsidRDefault="003E42F3" w:rsidP="00E20FF1">
      <w:pPr>
        <w:pStyle w:val="FootnoteText"/>
        <w:rPr>
          <w:rFonts w:asciiTheme="minorHAnsi" w:hAnsiTheme="minorHAnsi" w:cstheme="minorHAnsi"/>
          <w:lang w:val="mi-NZ"/>
        </w:rPr>
      </w:pPr>
      <w:r w:rsidRPr="00E72667">
        <w:rPr>
          <w:rStyle w:val="FootnoteReference"/>
          <w:rFonts w:asciiTheme="minorHAnsi" w:hAnsiTheme="minorHAnsi" w:cstheme="minorHAnsi"/>
        </w:rPr>
        <w:footnoteRef/>
      </w:r>
      <w:r w:rsidRPr="00E72667">
        <w:rPr>
          <w:rFonts w:asciiTheme="minorHAnsi" w:hAnsiTheme="minorHAnsi" w:cstheme="minorHAnsi"/>
        </w:rPr>
        <w:t xml:space="preserve"> </w:t>
      </w:r>
      <w:hyperlink r:id="rId172" w:history="1">
        <w:r w:rsidRPr="00E72667">
          <w:rPr>
            <w:rStyle w:val="Hyperlink"/>
            <w:rFonts w:asciiTheme="minorHAnsi" w:eastAsiaTheme="majorEastAsia" w:hAnsiTheme="minorHAnsi" w:cstheme="minorHAnsi"/>
          </w:rPr>
          <w:t>https://www.justice.govt.nz/assets/Documents/Publications/Adoption-in-Aotearoa-NZ-Discussion-doc.pdf</w:t>
        </w:r>
      </w:hyperlink>
      <w:r w:rsidRPr="00E72667">
        <w:rPr>
          <w:rFonts w:asciiTheme="minorHAnsi" w:hAnsiTheme="minorHAnsi" w:cstheme="minorHAnsi"/>
        </w:rPr>
        <w:t xml:space="preserve"> </w:t>
      </w:r>
    </w:p>
  </w:footnote>
  <w:footnote w:id="284">
    <w:p w14:paraId="6C9D608C" w14:textId="77777777" w:rsidR="003E42F3" w:rsidRPr="00E72667" w:rsidRDefault="003E42F3" w:rsidP="00E20FF1">
      <w:pPr>
        <w:pStyle w:val="FootnoteText"/>
        <w:rPr>
          <w:rFonts w:asciiTheme="minorHAnsi" w:hAnsiTheme="minorHAnsi" w:cstheme="minorHAnsi"/>
          <w:lang w:val="mi-NZ"/>
        </w:rPr>
      </w:pPr>
      <w:r w:rsidRPr="00E72667">
        <w:rPr>
          <w:rStyle w:val="FootnoteReference"/>
          <w:rFonts w:asciiTheme="minorHAnsi" w:hAnsiTheme="minorHAnsi" w:cstheme="minorHAnsi"/>
        </w:rPr>
        <w:footnoteRef/>
      </w:r>
      <w:r w:rsidRPr="00E72667">
        <w:rPr>
          <w:rFonts w:asciiTheme="minorHAnsi" w:hAnsiTheme="minorHAnsi" w:cstheme="minorHAnsi"/>
        </w:rPr>
        <w:t xml:space="preserve"> </w:t>
      </w:r>
      <w:hyperlink r:id="rId173" w:history="1">
        <w:r w:rsidRPr="00E72667">
          <w:rPr>
            <w:rStyle w:val="Hyperlink"/>
            <w:rFonts w:asciiTheme="minorHAnsi" w:eastAsiaTheme="majorEastAsia" w:hAnsiTheme="minorHAnsi" w:cstheme="minorHAnsi"/>
          </w:rPr>
          <w:t>https://www.justice.govt.nz/assets/Documents/Publications/Adoption-in-Aotearoa-NZ-Discussion-doc.pdf</w:t>
        </w:r>
      </w:hyperlink>
      <w:r w:rsidRPr="00E72667">
        <w:rPr>
          <w:rFonts w:asciiTheme="minorHAnsi" w:hAnsiTheme="minorHAnsi" w:cstheme="minorHAnsi"/>
        </w:rPr>
        <w:t>, at p.</w:t>
      </w:r>
      <w:r>
        <w:rPr>
          <w:rFonts w:asciiTheme="minorHAnsi" w:hAnsiTheme="minorHAnsi" w:cstheme="minorHAnsi"/>
        </w:rPr>
        <w:t xml:space="preserve"> </w:t>
      </w:r>
      <w:r w:rsidRPr="00E72667">
        <w:rPr>
          <w:rFonts w:asciiTheme="minorHAnsi" w:hAnsiTheme="minorHAnsi" w:cstheme="minorHAnsi"/>
        </w:rPr>
        <w:t>5.</w:t>
      </w:r>
    </w:p>
  </w:footnote>
  <w:footnote w:id="285">
    <w:p w14:paraId="6C8DBEE3" w14:textId="77777777" w:rsidR="003E42F3" w:rsidRPr="00E72667" w:rsidRDefault="003E42F3" w:rsidP="00E20FF1">
      <w:pPr>
        <w:pStyle w:val="FootnoteText"/>
        <w:rPr>
          <w:rFonts w:asciiTheme="minorHAnsi" w:hAnsiTheme="minorHAnsi" w:cstheme="minorHAnsi"/>
          <w:lang w:val="mi-NZ"/>
        </w:rPr>
      </w:pPr>
      <w:r w:rsidRPr="00E72667">
        <w:rPr>
          <w:rStyle w:val="FootnoteReference"/>
          <w:rFonts w:asciiTheme="minorHAnsi" w:hAnsiTheme="minorHAnsi" w:cstheme="minorHAnsi"/>
        </w:rPr>
        <w:footnoteRef/>
      </w:r>
      <w:r w:rsidRPr="00E72667">
        <w:rPr>
          <w:rFonts w:asciiTheme="minorHAnsi" w:hAnsiTheme="minorHAnsi" w:cstheme="minorHAnsi"/>
        </w:rPr>
        <w:t xml:space="preserve"> </w:t>
      </w:r>
      <w:hyperlink r:id="rId174" w:anchor=":~:text=New%20Zealand's%2066%2Dyear%2Dold,largely%20the%20same%20since%201955" w:history="1">
        <w:r w:rsidRPr="00E72667">
          <w:rPr>
            <w:rStyle w:val="Hyperlink"/>
            <w:rFonts w:asciiTheme="minorHAnsi" w:eastAsiaTheme="majorEastAsia" w:hAnsiTheme="minorHAnsi" w:cstheme="minorHAnsi"/>
          </w:rPr>
          <w:t>https://www.beehive.govt.nz/release/adoption-laws-under-review#:~:text=New%20Zealand's%2066%2Dyear%2Dold,largely%20the%20same%20since%201955</w:t>
        </w:r>
      </w:hyperlink>
      <w:r w:rsidRPr="00E72667">
        <w:rPr>
          <w:rFonts w:asciiTheme="minorHAnsi" w:hAnsiTheme="minorHAnsi" w:cstheme="minorHAnsi"/>
        </w:rPr>
        <w:t xml:space="preserve">, at pp. 4-5. </w:t>
      </w:r>
    </w:p>
  </w:footnote>
  <w:footnote w:id="286">
    <w:p w14:paraId="14E0F730" w14:textId="77777777" w:rsidR="003E42F3" w:rsidRPr="00E72667" w:rsidRDefault="003E42F3" w:rsidP="00E20FF1">
      <w:pPr>
        <w:pStyle w:val="FootnoteText"/>
        <w:rPr>
          <w:rFonts w:asciiTheme="minorHAnsi" w:hAnsiTheme="minorHAnsi" w:cstheme="minorHAnsi"/>
          <w:lang w:val="mi-NZ"/>
        </w:rPr>
      </w:pPr>
      <w:r w:rsidRPr="00E72667">
        <w:rPr>
          <w:rStyle w:val="FootnoteReference"/>
          <w:rFonts w:asciiTheme="minorHAnsi" w:hAnsiTheme="minorHAnsi" w:cstheme="minorHAnsi"/>
        </w:rPr>
        <w:footnoteRef/>
      </w:r>
      <w:r w:rsidRPr="00E72667">
        <w:rPr>
          <w:rFonts w:asciiTheme="minorHAnsi" w:hAnsiTheme="minorHAnsi" w:cstheme="minorHAnsi"/>
        </w:rPr>
        <w:t xml:space="preserve"> For a chronology of </w:t>
      </w:r>
      <w:r>
        <w:rPr>
          <w:rFonts w:asciiTheme="minorHAnsi" w:hAnsiTheme="minorHAnsi" w:cstheme="minorHAnsi"/>
        </w:rPr>
        <w:t xml:space="preserve">the </w:t>
      </w:r>
      <w:r w:rsidRPr="00E72667">
        <w:rPr>
          <w:rFonts w:asciiTheme="minorHAnsi" w:hAnsiTheme="minorHAnsi" w:cstheme="minorHAnsi"/>
        </w:rPr>
        <w:t xml:space="preserve">inaction of successive governments in adoption law reform over the </w:t>
      </w:r>
      <w:r>
        <w:rPr>
          <w:rFonts w:asciiTheme="minorHAnsi" w:hAnsiTheme="minorHAnsi" w:cstheme="minorHAnsi"/>
        </w:rPr>
        <w:t>p</w:t>
      </w:r>
      <w:r w:rsidRPr="00E72667">
        <w:rPr>
          <w:rFonts w:asciiTheme="minorHAnsi" w:hAnsiTheme="minorHAnsi" w:cstheme="minorHAnsi"/>
        </w:rPr>
        <w:t>ast 42 years see</w:t>
      </w:r>
      <w:r>
        <w:rPr>
          <w:rFonts w:asciiTheme="minorHAnsi" w:hAnsiTheme="minorHAnsi" w:cstheme="minorHAnsi"/>
        </w:rPr>
        <w:t>:</w:t>
      </w:r>
      <w:r w:rsidRPr="00E72667">
        <w:rPr>
          <w:rFonts w:asciiTheme="minorHAnsi" w:hAnsiTheme="minorHAnsi" w:cstheme="minorHAnsi"/>
        </w:rPr>
        <w:t xml:space="preserve"> </w:t>
      </w:r>
      <w:hyperlink r:id="rId175" w:history="1">
        <w:r w:rsidRPr="00E72667">
          <w:rPr>
            <w:rStyle w:val="Hyperlink"/>
            <w:rFonts w:asciiTheme="minorHAnsi" w:eastAsiaTheme="majorEastAsia" w:hAnsiTheme="minorHAnsi" w:cstheme="minorHAnsi"/>
          </w:rPr>
          <w:t>Adoption Action</w:t>
        </w:r>
      </w:hyperlink>
      <w:r w:rsidRPr="00E72667">
        <w:rPr>
          <w:rFonts w:asciiTheme="minorHAnsi" w:hAnsiTheme="minorHAnsi" w:cstheme="minorHAnsi"/>
        </w:rPr>
        <w:t xml:space="preserve">: </w:t>
      </w:r>
      <w:hyperlink r:id="rId176" w:history="1">
        <w:r w:rsidRPr="00E72667">
          <w:rPr>
            <w:rStyle w:val="Hyperlink"/>
            <w:rFonts w:asciiTheme="minorHAnsi" w:eastAsiaTheme="majorEastAsia" w:hAnsiTheme="minorHAnsi" w:cstheme="minorHAnsi"/>
          </w:rPr>
          <w:t>http://adoptionaction.co.nz/wp-content/uploads/2021/05/Chronology.pdf</w:t>
        </w:r>
      </w:hyperlink>
      <w:r w:rsidRPr="00E72667">
        <w:rPr>
          <w:rFonts w:asciiTheme="minorHAnsi" w:hAnsiTheme="minorHAnsi" w:cstheme="minorHAnsi"/>
        </w:rPr>
        <w:t xml:space="preserve"> </w:t>
      </w:r>
    </w:p>
  </w:footnote>
  <w:footnote w:id="287">
    <w:p w14:paraId="3CF0F0C4" w14:textId="77777777" w:rsidR="003E42F3" w:rsidRPr="00E72667" w:rsidRDefault="003E42F3" w:rsidP="00E20FF1">
      <w:pPr>
        <w:pStyle w:val="FootnoteText"/>
        <w:rPr>
          <w:rFonts w:asciiTheme="minorHAnsi" w:hAnsiTheme="minorHAnsi" w:cstheme="minorHAnsi"/>
          <w:lang w:val="mi-NZ"/>
        </w:rPr>
      </w:pPr>
      <w:r w:rsidRPr="00E72667">
        <w:rPr>
          <w:rStyle w:val="FootnoteReference"/>
          <w:rFonts w:asciiTheme="minorHAnsi" w:hAnsiTheme="minorHAnsi" w:cstheme="minorHAnsi"/>
        </w:rPr>
        <w:footnoteRef/>
      </w:r>
      <w:r w:rsidRPr="00E72667">
        <w:rPr>
          <w:rFonts w:asciiTheme="minorHAnsi" w:hAnsiTheme="minorHAnsi" w:cstheme="minorHAnsi"/>
        </w:rPr>
        <w:t xml:space="preserve"> </w:t>
      </w:r>
      <w:hyperlink r:id="rId177" w:history="1">
        <w:r w:rsidRPr="00E72667">
          <w:rPr>
            <w:rStyle w:val="Hyperlink"/>
            <w:rFonts w:asciiTheme="minorHAnsi" w:eastAsiaTheme="majorEastAsia" w:hAnsiTheme="minorHAnsi" w:cstheme="minorHAnsi"/>
          </w:rPr>
          <w:t>https://www.lawcom.govt.nz/our-projects/review-of-surrogacy</w:t>
        </w:r>
      </w:hyperlink>
      <w:r w:rsidRPr="00E72667">
        <w:rPr>
          <w:rFonts w:asciiTheme="minorHAnsi" w:hAnsiTheme="minorHAnsi" w:cstheme="minorHAnsi"/>
        </w:rPr>
        <w:t xml:space="preserve"> </w:t>
      </w:r>
    </w:p>
  </w:footnote>
  <w:footnote w:id="288">
    <w:p w14:paraId="025157D0" w14:textId="5A6E092F" w:rsidR="003E42F3" w:rsidRPr="00E72667" w:rsidRDefault="003E42F3" w:rsidP="00E20FF1">
      <w:pPr>
        <w:pStyle w:val="FootnoteText"/>
        <w:rPr>
          <w:rFonts w:asciiTheme="minorHAnsi" w:hAnsiTheme="minorHAnsi" w:cstheme="minorHAnsi"/>
          <w:lang w:val="mi-NZ"/>
        </w:rPr>
      </w:pPr>
      <w:r w:rsidRPr="00E72667">
        <w:rPr>
          <w:rStyle w:val="FootnoteReference"/>
          <w:rFonts w:asciiTheme="minorHAnsi" w:hAnsiTheme="minorHAnsi" w:cstheme="minorHAnsi"/>
        </w:rPr>
        <w:footnoteRef/>
      </w:r>
      <w:r w:rsidRPr="00E72667">
        <w:rPr>
          <w:rFonts w:asciiTheme="minorHAnsi" w:hAnsiTheme="minorHAnsi" w:cstheme="minorHAnsi"/>
        </w:rPr>
        <w:t xml:space="preserve"> </w:t>
      </w:r>
      <w:proofErr w:type="spellStart"/>
      <w:r w:rsidRPr="00E72667">
        <w:rPr>
          <w:rFonts w:asciiTheme="minorHAnsi" w:hAnsiTheme="minorHAnsi" w:cstheme="minorHAnsi"/>
        </w:rPr>
        <w:t>Te</w:t>
      </w:r>
      <w:proofErr w:type="spellEnd"/>
      <w:r w:rsidRPr="00E72667">
        <w:rPr>
          <w:rFonts w:asciiTheme="minorHAnsi" w:hAnsiTheme="minorHAnsi" w:cstheme="minorHAnsi"/>
        </w:rPr>
        <w:t xml:space="preserve"> Aka Matua o </w:t>
      </w:r>
      <w:proofErr w:type="spellStart"/>
      <w:r w:rsidRPr="00E72667">
        <w:rPr>
          <w:rFonts w:asciiTheme="minorHAnsi" w:hAnsiTheme="minorHAnsi" w:cstheme="minorHAnsi"/>
        </w:rPr>
        <w:t>te</w:t>
      </w:r>
      <w:proofErr w:type="spellEnd"/>
      <w:r w:rsidRPr="00E72667">
        <w:rPr>
          <w:rFonts w:asciiTheme="minorHAnsi" w:hAnsiTheme="minorHAnsi" w:cstheme="minorHAnsi"/>
        </w:rPr>
        <w:t xml:space="preserve"> Ture | Law Commission (2022) </w:t>
      </w:r>
      <w:proofErr w:type="spellStart"/>
      <w:r w:rsidRPr="00E72667">
        <w:rPr>
          <w:rFonts w:asciiTheme="minorHAnsi" w:hAnsiTheme="minorHAnsi" w:cstheme="minorHAnsi"/>
          <w:i/>
          <w:iCs/>
        </w:rPr>
        <w:t>Te</w:t>
      </w:r>
      <w:proofErr w:type="spellEnd"/>
      <w:r w:rsidRPr="00E72667">
        <w:rPr>
          <w:rFonts w:asciiTheme="minorHAnsi" w:hAnsiTheme="minorHAnsi" w:cstheme="minorHAnsi"/>
          <w:i/>
          <w:iCs/>
        </w:rPr>
        <w:t xml:space="preserve"> </w:t>
      </w:r>
      <w:proofErr w:type="spellStart"/>
      <w:r w:rsidRPr="00E72667">
        <w:rPr>
          <w:rFonts w:asciiTheme="minorHAnsi" w:hAnsiTheme="minorHAnsi" w:cstheme="minorHAnsi"/>
          <w:i/>
          <w:iCs/>
        </w:rPr>
        <w:t>Kōpū</w:t>
      </w:r>
      <w:proofErr w:type="spellEnd"/>
      <w:r w:rsidRPr="00E72667">
        <w:rPr>
          <w:rFonts w:asciiTheme="minorHAnsi" w:hAnsiTheme="minorHAnsi" w:cstheme="minorHAnsi"/>
          <w:i/>
          <w:iCs/>
        </w:rPr>
        <w:t xml:space="preserve"> </w:t>
      </w:r>
      <w:proofErr w:type="spellStart"/>
      <w:r w:rsidRPr="00E72667">
        <w:rPr>
          <w:rFonts w:asciiTheme="minorHAnsi" w:hAnsiTheme="minorHAnsi" w:cstheme="minorHAnsi"/>
          <w:i/>
          <w:iCs/>
        </w:rPr>
        <w:t>Whāngai</w:t>
      </w:r>
      <w:proofErr w:type="spellEnd"/>
      <w:r w:rsidRPr="00E72667">
        <w:rPr>
          <w:rFonts w:asciiTheme="minorHAnsi" w:hAnsiTheme="minorHAnsi" w:cstheme="minorHAnsi"/>
          <w:i/>
          <w:iCs/>
        </w:rPr>
        <w:t xml:space="preserve">: He </w:t>
      </w:r>
      <w:proofErr w:type="spellStart"/>
      <w:r w:rsidRPr="00E72667">
        <w:rPr>
          <w:rFonts w:asciiTheme="minorHAnsi" w:hAnsiTheme="minorHAnsi" w:cstheme="minorHAnsi"/>
          <w:i/>
          <w:iCs/>
        </w:rPr>
        <w:t>Arotake</w:t>
      </w:r>
      <w:proofErr w:type="spellEnd"/>
      <w:r w:rsidRPr="00E72667">
        <w:rPr>
          <w:rFonts w:asciiTheme="minorHAnsi" w:hAnsiTheme="minorHAnsi" w:cstheme="minorHAnsi"/>
          <w:i/>
          <w:iCs/>
        </w:rPr>
        <w:t xml:space="preserve"> – Review of Surrogacy</w:t>
      </w:r>
      <w:r w:rsidRPr="00E72667">
        <w:rPr>
          <w:rFonts w:asciiTheme="minorHAnsi" w:hAnsiTheme="minorHAnsi" w:cstheme="minorHAnsi"/>
        </w:rPr>
        <w:t xml:space="preserve">, </w:t>
      </w:r>
      <w:proofErr w:type="spellStart"/>
      <w:r w:rsidRPr="00E72667">
        <w:rPr>
          <w:rFonts w:asciiTheme="minorHAnsi" w:hAnsiTheme="minorHAnsi" w:cstheme="minorHAnsi"/>
        </w:rPr>
        <w:t>Pūrongo</w:t>
      </w:r>
      <w:proofErr w:type="spellEnd"/>
      <w:r w:rsidRPr="00E72667">
        <w:rPr>
          <w:rFonts w:asciiTheme="minorHAnsi" w:hAnsiTheme="minorHAnsi" w:cstheme="minorHAnsi"/>
        </w:rPr>
        <w:t xml:space="preserve"> Report 146: </w:t>
      </w:r>
      <w:hyperlink r:id="rId178" w:history="1">
        <w:r w:rsidRPr="00E72667">
          <w:rPr>
            <w:rStyle w:val="Hyperlink"/>
            <w:rFonts w:asciiTheme="minorHAnsi" w:eastAsiaTheme="majorEastAsia" w:hAnsiTheme="minorHAnsi" w:cstheme="minorHAnsi"/>
          </w:rPr>
          <w:t>https://www.lawcom.govt.nz/sites/default/files/projectAvailableFormats/NZLC-Report146-Review-of-Surrogacy.pdf</w:t>
        </w:r>
      </w:hyperlink>
      <w:r w:rsidRPr="00E72667">
        <w:rPr>
          <w:rFonts w:asciiTheme="minorHAnsi" w:hAnsiTheme="minorHAnsi" w:cstheme="minorHAnsi"/>
        </w:rPr>
        <w:t xml:space="preserve"> </w:t>
      </w:r>
    </w:p>
  </w:footnote>
  <w:footnote w:id="289">
    <w:p w14:paraId="05A27A6B" w14:textId="77777777" w:rsidR="003E42F3" w:rsidRPr="00E72667" w:rsidRDefault="003E42F3" w:rsidP="00E20FF1">
      <w:pPr>
        <w:pStyle w:val="FootnoteText"/>
        <w:rPr>
          <w:rFonts w:asciiTheme="minorHAnsi" w:hAnsiTheme="minorHAnsi" w:cstheme="minorHAnsi"/>
          <w:lang w:val="mi-NZ"/>
        </w:rPr>
      </w:pPr>
      <w:r w:rsidRPr="00E72667">
        <w:rPr>
          <w:rStyle w:val="FootnoteReference"/>
          <w:rFonts w:asciiTheme="minorHAnsi" w:hAnsiTheme="minorHAnsi" w:cstheme="minorHAnsi"/>
        </w:rPr>
        <w:footnoteRef/>
      </w:r>
      <w:r>
        <w:rPr>
          <w:rFonts w:asciiTheme="minorHAnsi" w:hAnsiTheme="minorHAnsi" w:cstheme="minorHAnsi"/>
        </w:rPr>
        <w:t xml:space="preserve"> Guiding Principle 2. </w:t>
      </w:r>
      <w:r w:rsidRPr="00E72667">
        <w:rPr>
          <w:rFonts w:asciiTheme="minorHAnsi" w:hAnsiTheme="minorHAnsi" w:cstheme="minorHAnsi"/>
        </w:rPr>
        <w:t xml:space="preserve"> </w:t>
      </w:r>
      <w:hyperlink r:id="rId179" w:history="1">
        <w:r w:rsidRPr="00E72667">
          <w:rPr>
            <w:rStyle w:val="Hyperlink"/>
            <w:rFonts w:asciiTheme="minorHAnsi" w:eastAsiaTheme="majorEastAsia" w:hAnsiTheme="minorHAnsi" w:cstheme="minorHAnsi"/>
          </w:rPr>
          <w:t>https://www.lawcom.govt.nz/sites/default/files/projectAvailableFormats/Surrogacy%20-%20Final%20Report%20146%20-%20%20Executive%20Summary.pdf</w:t>
        </w:r>
      </w:hyperlink>
      <w:r w:rsidRPr="00E72667">
        <w:rPr>
          <w:rFonts w:asciiTheme="minorHAnsi" w:hAnsiTheme="minorHAnsi" w:cstheme="minorHAnsi"/>
        </w:rPr>
        <w:t>, at p. 7</w:t>
      </w:r>
      <w:r>
        <w:rPr>
          <w:rFonts w:asciiTheme="minorHAnsi" w:hAnsiTheme="minorHAnsi" w:cstheme="minorHAnsi"/>
        </w:rPr>
        <w:t>; s</w:t>
      </w:r>
      <w:r w:rsidRPr="00E72667">
        <w:rPr>
          <w:rFonts w:asciiTheme="minorHAnsi" w:hAnsiTheme="minorHAnsi" w:cstheme="minorHAnsi"/>
        </w:rPr>
        <w:t xml:space="preserve">ee also the discussion at pp. 75-84. </w:t>
      </w:r>
    </w:p>
  </w:footnote>
  <w:footnote w:id="290">
    <w:p w14:paraId="453F02A9" w14:textId="77777777" w:rsidR="003E42F3" w:rsidRPr="00E72667" w:rsidRDefault="003E42F3" w:rsidP="00E20FF1">
      <w:pPr>
        <w:pStyle w:val="FootnoteText"/>
        <w:rPr>
          <w:rFonts w:asciiTheme="minorHAnsi" w:hAnsiTheme="minorHAnsi" w:cstheme="minorHAnsi"/>
          <w:lang w:val="mi-NZ"/>
        </w:rPr>
      </w:pPr>
      <w:r w:rsidRPr="00E72667">
        <w:rPr>
          <w:rStyle w:val="FootnoteReference"/>
          <w:rFonts w:asciiTheme="minorHAnsi" w:hAnsiTheme="minorHAnsi" w:cstheme="minorHAnsi"/>
        </w:rPr>
        <w:footnoteRef/>
      </w:r>
      <w:r w:rsidRPr="00E72667">
        <w:rPr>
          <w:rFonts w:asciiTheme="minorHAnsi" w:hAnsiTheme="minorHAnsi" w:cstheme="minorHAnsi"/>
        </w:rPr>
        <w:t xml:space="preserve"> </w:t>
      </w:r>
      <w:hyperlink r:id="rId180" w:history="1">
        <w:r w:rsidRPr="00E72667">
          <w:rPr>
            <w:rStyle w:val="Hyperlink"/>
            <w:rFonts w:asciiTheme="minorHAnsi" w:eastAsiaTheme="majorEastAsia" w:hAnsiTheme="minorHAnsi" w:cstheme="minorHAnsi"/>
          </w:rPr>
          <w:t>https://www.lawcom.govt.nz/sites/default/files/projectAvailableFormats/Surrogacy%20-%20Final%20Report%20146%20-%20%20Executive%20Summary.pdf</w:t>
        </w:r>
      </w:hyperlink>
      <w:r w:rsidRPr="00E72667">
        <w:rPr>
          <w:rFonts w:asciiTheme="minorHAnsi" w:hAnsiTheme="minorHAnsi" w:cstheme="minorHAnsi"/>
        </w:rPr>
        <w:t>, at p. 7; see also pp. 69-75.</w:t>
      </w:r>
    </w:p>
  </w:footnote>
  <w:footnote w:id="291">
    <w:p w14:paraId="1D55E92D" w14:textId="77777777" w:rsidR="003E42F3" w:rsidRPr="00E72667" w:rsidRDefault="003E42F3" w:rsidP="00E20FF1">
      <w:pPr>
        <w:pStyle w:val="FootnoteText"/>
        <w:rPr>
          <w:rFonts w:asciiTheme="minorHAnsi" w:hAnsiTheme="minorHAnsi" w:cstheme="minorHAnsi"/>
          <w:lang w:val="mi-NZ"/>
        </w:rPr>
      </w:pPr>
      <w:r w:rsidRPr="00E72667">
        <w:rPr>
          <w:rStyle w:val="FootnoteReference"/>
          <w:rFonts w:asciiTheme="minorHAnsi" w:hAnsiTheme="minorHAnsi" w:cstheme="minorHAnsi"/>
        </w:rPr>
        <w:footnoteRef/>
      </w:r>
      <w:r w:rsidRPr="00E72667">
        <w:rPr>
          <w:rFonts w:asciiTheme="minorHAnsi" w:hAnsiTheme="minorHAnsi" w:cstheme="minorHAnsi"/>
        </w:rPr>
        <w:t xml:space="preserve"> </w:t>
      </w:r>
      <w:hyperlink r:id="rId181" w:history="1">
        <w:r w:rsidRPr="00E72667">
          <w:rPr>
            <w:rStyle w:val="Hyperlink"/>
            <w:rFonts w:asciiTheme="minorHAnsi" w:eastAsiaTheme="majorEastAsia" w:hAnsiTheme="minorHAnsi" w:cstheme="minorHAnsi"/>
          </w:rPr>
          <w:t>https://www.lawcom.govt.nz/sites/default/files/projectAvailableFormats/Surrogacy%20-%20Final%20Report%20146%20-%20%20Executive%20Summary.pdf</w:t>
        </w:r>
      </w:hyperlink>
      <w:r w:rsidRPr="00E72667">
        <w:rPr>
          <w:rFonts w:asciiTheme="minorHAnsi" w:hAnsiTheme="minorHAnsi" w:cstheme="minorHAnsi"/>
        </w:rPr>
        <w:t xml:space="preserve">, at p. </w:t>
      </w:r>
      <w:proofErr w:type="gramStart"/>
      <w:r w:rsidRPr="00E72667">
        <w:rPr>
          <w:rFonts w:asciiTheme="minorHAnsi" w:hAnsiTheme="minorHAnsi" w:cstheme="minorHAnsi"/>
        </w:rPr>
        <w:t>90;</w:t>
      </w:r>
      <w:proofErr w:type="gramEnd"/>
      <w:r w:rsidRPr="00E72667">
        <w:rPr>
          <w:rFonts w:asciiTheme="minorHAnsi" w:hAnsiTheme="minorHAnsi" w:cstheme="minorHAnsi"/>
        </w:rPr>
        <w:t xml:space="preserve"> </w:t>
      </w:r>
    </w:p>
  </w:footnote>
  <w:footnote w:id="292">
    <w:p w14:paraId="03DF1B19" w14:textId="77777777" w:rsidR="003E42F3" w:rsidRPr="00E72667" w:rsidRDefault="003E42F3" w:rsidP="00E20FF1">
      <w:pPr>
        <w:pStyle w:val="FootnoteText"/>
        <w:rPr>
          <w:rFonts w:asciiTheme="minorHAnsi" w:hAnsiTheme="minorHAnsi" w:cstheme="minorHAnsi"/>
          <w:lang w:val="mi-NZ"/>
        </w:rPr>
      </w:pPr>
      <w:r w:rsidRPr="00E72667">
        <w:rPr>
          <w:rStyle w:val="FootnoteReference"/>
          <w:rFonts w:asciiTheme="minorHAnsi" w:hAnsiTheme="minorHAnsi" w:cstheme="minorHAnsi"/>
        </w:rPr>
        <w:footnoteRef/>
      </w:r>
      <w:r w:rsidRPr="00E72667">
        <w:rPr>
          <w:rFonts w:asciiTheme="minorHAnsi" w:hAnsiTheme="minorHAnsi" w:cstheme="minorHAnsi"/>
        </w:rPr>
        <w:t xml:space="preserve"> Improving Arrangements for Surrogacy Bill 2021, </w:t>
      </w:r>
      <w:hyperlink r:id="rId182" w:history="1">
        <w:r w:rsidRPr="00CC003D">
          <w:rPr>
            <w:rFonts w:asciiTheme="minorHAnsi" w:eastAsiaTheme="minorHAnsi" w:hAnsiTheme="minorHAnsi" w:cstheme="minorHAnsi"/>
            <w:color w:val="25409A" w:themeColor="text2"/>
            <w:u w:val="single" w:color="094FD1"/>
            <w:lang w:val="en-GB" w:eastAsia="en-US"/>
          </w:rPr>
          <w:t>https://www.parliament.nz/en/pb/bills-and-laws/bills-proposed-laws/document/BILL_115955/improving-arrangements-for-surrogacy-bill</w:t>
        </w:r>
      </w:hyperlink>
    </w:p>
  </w:footnote>
  <w:footnote w:id="293">
    <w:p w14:paraId="2A892D6F" w14:textId="04D42D07" w:rsidR="00CA7C26" w:rsidRPr="00E72667" w:rsidRDefault="00CA7C26" w:rsidP="00E20FF1">
      <w:pPr>
        <w:spacing w:after="0" w:line="240" w:lineRule="auto"/>
        <w:rPr>
          <w:rFonts w:cstheme="minorHAnsi"/>
        </w:rPr>
      </w:pPr>
      <w:r w:rsidRPr="00E72667">
        <w:rPr>
          <w:rStyle w:val="FootnoteReference"/>
          <w:rFonts w:cstheme="minorHAnsi"/>
        </w:rPr>
        <w:footnoteRef/>
      </w:r>
      <w:r w:rsidRPr="00E72667">
        <w:rPr>
          <w:rFonts w:cstheme="minorHAnsi"/>
        </w:rPr>
        <w:t xml:space="preserve"> </w:t>
      </w:r>
      <w:proofErr w:type="spellStart"/>
      <w:r w:rsidRPr="00E72667">
        <w:rPr>
          <w:rFonts w:cstheme="minorHAnsi"/>
        </w:rPr>
        <w:t>Gerison</w:t>
      </w:r>
      <w:proofErr w:type="spellEnd"/>
      <w:r w:rsidRPr="00E72667">
        <w:rPr>
          <w:rFonts w:cstheme="minorHAnsi"/>
        </w:rPr>
        <w:t xml:space="preserve"> Lansdown (2014) “Children with disabilities” Chapter 6 in Maya </w:t>
      </w:r>
      <w:proofErr w:type="spellStart"/>
      <w:r w:rsidRPr="00E72667">
        <w:rPr>
          <w:rFonts w:cstheme="minorHAnsi"/>
          <w:color w:val="000000"/>
          <w:spacing w:val="-5"/>
        </w:rPr>
        <w:t>Sabatello</w:t>
      </w:r>
      <w:proofErr w:type="spellEnd"/>
      <w:r w:rsidRPr="00E72667">
        <w:rPr>
          <w:rFonts w:cstheme="minorHAnsi"/>
          <w:color w:val="000000"/>
          <w:spacing w:val="-5"/>
        </w:rPr>
        <w:t xml:space="preserve"> &amp; Marianne Schulze (Eds) </w:t>
      </w:r>
      <w:r w:rsidRPr="00E72667">
        <w:rPr>
          <w:rFonts w:cstheme="minorHAnsi"/>
          <w:i/>
          <w:iCs/>
          <w:color w:val="000000"/>
          <w:spacing w:val="-5"/>
        </w:rPr>
        <w:t>Human Rights and Disability Advocacy</w:t>
      </w:r>
      <w:r w:rsidRPr="00E72667">
        <w:rPr>
          <w:rFonts w:cstheme="minorHAnsi"/>
          <w:color w:val="000000"/>
          <w:spacing w:val="-5"/>
        </w:rPr>
        <w:t>, University of Pennsylvania Press.</w:t>
      </w:r>
      <w:r>
        <w:rPr>
          <w:rFonts w:cstheme="minorHAnsi"/>
          <w:color w:val="000000"/>
          <w:spacing w:val="-5"/>
        </w:rPr>
        <w:t xml:space="preserve"> </w:t>
      </w:r>
      <w:hyperlink r:id="rId183" w:history="1">
        <w:r w:rsidRPr="00247584">
          <w:rPr>
            <w:rStyle w:val="Hyperlink"/>
            <w:rFonts w:cstheme="minorHAnsi"/>
            <w:spacing w:val="-5"/>
          </w:rPr>
          <w:t>http://www.jstor.org/stable/j.ctt5hjm1h</w:t>
        </w:r>
      </w:hyperlink>
      <w:r w:rsidRPr="00E72667">
        <w:rPr>
          <w:rFonts w:cstheme="minorHAnsi"/>
          <w:color w:val="000000"/>
          <w:spacing w:val="-5"/>
        </w:rPr>
        <w:t xml:space="preserve"> </w:t>
      </w:r>
    </w:p>
  </w:footnote>
  <w:footnote w:id="294">
    <w:p w14:paraId="122B806B" w14:textId="77777777" w:rsidR="00CA7C26" w:rsidRPr="00E72667" w:rsidRDefault="00CA7C26" w:rsidP="00E20FF1">
      <w:pPr>
        <w:pStyle w:val="FootnoteText"/>
        <w:rPr>
          <w:rFonts w:asciiTheme="minorHAnsi" w:hAnsiTheme="minorHAnsi" w:cstheme="minorHAnsi"/>
          <w:lang w:val="en-US"/>
        </w:rPr>
      </w:pPr>
      <w:r w:rsidRPr="00E72667">
        <w:rPr>
          <w:rStyle w:val="FootnoteReference"/>
          <w:rFonts w:asciiTheme="minorHAnsi" w:hAnsiTheme="minorHAnsi" w:cstheme="minorHAnsi"/>
        </w:rPr>
        <w:footnoteRef/>
      </w:r>
      <w:r w:rsidRPr="00E72667">
        <w:rPr>
          <w:rFonts w:asciiTheme="minorHAnsi" w:hAnsiTheme="minorHAnsi" w:cstheme="minorHAnsi"/>
        </w:rPr>
        <w:t xml:space="preserve"> </w:t>
      </w:r>
      <w:r w:rsidRPr="00E72667">
        <w:rPr>
          <w:rFonts w:asciiTheme="minorHAnsi" w:hAnsiTheme="minorHAnsi" w:cstheme="minorHAnsi"/>
          <w:lang w:val="en-US"/>
        </w:rPr>
        <w:t>UNCRPD, Article 7.</w:t>
      </w:r>
    </w:p>
  </w:footnote>
  <w:footnote w:id="295">
    <w:p w14:paraId="29EA427E" w14:textId="5AD00E87" w:rsidR="00CA7C26" w:rsidRPr="00DF6EE5" w:rsidRDefault="00CA7C26" w:rsidP="00E20FF1">
      <w:pPr>
        <w:spacing w:after="0" w:line="240" w:lineRule="auto"/>
        <w:rPr>
          <w:rFonts w:cstheme="minorHAnsi"/>
        </w:rPr>
      </w:pPr>
      <w:r w:rsidRPr="00DF6EE5">
        <w:rPr>
          <w:rStyle w:val="FootnoteReference"/>
          <w:rFonts w:cstheme="minorHAnsi"/>
          <w:color w:val="000000" w:themeColor="text1"/>
        </w:rPr>
        <w:footnoteRef/>
      </w:r>
      <w:r w:rsidRPr="00DF6EE5">
        <w:rPr>
          <w:rFonts w:cstheme="minorHAnsi"/>
        </w:rPr>
        <w:t xml:space="preserve"> </w:t>
      </w:r>
      <w:r w:rsidRPr="00DF6EE5">
        <w:rPr>
          <w:rFonts w:cstheme="minorHAnsi"/>
          <w:i/>
          <w:iCs/>
        </w:rPr>
        <w:t>What makes a good life for disabled children and young people</w:t>
      </w:r>
      <w:r w:rsidRPr="00DF6EE5">
        <w:rPr>
          <w:rFonts w:cstheme="minorHAnsi"/>
        </w:rPr>
        <w:t>? (2021) Summary Report in the What Makes a Good life?: Children and young people’s views on wellbeing series</w:t>
      </w:r>
      <w:r>
        <w:rPr>
          <w:rFonts w:cstheme="minorHAnsi"/>
        </w:rPr>
        <w:t xml:space="preserve">, </w:t>
      </w:r>
      <w:r w:rsidRPr="00DF6EE5">
        <w:rPr>
          <w:rFonts w:cstheme="minorHAnsi"/>
        </w:rPr>
        <w:t>Office of the Children’s Commissioner</w:t>
      </w:r>
      <w:r>
        <w:rPr>
          <w:rFonts w:cstheme="minorHAnsi"/>
        </w:rPr>
        <w:t>, Wellington</w:t>
      </w:r>
      <w:r w:rsidRPr="00DF6EE5">
        <w:rPr>
          <w:rFonts w:cstheme="minorHAnsi"/>
        </w:rPr>
        <w:t xml:space="preserve">: </w:t>
      </w:r>
      <w:hyperlink r:id="rId184" w:history="1">
        <w:r w:rsidRPr="00DF6EE5">
          <w:rPr>
            <w:rStyle w:val="Hyperlink"/>
            <w:rFonts w:cstheme="minorHAnsi"/>
            <w:bCs/>
          </w:rPr>
          <w:t>https://www.occ.org.nz/publications/reports/disabled-children-young-people-summary-report/</w:t>
        </w:r>
      </w:hyperlink>
      <w:r w:rsidRPr="00DF6EE5">
        <w:rPr>
          <w:rFonts w:cstheme="minorHAnsi"/>
        </w:rPr>
        <w:t xml:space="preserve"> </w:t>
      </w:r>
    </w:p>
  </w:footnote>
  <w:footnote w:id="296">
    <w:p w14:paraId="1B05A967" w14:textId="1DB9A59C" w:rsidR="00CA7C26" w:rsidRPr="00DF6EE5" w:rsidRDefault="00CA7C26" w:rsidP="00E20FF1">
      <w:pPr>
        <w:pStyle w:val="FootnoteText"/>
        <w:rPr>
          <w:rFonts w:asciiTheme="minorHAnsi" w:hAnsiTheme="minorHAnsi" w:cstheme="minorHAnsi"/>
          <w:lang w:val="mi-NZ"/>
        </w:rPr>
      </w:pPr>
      <w:r w:rsidRPr="00DF6EE5">
        <w:rPr>
          <w:rStyle w:val="FootnoteReference"/>
          <w:rFonts w:asciiTheme="minorHAnsi" w:hAnsiTheme="minorHAnsi" w:cstheme="minorHAnsi"/>
        </w:rPr>
        <w:footnoteRef/>
      </w:r>
      <w:r w:rsidRPr="00DF6EE5">
        <w:rPr>
          <w:rFonts w:asciiTheme="minorHAnsi" w:hAnsiTheme="minorHAnsi" w:cstheme="minorHAnsi"/>
        </w:rPr>
        <w:t xml:space="preserve"> </w:t>
      </w:r>
      <w:hyperlink r:id="rId185" w:history="1">
        <w:r w:rsidR="00EC7A0E" w:rsidRPr="00F06804">
          <w:rPr>
            <w:rStyle w:val="Hyperlink"/>
            <w:rFonts w:asciiTheme="minorHAnsi" w:hAnsiTheme="minorHAnsi" w:cstheme="minorHAnsi"/>
          </w:rPr>
          <w:t>https://static1.squarespace.com/static/5bdbb75ccef37259122e59aa/t/6184806e7f75f066263cacef/1636073585149/Youth19+Disability+Brief.pdf</w:t>
        </w:r>
      </w:hyperlink>
      <w:r w:rsidRPr="00DF6EE5">
        <w:rPr>
          <w:rFonts w:asciiTheme="minorHAnsi" w:hAnsiTheme="minorHAnsi" w:cstheme="minorHAnsi"/>
        </w:rPr>
        <w:t xml:space="preserve"> </w:t>
      </w:r>
    </w:p>
  </w:footnote>
  <w:footnote w:id="297">
    <w:p w14:paraId="43408ECA" w14:textId="2EE489DE" w:rsidR="00CA7C26" w:rsidRPr="00DF6EE5" w:rsidRDefault="00CA7C26" w:rsidP="00E20FF1">
      <w:pPr>
        <w:pStyle w:val="FootnoteText"/>
        <w:rPr>
          <w:rFonts w:asciiTheme="minorHAnsi" w:hAnsiTheme="minorHAnsi" w:cstheme="minorHAnsi"/>
          <w:lang w:val="mi-NZ"/>
        </w:rPr>
      </w:pPr>
      <w:r w:rsidRPr="00DF6EE5">
        <w:rPr>
          <w:rStyle w:val="FootnoteReference"/>
          <w:rFonts w:asciiTheme="minorHAnsi" w:hAnsiTheme="minorHAnsi" w:cstheme="minorHAnsi"/>
        </w:rPr>
        <w:footnoteRef/>
      </w:r>
      <w:r w:rsidRPr="00DF6EE5">
        <w:rPr>
          <w:rFonts w:asciiTheme="minorHAnsi" w:hAnsiTheme="minorHAnsi" w:cstheme="minorHAnsi"/>
        </w:rPr>
        <w:t xml:space="preserve"> </w:t>
      </w:r>
      <w:r w:rsidRPr="00DF6EE5">
        <w:rPr>
          <w:rFonts w:asciiTheme="minorHAnsi" w:hAnsiTheme="minorHAnsi" w:cstheme="minorHAnsi"/>
          <w:lang w:val="mi-NZ"/>
        </w:rPr>
        <w:t xml:space="preserve">Children with disabilities have </w:t>
      </w:r>
      <w:r>
        <w:rPr>
          <w:rFonts w:asciiTheme="minorHAnsi" w:hAnsiTheme="minorHAnsi" w:cstheme="minorHAnsi"/>
          <w:lang w:val="mi-NZ"/>
        </w:rPr>
        <w:t xml:space="preserve">a </w:t>
      </w:r>
      <w:r w:rsidRPr="00DF6EE5">
        <w:rPr>
          <w:rFonts w:asciiTheme="minorHAnsi" w:hAnsiTheme="minorHAnsi" w:cstheme="minorHAnsi"/>
          <w:lang w:val="mi-NZ"/>
        </w:rPr>
        <w:t>three time</w:t>
      </w:r>
      <w:r>
        <w:rPr>
          <w:rFonts w:asciiTheme="minorHAnsi" w:hAnsiTheme="minorHAnsi" w:cstheme="minorHAnsi"/>
          <w:lang w:val="mi-NZ"/>
        </w:rPr>
        <w:t>s</w:t>
      </w:r>
      <w:r w:rsidRPr="00DF6EE5">
        <w:rPr>
          <w:rFonts w:asciiTheme="minorHAnsi" w:hAnsiTheme="minorHAnsi" w:cstheme="minorHAnsi"/>
          <w:lang w:val="mi-NZ"/>
        </w:rPr>
        <w:t xml:space="preserve"> higher risk of being exposed to physical and sexual abuse than other children – </w:t>
      </w:r>
      <w:r w:rsidR="00EC7A0E">
        <w:rPr>
          <w:rFonts w:asciiTheme="minorHAnsi" w:hAnsiTheme="minorHAnsi" w:cstheme="minorHAnsi"/>
          <w:lang w:val="mi-NZ"/>
        </w:rPr>
        <w:t xml:space="preserve">para 134, </w:t>
      </w:r>
      <w:r w:rsidRPr="00DF6EE5">
        <w:rPr>
          <w:rFonts w:asciiTheme="minorHAnsi" w:hAnsiTheme="minorHAnsi" w:cstheme="minorHAnsi"/>
          <w:lang w:val="mi-NZ"/>
        </w:rPr>
        <w:t xml:space="preserve">Government </w:t>
      </w:r>
      <w:r>
        <w:rPr>
          <w:rFonts w:asciiTheme="minorHAnsi" w:hAnsiTheme="minorHAnsi" w:cstheme="minorHAnsi"/>
          <w:lang w:val="mi-NZ"/>
        </w:rPr>
        <w:t>R</w:t>
      </w:r>
      <w:r w:rsidRPr="00DF6EE5">
        <w:rPr>
          <w:rFonts w:asciiTheme="minorHAnsi" w:hAnsiTheme="minorHAnsi" w:cstheme="minorHAnsi"/>
          <w:lang w:val="mi-NZ"/>
        </w:rPr>
        <w:t>eport.</w:t>
      </w:r>
    </w:p>
  </w:footnote>
  <w:footnote w:id="298">
    <w:p w14:paraId="1EB2A1F8" w14:textId="5084C42B" w:rsidR="00CA7C26" w:rsidRPr="00DF6EE5" w:rsidRDefault="00CA7C26" w:rsidP="00E20FF1">
      <w:pPr>
        <w:pStyle w:val="FootnoteText"/>
        <w:rPr>
          <w:rFonts w:asciiTheme="minorHAnsi" w:hAnsiTheme="minorHAnsi" w:cstheme="minorHAnsi"/>
          <w:lang w:val="mi-NZ"/>
        </w:rPr>
      </w:pPr>
      <w:r w:rsidRPr="00DF6EE5">
        <w:rPr>
          <w:rStyle w:val="FootnoteReference"/>
          <w:rFonts w:asciiTheme="minorHAnsi" w:hAnsiTheme="minorHAnsi" w:cstheme="minorHAnsi"/>
        </w:rPr>
        <w:footnoteRef/>
      </w:r>
      <w:r w:rsidRPr="00DF6EE5">
        <w:rPr>
          <w:rFonts w:asciiTheme="minorHAnsi" w:hAnsiTheme="minorHAnsi" w:cstheme="minorHAnsi"/>
        </w:rPr>
        <w:t xml:space="preserve"> </w:t>
      </w:r>
      <w:r w:rsidR="00EC7A0E">
        <w:rPr>
          <w:rFonts w:asciiTheme="minorHAnsi" w:hAnsiTheme="minorHAnsi" w:cstheme="minorHAnsi"/>
          <w:lang w:val="mi-NZ"/>
        </w:rPr>
        <w:t>See</w:t>
      </w:r>
      <w:r w:rsidRPr="00DF6EE5">
        <w:rPr>
          <w:rFonts w:asciiTheme="minorHAnsi" w:hAnsiTheme="minorHAnsi" w:cstheme="minorHAnsi"/>
          <w:lang w:val="mi-NZ"/>
        </w:rPr>
        <w:t xml:space="preserve"> para </w:t>
      </w:r>
      <w:r w:rsidR="00EC7A0E">
        <w:rPr>
          <w:rFonts w:asciiTheme="minorHAnsi" w:hAnsiTheme="minorHAnsi" w:cstheme="minorHAnsi"/>
          <w:lang w:val="mi-NZ"/>
        </w:rPr>
        <w:t>19</w:t>
      </w:r>
      <w:r w:rsidR="001543D4">
        <w:rPr>
          <w:rFonts w:asciiTheme="minorHAnsi" w:hAnsiTheme="minorHAnsi" w:cstheme="minorHAnsi"/>
          <w:lang w:val="mi-NZ"/>
        </w:rPr>
        <w:t>3</w:t>
      </w:r>
      <w:r w:rsidR="00EC7A0E">
        <w:rPr>
          <w:rFonts w:asciiTheme="minorHAnsi" w:hAnsiTheme="minorHAnsi" w:cstheme="minorHAnsi"/>
          <w:lang w:val="mi-NZ"/>
        </w:rPr>
        <w:t xml:space="preserve"> </w:t>
      </w:r>
      <w:r w:rsidRPr="00DF6EE5">
        <w:rPr>
          <w:rFonts w:asciiTheme="minorHAnsi" w:hAnsiTheme="minorHAnsi" w:cstheme="minorHAnsi"/>
          <w:lang w:val="mi-NZ"/>
        </w:rPr>
        <w:t>below</w:t>
      </w:r>
      <w:r w:rsidR="00EC7A0E">
        <w:rPr>
          <w:rFonts w:asciiTheme="minorHAnsi" w:hAnsiTheme="minorHAnsi" w:cstheme="minorHAnsi"/>
          <w:lang w:val="mi-NZ"/>
        </w:rPr>
        <w:t>.</w:t>
      </w:r>
    </w:p>
  </w:footnote>
  <w:footnote w:id="299">
    <w:p w14:paraId="45FC5E9E" w14:textId="6AB9C1EA" w:rsidR="00CA7C26" w:rsidRPr="00DF6EE5" w:rsidRDefault="00CA7C26" w:rsidP="00E20FF1">
      <w:pPr>
        <w:spacing w:after="0" w:line="240" w:lineRule="auto"/>
        <w:rPr>
          <w:rFonts w:cstheme="minorHAnsi"/>
          <w:lang w:val="mi-NZ"/>
        </w:rPr>
      </w:pPr>
      <w:r w:rsidRPr="00DF6EE5">
        <w:rPr>
          <w:rStyle w:val="FootnoteReference"/>
          <w:rFonts w:cstheme="minorHAnsi"/>
        </w:rPr>
        <w:footnoteRef/>
      </w:r>
      <w:r w:rsidRPr="00DF6EE5">
        <w:rPr>
          <w:rFonts w:cstheme="minorHAnsi"/>
        </w:rPr>
        <w:t xml:space="preserve"> </w:t>
      </w:r>
      <w:r w:rsidR="002665CC">
        <w:rPr>
          <w:rFonts w:cstheme="minorHAnsi"/>
          <w:lang w:val="mi-NZ"/>
        </w:rPr>
        <w:t>S</w:t>
      </w:r>
      <w:r w:rsidRPr="00CB7422">
        <w:rPr>
          <w:rFonts w:cstheme="minorHAnsi"/>
          <w:lang w:val="mi-NZ"/>
        </w:rPr>
        <w:t>ee para</w:t>
      </w:r>
      <w:r w:rsidR="00EC7A0E">
        <w:rPr>
          <w:rFonts w:cstheme="minorHAnsi"/>
          <w:lang w:val="mi-NZ"/>
        </w:rPr>
        <w:t xml:space="preserve"> 22</w:t>
      </w:r>
      <w:r w:rsidR="001543D4">
        <w:rPr>
          <w:rFonts w:cstheme="minorHAnsi"/>
          <w:lang w:val="mi-NZ"/>
        </w:rPr>
        <w:t>1</w:t>
      </w:r>
      <w:r w:rsidRPr="00CB7422">
        <w:rPr>
          <w:rFonts w:cstheme="minorHAnsi"/>
          <w:lang w:val="mi-NZ"/>
        </w:rPr>
        <w:t xml:space="preserve"> below for comments on inclusive education.</w:t>
      </w:r>
    </w:p>
  </w:footnote>
  <w:footnote w:id="300">
    <w:p w14:paraId="479DC99A" w14:textId="0F7DFA2A" w:rsidR="00CA7C26" w:rsidRPr="00EC7A0E" w:rsidRDefault="00CA7C26" w:rsidP="00E20FF1">
      <w:pPr>
        <w:spacing w:after="0" w:line="240" w:lineRule="auto"/>
      </w:pPr>
      <w:r w:rsidRPr="00DF6EE5">
        <w:rPr>
          <w:rStyle w:val="FootnoteReference"/>
          <w:rFonts w:cstheme="minorHAnsi"/>
        </w:rPr>
        <w:footnoteRef/>
      </w:r>
      <w:r w:rsidRPr="00DF6EE5">
        <w:rPr>
          <w:rFonts w:cstheme="minorHAnsi"/>
        </w:rPr>
        <w:t xml:space="preserve"> </w:t>
      </w:r>
      <w:r w:rsidRPr="00CB7422">
        <w:rPr>
          <w:rFonts w:cstheme="minorHAnsi"/>
        </w:rPr>
        <w:t xml:space="preserve">Sam </w:t>
      </w:r>
      <w:r w:rsidRPr="00CB7422">
        <w:rPr>
          <w:rFonts w:cstheme="minorHAnsi"/>
          <w:lang w:val="mi-NZ"/>
        </w:rPr>
        <w:t xml:space="preserve">Murray </w:t>
      </w:r>
      <w:r w:rsidR="002665CC">
        <w:rPr>
          <w:rFonts w:cstheme="minorHAnsi"/>
          <w:lang w:val="mi-NZ"/>
        </w:rPr>
        <w:t xml:space="preserve">(2019) </w:t>
      </w:r>
      <w:r w:rsidRPr="002665CC">
        <w:rPr>
          <w:rFonts w:cstheme="minorHAnsi"/>
          <w:lang w:val="mi-NZ"/>
        </w:rPr>
        <w:t>Breaking the link between disability and child and whanau poverty</w:t>
      </w:r>
      <w:r w:rsidR="002665CC">
        <w:rPr>
          <w:rFonts w:cstheme="minorHAnsi"/>
          <w:lang w:val="mi-NZ"/>
        </w:rPr>
        <w:t xml:space="preserve">, 14(4), </w:t>
      </w:r>
      <w:r w:rsidRPr="002665CC">
        <w:rPr>
          <w:rFonts w:cstheme="minorHAnsi"/>
          <w:i/>
          <w:iCs/>
          <w:lang w:val="mi-NZ"/>
        </w:rPr>
        <w:t>Policy Quarterly</w:t>
      </w:r>
      <w:r w:rsidR="002665CC">
        <w:rPr>
          <w:rFonts w:cstheme="minorHAnsi"/>
          <w:i/>
          <w:iCs/>
          <w:lang w:val="mi-NZ"/>
        </w:rPr>
        <w:t xml:space="preserve"> November 2019</w:t>
      </w:r>
      <w:r w:rsidRPr="00CB7422">
        <w:rPr>
          <w:rFonts w:cstheme="minorHAnsi"/>
          <w:lang w:val="mi-NZ"/>
        </w:rPr>
        <w:t>, Victoria University of Wellington</w:t>
      </w:r>
      <w:r w:rsidR="002665CC">
        <w:rPr>
          <w:rFonts w:cstheme="minorHAnsi"/>
          <w:lang w:val="mi-NZ"/>
        </w:rPr>
        <w:t>, New Zealand.</w:t>
      </w:r>
    </w:p>
  </w:footnote>
  <w:footnote w:id="301">
    <w:p w14:paraId="0B4BFB7B" w14:textId="77777777" w:rsidR="00CA7C26" w:rsidRPr="00EC7A0E" w:rsidRDefault="00CA7C26" w:rsidP="00E20FF1">
      <w:pPr>
        <w:pStyle w:val="FootnoteText"/>
        <w:rPr>
          <w:rFonts w:asciiTheme="minorHAnsi" w:hAnsiTheme="minorHAnsi"/>
          <w:lang w:val="mi-NZ"/>
        </w:rPr>
      </w:pPr>
      <w:r w:rsidRPr="00EC7A0E">
        <w:rPr>
          <w:rStyle w:val="FootnoteReference"/>
          <w:rFonts w:asciiTheme="minorHAnsi" w:hAnsiTheme="minorHAnsi"/>
        </w:rPr>
        <w:footnoteRef/>
      </w:r>
      <w:r w:rsidRPr="00EC7A0E">
        <w:rPr>
          <w:rFonts w:asciiTheme="minorHAnsi" w:hAnsiTheme="minorHAnsi"/>
        </w:rPr>
        <w:t xml:space="preserve"> </w:t>
      </w:r>
      <w:r w:rsidRPr="00EC7A0E">
        <w:rPr>
          <w:rFonts w:asciiTheme="minorHAnsi" w:hAnsiTheme="minorHAnsi"/>
          <w:lang w:val="mi-NZ"/>
        </w:rPr>
        <w:t>See Thematic Report on Children’s Rights in the Climate and Environmental Crises.</w:t>
      </w:r>
    </w:p>
  </w:footnote>
  <w:footnote w:id="302">
    <w:p w14:paraId="7CFB4BB0" w14:textId="74CB67A1" w:rsidR="00CA7C26" w:rsidRPr="00EC7A0E" w:rsidRDefault="00CA7C26" w:rsidP="00E20FF1">
      <w:pPr>
        <w:pStyle w:val="FootnoteText"/>
        <w:rPr>
          <w:rFonts w:asciiTheme="minorHAnsi" w:hAnsiTheme="minorHAnsi"/>
          <w:lang w:val="mi-NZ"/>
        </w:rPr>
      </w:pPr>
      <w:r w:rsidRPr="00EC7A0E">
        <w:rPr>
          <w:rStyle w:val="FootnoteReference"/>
          <w:rFonts w:asciiTheme="minorHAnsi" w:hAnsiTheme="minorHAnsi"/>
        </w:rPr>
        <w:footnoteRef/>
      </w:r>
      <w:r w:rsidRPr="00EC7A0E">
        <w:rPr>
          <w:rFonts w:asciiTheme="minorHAnsi" w:hAnsiTheme="minorHAnsi"/>
        </w:rPr>
        <w:t xml:space="preserve"> </w:t>
      </w:r>
      <w:r w:rsidRPr="00EC7A0E">
        <w:rPr>
          <w:rFonts w:asciiTheme="minorHAnsi" w:hAnsiTheme="minorHAnsi"/>
          <w:lang w:val="mi-NZ"/>
        </w:rPr>
        <w:t xml:space="preserve">Phoebe Eden-Mann </w:t>
      </w:r>
      <w:r w:rsidRPr="00EC7A0E">
        <w:rPr>
          <w:rFonts w:asciiTheme="minorHAnsi" w:hAnsiTheme="minorHAnsi"/>
          <w:i/>
          <w:iCs/>
          <w:lang w:val="mi-NZ"/>
        </w:rPr>
        <w:t>Shared decision making with disabled children and young people.</w:t>
      </w:r>
      <w:r w:rsidRPr="00EC7A0E">
        <w:rPr>
          <w:rFonts w:asciiTheme="minorHAnsi" w:hAnsiTheme="minorHAnsi"/>
          <w:lang w:val="mi-NZ"/>
        </w:rPr>
        <w:t xml:space="preserve"> CCS Disability Action</w:t>
      </w:r>
      <w:r w:rsidR="002665CC">
        <w:rPr>
          <w:rFonts w:asciiTheme="minorHAnsi" w:hAnsiTheme="minorHAnsi"/>
          <w:lang w:val="mi-NZ"/>
        </w:rPr>
        <w:t>:</w:t>
      </w:r>
      <w:r w:rsidRPr="00EC7A0E">
        <w:rPr>
          <w:rFonts w:asciiTheme="minorHAnsi" w:hAnsiTheme="minorHAnsi"/>
          <w:lang w:val="mi-NZ"/>
        </w:rPr>
        <w:t xml:space="preserve"> </w:t>
      </w:r>
      <w:hyperlink r:id="rId186" w:history="1">
        <w:r w:rsidRPr="00EC7A0E">
          <w:rPr>
            <w:rStyle w:val="Hyperlink"/>
            <w:rFonts w:asciiTheme="minorHAnsi" w:hAnsiTheme="minorHAnsi"/>
            <w:lang w:val="mi-NZ"/>
          </w:rPr>
          <w:t>https://www.ccsdisabilityaction.org.nz/assets/resource-files/Shared-Decision-Making-FINAL.pdf</w:t>
        </w:r>
      </w:hyperlink>
      <w:r w:rsidRPr="00EC7A0E">
        <w:rPr>
          <w:rFonts w:asciiTheme="minorHAnsi" w:hAnsiTheme="minorHAnsi"/>
          <w:lang w:val="mi-NZ"/>
        </w:rPr>
        <w:t xml:space="preserve"> </w:t>
      </w:r>
    </w:p>
  </w:footnote>
  <w:footnote w:id="303">
    <w:p w14:paraId="4F938D02" w14:textId="564A9168" w:rsidR="00CA7C26" w:rsidRPr="00EC7A0E" w:rsidRDefault="00CA7C26" w:rsidP="00E20FF1">
      <w:pPr>
        <w:spacing w:after="0" w:line="240" w:lineRule="auto"/>
        <w:rPr>
          <w:rFonts w:cstheme="minorHAnsi"/>
          <w:lang w:val="mi-NZ"/>
        </w:rPr>
      </w:pPr>
      <w:r w:rsidRPr="00EC7A0E">
        <w:rPr>
          <w:rStyle w:val="FootnoteReference"/>
        </w:rPr>
        <w:footnoteRef/>
      </w:r>
      <w:r w:rsidRPr="00EC7A0E">
        <w:t xml:space="preserve"> </w:t>
      </w:r>
      <w:r w:rsidRPr="00EC7A0E">
        <w:rPr>
          <w:lang w:val="mi-NZ"/>
        </w:rPr>
        <w:t xml:space="preserve">See </w:t>
      </w:r>
      <w:r w:rsidR="00EC7A0E">
        <w:rPr>
          <w:rFonts w:cstheme="minorHAnsi"/>
          <w:lang w:val="mi-NZ"/>
        </w:rPr>
        <w:t>Child Poverty Thematic Report, submitted by Child Poverty Action Group.</w:t>
      </w:r>
    </w:p>
  </w:footnote>
  <w:footnote w:id="304">
    <w:p w14:paraId="7FD5DC3B" w14:textId="77777777" w:rsidR="00E56A3C" w:rsidRPr="008A2252" w:rsidRDefault="00E56A3C" w:rsidP="00E20FF1">
      <w:pPr>
        <w:pStyle w:val="FootnoteText"/>
        <w:rPr>
          <w:rFonts w:asciiTheme="minorHAnsi" w:hAnsiTheme="minorHAnsi" w:cstheme="minorHAnsi"/>
          <w:color w:val="25409A" w:themeColor="hyperlink"/>
          <w:u w:val="single"/>
          <w:lang w:val="mi-NZ"/>
        </w:rPr>
      </w:pPr>
      <w:r w:rsidRPr="008A2252">
        <w:rPr>
          <w:rStyle w:val="FootnoteReference"/>
          <w:rFonts w:asciiTheme="minorHAnsi" w:hAnsiTheme="minorHAnsi" w:cstheme="minorHAnsi"/>
        </w:rPr>
        <w:footnoteRef/>
      </w:r>
      <w:r w:rsidRPr="008A2252">
        <w:rPr>
          <w:rFonts w:asciiTheme="minorHAnsi" w:hAnsiTheme="minorHAnsi" w:cstheme="minorHAnsi"/>
        </w:rPr>
        <w:t xml:space="preserve"> </w:t>
      </w:r>
      <w:hyperlink r:id="rId187" w:history="1">
        <w:r w:rsidRPr="008A2252">
          <w:rPr>
            <w:rStyle w:val="Hyperlink"/>
            <w:rFonts w:asciiTheme="minorHAnsi" w:hAnsiTheme="minorHAnsi" w:cstheme="minorHAnsi"/>
          </w:rPr>
          <w:t>Enabling Good Lives</w:t>
        </w:r>
      </w:hyperlink>
      <w:r w:rsidRPr="008A2252">
        <w:rPr>
          <w:rFonts w:asciiTheme="minorHAnsi" w:hAnsiTheme="minorHAnsi" w:cstheme="minorHAnsi"/>
        </w:rPr>
        <w:t xml:space="preserve"> is a new approach to supporting disabled people that offers more choice and control over the supports they receive, so they can plan for the lives they want</w:t>
      </w:r>
      <w:r>
        <w:rPr>
          <w:rFonts w:asciiTheme="minorHAnsi" w:hAnsiTheme="minorHAnsi" w:cstheme="minorHAnsi"/>
        </w:rPr>
        <w:t>:</w:t>
      </w:r>
      <w:r w:rsidRPr="008A2252">
        <w:rPr>
          <w:rFonts w:asciiTheme="minorHAnsi" w:hAnsiTheme="minorHAnsi" w:cstheme="minorHAnsi"/>
          <w:lang w:val="mi-NZ"/>
        </w:rPr>
        <w:t xml:space="preserve"> </w:t>
      </w:r>
      <w:hyperlink r:id="rId188" w:history="1">
        <w:r w:rsidRPr="008A2252">
          <w:rPr>
            <w:rStyle w:val="Hyperlink"/>
            <w:rFonts w:asciiTheme="minorHAnsi" w:hAnsiTheme="minorHAnsi" w:cstheme="minorHAnsi"/>
            <w:lang w:val="mi-NZ"/>
          </w:rPr>
          <w:t>https://www.msd.govt.nz/about-msd-and-our-work/work-programmes/disability-system-transformation/ministry-for-disabled-people-establishment-unit/creating-a-new-ministry.html</w:t>
        </w:r>
      </w:hyperlink>
      <w:r w:rsidRPr="008A2252">
        <w:rPr>
          <w:rStyle w:val="Hyperlink"/>
          <w:rFonts w:asciiTheme="minorHAnsi" w:hAnsiTheme="minorHAnsi" w:cstheme="minorHAnsi"/>
          <w:lang w:val="mi-NZ"/>
        </w:rPr>
        <w:t xml:space="preserve"> </w:t>
      </w:r>
    </w:p>
  </w:footnote>
  <w:footnote w:id="305">
    <w:p w14:paraId="4A6EAD28" w14:textId="77777777" w:rsidR="00E56A3C" w:rsidRPr="008A2252" w:rsidRDefault="00E56A3C" w:rsidP="00E20FF1">
      <w:pPr>
        <w:spacing w:after="0" w:line="240" w:lineRule="auto"/>
        <w:rPr>
          <w:rFonts w:cstheme="minorHAnsi"/>
          <w:lang w:val="mi-NZ"/>
        </w:rPr>
      </w:pPr>
      <w:r w:rsidRPr="008A2252">
        <w:rPr>
          <w:rStyle w:val="FootnoteReference"/>
          <w:rFonts w:cstheme="minorHAnsi"/>
        </w:rPr>
        <w:footnoteRef/>
      </w:r>
      <w:r w:rsidRPr="008A2252">
        <w:rPr>
          <w:rFonts w:cstheme="minorHAnsi"/>
        </w:rPr>
        <w:t xml:space="preserve"> </w:t>
      </w:r>
      <w:r>
        <w:rPr>
          <w:rFonts w:cstheme="minorHAnsi"/>
          <w:lang w:val="mi-NZ"/>
        </w:rPr>
        <w:t>For example, t</w:t>
      </w:r>
      <w:r w:rsidRPr="00B453E7">
        <w:rPr>
          <w:rFonts w:cstheme="minorHAnsi"/>
          <w:lang w:val="mi-NZ"/>
        </w:rPr>
        <w:t>he McKenzie Centre</w:t>
      </w:r>
      <w:r>
        <w:rPr>
          <w:rFonts w:cstheme="minorHAnsi"/>
          <w:lang w:val="mi-NZ"/>
        </w:rPr>
        <w:t xml:space="preserve"> provides</w:t>
      </w:r>
      <w:r w:rsidRPr="008A2252">
        <w:rPr>
          <w:rFonts w:cstheme="minorHAnsi"/>
          <w:lang w:val="mi-NZ"/>
        </w:rPr>
        <w:t xml:space="preserve"> early childhood intervention</w:t>
      </w:r>
      <w:r>
        <w:rPr>
          <w:rFonts w:cstheme="minorHAnsi"/>
          <w:lang w:val="mi-NZ"/>
        </w:rPr>
        <w:t xml:space="preserve"> services</w:t>
      </w:r>
      <w:r w:rsidRPr="008A2252">
        <w:rPr>
          <w:rFonts w:cstheme="minorHAnsi"/>
          <w:lang w:val="mi-NZ"/>
        </w:rPr>
        <w:t xml:space="preserve"> </w:t>
      </w:r>
      <w:r>
        <w:rPr>
          <w:rFonts w:cstheme="minorHAnsi"/>
          <w:lang w:val="mi-NZ"/>
        </w:rPr>
        <w:t>and</w:t>
      </w:r>
      <w:r w:rsidRPr="008A2252">
        <w:rPr>
          <w:rFonts w:cstheme="minorHAnsi"/>
          <w:lang w:val="mi-NZ"/>
        </w:rPr>
        <w:t xml:space="preserve"> demonstrates how joy, hope and fun can be brought to the lives of disabled children and their whānau through supportive relationships, inclusion and participation</w:t>
      </w:r>
      <w:r>
        <w:rPr>
          <w:rFonts w:cstheme="minorHAnsi"/>
          <w:lang w:val="mi-NZ"/>
        </w:rPr>
        <w:t>:</w:t>
      </w:r>
      <w:r w:rsidRPr="008A2252">
        <w:rPr>
          <w:rFonts w:cstheme="minorHAnsi"/>
          <w:lang w:val="mi-NZ"/>
        </w:rPr>
        <w:t xml:space="preserve"> </w:t>
      </w:r>
      <w:r w:rsidRPr="008A2252">
        <w:rPr>
          <w:rFonts w:cstheme="minorHAnsi"/>
        </w:rPr>
        <w:t xml:space="preserve"> </w:t>
      </w:r>
      <w:hyperlink r:id="rId189" w:history="1">
        <w:r w:rsidRPr="008A2252">
          <w:rPr>
            <w:rStyle w:val="Hyperlink"/>
            <w:rFonts w:cstheme="minorHAnsi"/>
            <w:lang w:val="mi-NZ"/>
          </w:rPr>
          <w:t>https://www.mckenziecentre.org.nz/life-with-us/</w:t>
        </w:r>
      </w:hyperlink>
      <w:r w:rsidRPr="008A2252">
        <w:rPr>
          <w:rFonts w:cstheme="minorHAnsi"/>
          <w:lang w:val="mi-NZ"/>
        </w:rPr>
        <w:t xml:space="preserve">  </w:t>
      </w:r>
    </w:p>
  </w:footnote>
  <w:footnote w:id="306">
    <w:p w14:paraId="79642891" w14:textId="77777777" w:rsidR="00E56A3C" w:rsidRPr="008A2252" w:rsidRDefault="00E56A3C" w:rsidP="00E20FF1">
      <w:pPr>
        <w:pStyle w:val="FootnoteText"/>
        <w:rPr>
          <w:rFonts w:asciiTheme="minorHAnsi" w:hAnsiTheme="minorHAnsi" w:cstheme="minorHAnsi"/>
          <w:lang w:val="mi-NZ"/>
        </w:rPr>
      </w:pPr>
      <w:r w:rsidRPr="008A2252">
        <w:rPr>
          <w:rStyle w:val="FootnoteReference"/>
          <w:rFonts w:asciiTheme="minorHAnsi" w:hAnsiTheme="minorHAnsi" w:cstheme="minorHAnsi"/>
        </w:rPr>
        <w:footnoteRef/>
      </w:r>
      <w:hyperlink r:id="rId190" w:history="1">
        <w:r w:rsidRPr="008A2252">
          <w:rPr>
            <w:rStyle w:val="Hyperlink"/>
            <w:rFonts w:asciiTheme="minorHAnsi" w:eastAsiaTheme="minorHAnsi" w:hAnsiTheme="minorHAnsi" w:cstheme="minorHAnsi"/>
            <w:lang w:val="en-GB" w:eastAsia="en-US"/>
          </w:rPr>
          <w:t>https://ourarchive.otago.ac.nz/bitstream/handle/10523/9948/SherwoodKesiaN2020PhD.pdf?sequence=1&amp;isAllowed=y</w:t>
        </w:r>
      </w:hyperlink>
      <w:r w:rsidRPr="008A2252">
        <w:rPr>
          <w:rFonts w:asciiTheme="minorHAnsi" w:eastAsiaTheme="minorHAnsi" w:hAnsiTheme="minorHAnsi" w:cstheme="minorHAnsi"/>
          <w:color w:val="000000"/>
          <w:lang w:val="en-GB" w:eastAsia="en-US"/>
        </w:rPr>
        <w:t xml:space="preserve">   </w:t>
      </w:r>
    </w:p>
  </w:footnote>
  <w:footnote w:id="307">
    <w:p w14:paraId="12754AD3" w14:textId="77777777" w:rsidR="00E56A3C" w:rsidRPr="008A2252" w:rsidRDefault="00E56A3C" w:rsidP="00E20FF1">
      <w:pPr>
        <w:pStyle w:val="FootnoteText"/>
        <w:rPr>
          <w:rFonts w:asciiTheme="minorHAnsi" w:hAnsiTheme="minorHAnsi" w:cstheme="minorHAnsi"/>
          <w:lang w:val="mi-NZ"/>
        </w:rPr>
      </w:pPr>
      <w:r w:rsidRPr="008A2252">
        <w:rPr>
          <w:rStyle w:val="FootnoteReference"/>
          <w:rFonts w:asciiTheme="minorHAnsi" w:hAnsiTheme="minorHAnsi" w:cstheme="minorHAnsi"/>
        </w:rPr>
        <w:footnoteRef/>
      </w:r>
      <w:r w:rsidRPr="008A2252">
        <w:rPr>
          <w:rFonts w:asciiTheme="minorHAnsi" w:hAnsiTheme="minorHAnsi" w:cstheme="minorHAnsi"/>
        </w:rPr>
        <w:t xml:space="preserve"> </w:t>
      </w:r>
      <w:hyperlink r:id="rId191" w:history="1">
        <w:r w:rsidRPr="008A2252">
          <w:rPr>
            <w:rStyle w:val="Hyperlink"/>
            <w:rFonts w:asciiTheme="minorHAnsi" w:hAnsiTheme="minorHAnsi" w:cstheme="minorHAnsi"/>
          </w:rPr>
          <w:t>https://www.fasd-can.org.nz/fasd_and_justice_in_the_news</w:t>
        </w:r>
      </w:hyperlink>
      <w:r w:rsidRPr="008A2252">
        <w:rPr>
          <w:rFonts w:asciiTheme="minorHAnsi" w:hAnsiTheme="minorHAnsi" w:cstheme="minorHAnsi"/>
        </w:rPr>
        <w:t xml:space="preserve"> </w:t>
      </w:r>
    </w:p>
  </w:footnote>
  <w:footnote w:id="308">
    <w:p w14:paraId="38C435C7" w14:textId="77777777" w:rsidR="00E56A3C" w:rsidRPr="008A2252" w:rsidRDefault="00E56A3C" w:rsidP="00E20FF1">
      <w:pPr>
        <w:spacing w:after="0" w:line="240" w:lineRule="auto"/>
        <w:rPr>
          <w:rFonts w:cstheme="minorHAnsi"/>
          <w:lang w:val="mi-NZ"/>
        </w:rPr>
      </w:pPr>
      <w:r w:rsidRPr="008A2252">
        <w:rPr>
          <w:rStyle w:val="FootnoteReference"/>
          <w:rFonts w:cstheme="minorHAnsi"/>
        </w:rPr>
        <w:footnoteRef/>
      </w:r>
      <w:r w:rsidRPr="008A2252">
        <w:rPr>
          <w:rFonts w:cstheme="minorHAnsi"/>
        </w:rPr>
        <w:t xml:space="preserve"> </w:t>
      </w:r>
      <w:hyperlink r:id="rId192" w:history="1">
        <w:r w:rsidRPr="00CC003D">
          <w:rPr>
            <w:rFonts w:cstheme="minorHAnsi"/>
            <w:color w:val="25409A" w:themeColor="text2"/>
            <w:u w:val="single" w:color="094FD1"/>
          </w:rPr>
          <w:t>https://www.health.govt.nz/our-work/diseases-and-conditions/fetal-alcohol-spectrum-disorder/summary-progress-fetal-alcohol-spectrum-disorder-fasd-action-plan</w:t>
        </w:r>
      </w:hyperlink>
    </w:p>
  </w:footnote>
  <w:footnote w:id="309">
    <w:p w14:paraId="228E953B" w14:textId="24095330" w:rsidR="00B774D1" w:rsidRPr="00B774D1" w:rsidRDefault="00B774D1" w:rsidP="00E20FF1">
      <w:pPr>
        <w:pStyle w:val="FootnoteText"/>
        <w:rPr>
          <w:lang w:val="mi-NZ"/>
        </w:rPr>
      </w:pPr>
      <w:r>
        <w:rPr>
          <w:rStyle w:val="FootnoteReference"/>
        </w:rPr>
        <w:footnoteRef/>
      </w:r>
      <w:r>
        <w:t xml:space="preserve"> </w:t>
      </w:r>
      <w:r w:rsidRPr="00B774D1">
        <w:rPr>
          <w:rFonts w:asciiTheme="minorHAnsi" w:hAnsiTheme="minorHAnsi"/>
          <w:lang w:val="mi-NZ"/>
        </w:rPr>
        <w:t xml:space="preserve">See </w:t>
      </w:r>
      <w:hyperlink r:id="rId193" w:history="1">
        <w:r w:rsidRPr="00B774D1">
          <w:rPr>
            <w:rStyle w:val="Hyperlink"/>
            <w:rFonts w:asciiTheme="minorHAnsi" w:hAnsiTheme="minorHAnsi"/>
            <w:lang w:val="mi-NZ"/>
          </w:rPr>
          <w:t>https://www.fasd-can.org.nz/about_us</w:t>
        </w:r>
      </w:hyperlink>
      <w:r>
        <w:rPr>
          <w:lang w:val="mi-NZ"/>
        </w:rPr>
        <w:t xml:space="preserve"> </w:t>
      </w:r>
    </w:p>
  </w:footnote>
  <w:footnote w:id="310">
    <w:p w14:paraId="24BB451F" w14:textId="77777777" w:rsidR="00E56A3C" w:rsidRPr="008A2252" w:rsidRDefault="00E56A3C" w:rsidP="00E20FF1">
      <w:pPr>
        <w:pStyle w:val="FootnoteText"/>
        <w:rPr>
          <w:rFonts w:asciiTheme="minorHAnsi" w:hAnsiTheme="minorHAnsi" w:cstheme="minorHAnsi"/>
          <w:lang w:val="mi-NZ"/>
        </w:rPr>
      </w:pPr>
      <w:r w:rsidRPr="008A2252">
        <w:rPr>
          <w:rStyle w:val="FootnoteReference"/>
          <w:rFonts w:asciiTheme="minorHAnsi" w:hAnsiTheme="minorHAnsi" w:cstheme="minorHAnsi"/>
        </w:rPr>
        <w:footnoteRef/>
      </w:r>
      <w:r>
        <w:rPr>
          <w:rFonts w:asciiTheme="minorHAnsi" w:hAnsiTheme="minorHAnsi" w:cstheme="minorHAnsi"/>
          <w:color w:val="000000" w:themeColor="text1"/>
          <w:lang w:val="mi-NZ"/>
        </w:rPr>
        <w:t xml:space="preserve"> </w:t>
      </w:r>
      <w:hyperlink r:id="rId194" w:history="1">
        <w:r w:rsidRPr="00247584">
          <w:rPr>
            <w:rStyle w:val="Hyperlink"/>
            <w:rFonts w:asciiTheme="minorHAnsi" w:hAnsiTheme="minorHAnsi" w:cstheme="minorHAnsi"/>
          </w:rPr>
          <w:t>https://www.health.govt.nz/our-work/disability-services/about-disability-support-services/intellectual-disability-compulsory-care-and-rehabilitation-act-2003</w:t>
        </w:r>
      </w:hyperlink>
      <w:r w:rsidRPr="008A2252">
        <w:rPr>
          <w:rFonts w:asciiTheme="minorHAnsi" w:hAnsiTheme="minorHAnsi" w:cstheme="minorHAnsi"/>
        </w:rPr>
        <w:t xml:space="preserve"> </w:t>
      </w:r>
    </w:p>
  </w:footnote>
  <w:footnote w:id="311">
    <w:p w14:paraId="3F5779C6" w14:textId="77777777" w:rsidR="00E56A3C" w:rsidRPr="008A2252" w:rsidRDefault="00E56A3C" w:rsidP="00E20FF1">
      <w:pPr>
        <w:pStyle w:val="FootnoteText"/>
        <w:rPr>
          <w:rFonts w:asciiTheme="minorHAnsi" w:hAnsiTheme="minorHAnsi" w:cstheme="minorHAnsi"/>
          <w:lang w:val="mi-NZ"/>
        </w:rPr>
      </w:pPr>
      <w:r w:rsidRPr="008A2252">
        <w:rPr>
          <w:rStyle w:val="FootnoteReference"/>
          <w:rFonts w:asciiTheme="minorHAnsi" w:hAnsiTheme="minorHAnsi" w:cstheme="minorHAnsi"/>
        </w:rPr>
        <w:footnoteRef/>
      </w:r>
      <w:r w:rsidRPr="008A2252">
        <w:rPr>
          <w:rFonts w:asciiTheme="minorHAnsi" w:hAnsiTheme="minorHAnsi" w:cstheme="minorHAnsi"/>
        </w:rPr>
        <w:t xml:space="preserve"> </w:t>
      </w:r>
      <w:hyperlink r:id="rId195" w:history="1">
        <w:r w:rsidRPr="008A2252">
          <w:rPr>
            <w:rStyle w:val="Hyperlink"/>
            <w:rFonts w:asciiTheme="minorHAnsi" w:hAnsiTheme="minorHAnsi" w:cstheme="minorHAnsi"/>
          </w:rPr>
          <w:t>https://www.mhaids.health.nz/our-services/regional-forensic-and-rehabilitation-services/national-secure-youth-forensic-inpatient-service/</w:t>
        </w:r>
      </w:hyperlink>
      <w:r w:rsidRPr="008A2252">
        <w:rPr>
          <w:rFonts w:asciiTheme="minorHAnsi" w:hAnsiTheme="minorHAnsi" w:cstheme="minorHAnsi"/>
        </w:rPr>
        <w:t xml:space="preserve"> </w:t>
      </w:r>
    </w:p>
  </w:footnote>
  <w:footnote w:id="312">
    <w:p w14:paraId="19E784A9" w14:textId="77777777" w:rsidR="00E56A3C" w:rsidRPr="008A2252" w:rsidRDefault="00E56A3C" w:rsidP="00E20FF1">
      <w:pPr>
        <w:pStyle w:val="FootnoteText"/>
        <w:rPr>
          <w:rFonts w:asciiTheme="minorHAnsi" w:hAnsiTheme="minorHAnsi" w:cstheme="minorHAnsi"/>
          <w:lang w:val="mi-NZ"/>
        </w:rPr>
      </w:pPr>
      <w:r w:rsidRPr="008A2252">
        <w:rPr>
          <w:rStyle w:val="FootnoteReference"/>
          <w:rFonts w:asciiTheme="minorHAnsi" w:hAnsiTheme="minorHAnsi" w:cstheme="minorHAnsi"/>
        </w:rPr>
        <w:footnoteRef/>
      </w:r>
      <w:r w:rsidRPr="008A2252">
        <w:rPr>
          <w:rFonts w:asciiTheme="minorHAnsi" w:hAnsiTheme="minorHAnsi" w:cstheme="minorHAnsi"/>
        </w:rPr>
        <w:t xml:space="preserve"> </w:t>
      </w:r>
      <w:r w:rsidRPr="008A2252">
        <w:rPr>
          <w:rFonts w:asciiTheme="minorHAnsi" w:hAnsiTheme="minorHAnsi" w:cstheme="minorHAnsi"/>
          <w:lang w:val="mi-NZ"/>
        </w:rPr>
        <w:t>Personal communication between the Alliance and people working in intellectual disability and youth mental health services.</w:t>
      </w:r>
    </w:p>
  </w:footnote>
  <w:footnote w:id="313">
    <w:p w14:paraId="61D9182A" w14:textId="77777777" w:rsidR="00E56A3C" w:rsidRPr="00EC7A0E" w:rsidRDefault="00E56A3C" w:rsidP="00E20FF1">
      <w:pPr>
        <w:pStyle w:val="FootnoteText"/>
        <w:rPr>
          <w:rFonts w:asciiTheme="minorHAnsi" w:hAnsiTheme="minorHAnsi"/>
          <w:lang w:val="mi-NZ"/>
        </w:rPr>
      </w:pPr>
      <w:r w:rsidRPr="00EC7A0E">
        <w:rPr>
          <w:rStyle w:val="FootnoteReference"/>
          <w:rFonts w:asciiTheme="minorHAnsi" w:hAnsiTheme="minorHAnsi"/>
        </w:rPr>
        <w:footnoteRef/>
      </w:r>
      <w:r w:rsidRPr="00EC7A0E">
        <w:rPr>
          <w:rFonts w:asciiTheme="minorHAnsi" w:hAnsiTheme="minorHAnsi"/>
        </w:rPr>
        <w:t xml:space="preserve"> See </w:t>
      </w:r>
      <w:hyperlink r:id="rId196" w:history="1">
        <w:r w:rsidRPr="00EC7A0E">
          <w:rPr>
            <w:rStyle w:val="Hyperlink"/>
            <w:rFonts w:asciiTheme="minorHAnsi" w:hAnsiTheme="minorHAnsi"/>
          </w:rPr>
          <w:t>https://www.newstalkzb.co.nz/on-air/wellington/wellington-mornings-with-nick-mills/audio/porirua-youth-mental-health-care-causes-concern/</w:t>
        </w:r>
      </w:hyperlink>
      <w:r w:rsidRPr="00EC7A0E">
        <w:rPr>
          <w:rFonts w:asciiTheme="minorHAnsi" w:hAnsiTheme="minorHAnsi"/>
        </w:rPr>
        <w:t xml:space="preserve"> </w:t>
      </w:r>
    </w:p>
  </w:footnote>
  <w:footnote w:id="314">
    <w:p w14:paraId="6080FC1E" w14:textId="66F2CE29" w:rsidR="00E56A3C" w:rsidRPr="00955B95" w:rsidRDefault="00E56A3C" w:rsidP="00E20FF1">
      <w:pPr>
        <w:pStyle w:val="FootnoteText"/>
        <w:rPr>
          <w:lang w:val="mi-NZ"/>
        </w:rPr>
      </w:pPr>
      <w:r>
        <w:rPr>
          <w:rStyle w:val="FootnoteReference"/>
        </w:rPr>
        <w:footnoteRef/>
      </w:r>
      <w:r>
        <w:t xml:space="preserve"> </w:t>
      </w:r>
      <w:r w:rsidRPr="00956875">
        <w:rPr>
          <w:rFonts w:asciiTheme="minorHAnsi" w:hAnsiTheme="minorHAnsi" w:cstheme="minorHAnsi"/>
        </w:rPr>
        <w:t>The December 2020 Disability Action Plan Biannual report (latest available) notes this work as off-track</w:t>
      </w:r>
      <w:r w:rsidR="00F70530">
        <w:rPr>
          <w:rFonts w:asciiTheme="minorHAnsi" w:hAnsiTheme="minorHAnsi" w:cstheme="minorHAnsi"/>
        </w:rPr>
        <w:t>,</w:t>
      </w:r>
      <w:r w:rsidRPr="00956875">
        <w:rPr>
          <w:rFonts w:asciiTheme="minorHAnsi" w:hAnsiTheme="minorHAnsi" w:cstheme="minorHAnsi"/>
        </w:rPr>
        <w:t xml:space="preserve"> but with low risks or issues to delivery</w:t>
      </w:r>
      <w:r w:rsidR="00F70530">
        <w:rPr>
          <w:rFonts w:asciiTheme="minorHAnsi" w:hAnsiTheme="minorHAnsi" w:cstheme="minorHAnsi"/>
        </w:rPr>
        <w:t>:</w:t>
      </w:r>
      <w:r w:rsidRPr="00956875">
        <w:rPr>
          <w:rFonts w:asciiTheme="minorHAnsi" w:hAnsiTheme="minorHAnsi" w:cstheme="minorHAnsi"/>
        </w:rPr>
        <w:t xml:space="preserve"> </w:t>
      </w:r>
      <w:hyperlink r:id="rId197" w:history="1">
        <w:r w:rsidRPr="00956875">
          <w:rPr>
            <w:rStyle w:val="Hyperlink"/>
            <w:rFonts w:asciiTheme="minorHAnsi" w:hAnsiTheme="minorHAnsi" w:cstheme="minorHAnsi"/>
          </w:rPr>
          <w:t>https://www.odi.govt.nz/disability-action-plan-2/dap-biannual-reports/report-2-july-december-2020/</w:t>
        </w:r>
      </w:hyperlink>
      <w:r>
        <w:t xml:space="preserve"> </w:t>
      </w:r>
    </w:p>
  </w:footnote>
  <w:footnote w:id="315">
    <w:p w14:paraId="139FD20F" w14:textId="77092709" w:rsidR="00E56A3C" w:rsidRPr="008A2252" w:rsidRDefault="00E56A3C" w:rsidP="00E20FF1">
      <w:pPr>
        <w:pStyle w:val="FootnoteText"/>
        <w:rPr>
          <w:rFonts w:asciiTheme="minorHAnsi" w:hAnsiTheme="minorHAnsi" w:cstheme="minorHAnsi"/>
          <w:lang w:val="mi-NZ"/>
        </w:rPr>
      </w:pPr>
      <w:r w:rsidRPr="008A2252">
        <w:rPr>
          <w:rStyle w:val="FootnoteReference"/>
          <w:rFonts w:asciiTheme="minorHAnsi" w:hAnsiTheme="minorHAnsi" w:cstheme="minorHAnsi"/>
        </w:rPr>
        <w:footnoteRef/>
      </w:r>
      <w:r w:rsidRPr="008A2252">
        <w:rPr>
          <w:rFonts w:asciiTheme="minorHAnsi" w:hAnsiTheme="minorHAnsi" w:cstheme="minorHAnsi"/>
        </w:rPr>
        <w:t xml:space="preserve"> </w:t>
      </w:r>
      <w:r w:rsidR="005069B1">
        <w:rPr>
          <w:rFonts w:asciiTheme="minorHAnsi" w:hAnsiTheme="minorHAnsi" w:cstheme="minorHAnsi"/>
        </w:rPr>
        <w:t xml:space="preserve">Cure Kids </w:t>
      </w:r>
      <w:r w:rsidR="005069B1" w:rsidRPr="00886472">
        <w:rPr>
          <w:rFonts w:asciiTheme="minorHAnsi" w:hAnsiTheme="minorHAnsi" w:cstheme="minorHAnsi"/>
          <w:i/>
          <w:iCs/>
        </w:rPr>
        <w:t>State of Child Health in Aotearoa New Zealand</w:t>
      </w:r>
      <w:r w:rsidR="005069B1">
        <w:rPr>
          <w:rFonts w:asciiTheme="minorHAnsi" w:hAnsiTheme="minorHAnsi" w:cstheme="minorHAnsi"/>
        </w:rPr>
        <w:t xml:space="preserve"> (2021). </w:t>
      </w:r>
      <w:r w:rsidR="005069B1" w:rsidRPr="008A2252">
        <w:rPr>
          <w:rFonts w:asciiTheme="minorHAnsi" w:hAnsiTheme="minorHAnsi" w:cstheme="minorHAnsi"/>
        </w:rPr>
        <w:t xml:space="preserve"> </w:t>
      </w:r>
      <w:hyperlink r:id="rId198" w:history="1">
        <w:r w:rsidR="005069B1" w:rsidRPr="00F06804">
          <w:rPr>
            <w:rStyle w:val="Hyperlink"/>
            <w:rFonts w:asciiTheme="minorHAnsi" w:hAnsiTheme="minorHAnsi" w:cstheme="minorHAnsi"/>
          </w:rPr>
          <w:t>https://curekids.org.nz/state-of-child-health/</w:t>
        </w:r>
      </w:hyperlink>
    </w:p>
  </w:footnote>
  <w:footnote w:id="316">
    <w:p w14:paraId="5E008F4B" w14:textId="57F9BECA" w:rsidR="00E56A3C" w:rsidRPr="0052032F" w:rsidRDefault="00E56A3C" w:rsidP="00E20FF1">
      <w:pPr>
        <w:spacing w:after="0" w:line="240" w:lineRule="auto"/>
        <w:rPr>
          <w:lang w:val="mi-NZ"/>
        </w:rPr>
      </w:pPr>
      <w:r w:rsidRPr="008A2252">
        <w:rPr>
          <w:rStyle w:val="FootnoteReference"/>
          <w:rFonts w:cstheme="minorHAnsi"/>
        </w:rPr>
        <w:footnoteRef/>
      </w:r>
      <w:r w:rsidRPr="008A2252">
        <w:rPr>
          <w:rFonts w:cstheme="minorHAnsi"/>
        </w:rPr>
        <w:t xml:space="preserve"> </w:t>
      </w:r>
      <w:r w:rsidR="005069B1" w:rsidRPr="00A05D78">
        <w:rPr>
          <w:rFonts w:cstheme="minorHAnsi"/>
          <w:lang w:val="mi-NZ"/>
        </w:rPr>
        <w:t>Basic Health and Welfare Rights of Children 0</w:t>
      </w:r>
      <w:r w:rsidR="00396054">
        <w:rPr>
          <w:rFonts w:cstheme="minorHAnsi"/>
          <w:lang w:val="mi-NZ"/>
        </w:rPr>
        <w:t>-</w:t>
      </w:r>
      <w:r w:rsidR="005069B1" w:rsidRPr="00A05D78">
        <w:rPr>
          <w:rFonts w:cstheme="minorHAnsi"/>
          <w:lang w:val="mi-NZ"/>
        </w:rPr>
        <w:t>5 years of age Thematic Report</w:t>
      </w:r>
      <w:r w:rsidR="005069B1">
        <w:rPr>
          <w:rFonts w:cstheme="minorHAnsi"/>
          <w:lang w:val="mi-NZ"/>
        </w:rPr>
        <w:t>, submitted by Whanau Awhina Plunket and Save the Children New Zealand</w:t>
      </w:r>
    </w:p>
  </w:footnote>
  <w:footnote w:id="317">
    <w:p w14:paraId="56860A75" w14:textId="06AA98D7" w:rsidR="00E56A3C" w:rsidRPr="008A2252" w:rsidRDefault="00E56A3C" w:rsidP="00E20FF1">
      <w:pPr>
        <w:pStyle w:val="FootnoteText"/>
        <w:rPr>
          <w:rFonts w:asciiTheme="minorHAnsi" w:hAnsiTheme="minorHAnsi" w:cstheme="minorHAnsi"/>
          <w:lang w:val="mi-NZ"/>
        </w:rPr>
      </w:pPr>
      <w:r w:rsidRPr="008A2252">
        <w:rPr>
          <w:rStyle w:val="FootnoteReference"/>
          <w:rFonts w:asciiTheme="minorHAnsi" w:hAnsiTheme="minorHAnsi" w:cstheme="minorHAnsi"/>
        </w:rPr>
        <w:footnoteRef/>
      </w:r>
      <w:r w:rsidRPr="008A2252">
        <w:rPr>
          <w:rFonts w:asciiTheme="minorHAnsi" w:hAnsiTheme="minorHAnsi" w:cstheme="minorHAnsi"/>
        </w:rPr>
        <w:t xml:space="preserve"> </w:t>
      </w:r>
      <w:r w:rsidR="005069B1">
        <w:rPr>
          <w:rFonts w:asciiTheme="minorHAnsi" w:hAnsiTheme="minorHAnsi" w:cstheme="minorHAnsi"/>
        </w:rPr>
        <w:t>Ibid.</w:t>
      </w:r>
    </w:p>
  </w:footnote>
  <w:footnote w:id="318">
    <w:p w14:paraId="6F4C1F04" w14:textId="174E2687" w:rsidR="00E56A3C" w:rsidRPr="008A2252" w:rsidRDefault="00E56A3C" w:rsidP="00E20FF1">
      <w:pPr>
        <w:pStyle w:val="FootnoteText"/>
        <w:rPr>
          <w:rFonts w:asciiTheme="minorHAnsi" w:hAnsiTheme="minorHAnsi" w:cstheme="minorHAnsi"/>
          <w:lang w:val="mi-NZ"/>
        </w:rPr>
      </w:pPr>
      <w:r w:rsidRPr="008A2252">
        <w:rPr>
          <w:rStyle w:val="FootnoteReference"/>
          <w:rFonts w:asciiTheme="minorHAnsi" w:hAnsiTheme="minorHAnsi" w:cstheme="minorHAnsi"/>
        </w:rPr>
        <w:footnoteRef/>
      </w:r>
      <w:r w:rsidRPr="008A2252">
        <w:rPr>
          <w:rFonts w:asciiTheme="minorHAnsi" w:hAnsiTheme="minorHAnsi" w:cstheme="minorHAnsi"/>
        </w:rPr>
        <w:t xml:space="preserve"> </w:t>
      </w:r>
      <w:r>
        <w:rPr>
          <w:rFonts w:asciiTheme="minorHAnsi" w:hAnsiTheme="minorHAnsi" w:cstheme="minorHAnsi"/>
          <w:lang w:val="mi-NZ"/>
        </w:rPr>
        <w:t>See</w:t>
      </w:r>
      <w:r w:rsidR="00396054">
        <w:rPr>
          <w:rFonts w:asciiTheme="minorHAnsi" w:hAnsiTheme="minorHAnsi" w:cstheme="minorHAnsi"/>
          <w:lang w:val="mi-NZ"/>
        </w:rPr>
        <w:t>,</w:t>
      </w:r>
      <w:r>
        <w:rPr>
          <w:rFonts w:asciiTheme="minorHAnsi" w:hAnsiTheme="minorHAnsi" w:cstheme="minorHAnsi"/>
          <w:lang w:val="mi-NZ"/>
        </w:rPr>
        <w:t xml:space="preserve"> for example</w:t>
      </w:r>
      <w:r w:rsidR="00396054">
        <w:rPr>
          <w:rFonts w:asciiTheme="minorHAnsi" w:hAnsiTheme="minorHAnsi" w:cstheme="minorHAnsi"/>
          <w:lang w:val="mi-NZ"/>
        </w:rPr>
        <w:t>,</w:t>
      </w:r>
      <w:r>
        <w:rPr>
          <w:rFonts w:asciiTheme="minorHAnsi" w:hAnsiTheme="minorHAnsi" w:cstheme="minorHAnsi"/>
          <w:lang w:val="mi-NZ"/>
        </w:rPr>
        <w:t xml:space="preserve"> this young woman’s exerience of waiting for treatment for an eating disorder as an adolescent.  </w:t>
      </w:r>
      <w:hyperlink r:id="rId199" w:history="1">
        <w:r w:rsidRPr="00F06804">
          <w:rPr>
            <w:rStyle w:val="Hyperlink"/>
            <w:rFonts w:asciiTheme="minorHAnsi" w:hAnsiTheme="minorHAnsi" w:cstheme="minorHAnsi"/>
            <w:lang w:val="mi-NZ"/>
          </w:rPr>
          <w:t>https://www.rnz.co.nz/news/on-the-inside/438919/battling-anorexia-there-must-be-so-many-suffering-in-silence</w:t>
        </w:r>
      </w:hyperlink>
      <w:r>
        <w:rPr>
          <w:rFonts w:asciiTheme="minorHAnsi" w:hAnsiTheme="minorHAnsi" w:cstheme="minorHAnsi"/>
          <w:lang w:val="mi-NZ"/>
        </w:rPr>
        <w:t xml:space="preserve"> </w:t>
      </w:r>
    </w:p>
  </w:footnote>
  <w:footnote w:id="319">
    <w:p w14:paraId="564EC799" w14:textId="77777777" w:rsidR="00E56A3C" w:rsidRPr="008A2252" w:rsidRDefault="00E56A3C" w:rsidP="00E20FF1">
      <w:pPr>
        <w:pStyle w:val="FootnoteText"/>
        <w:rPr>
          <w:rFonts w:asciiTheme="minorHAnsi" w:hAnsiTheme="minorHAnsi" w:cstheme="minorHAnsi"/>
          <w:lang w:val="mi-NZ"/>
        </w:rPr>
      </w:pPr>
      <w:r w:rsidRPr="008A2252">
        <w:rPr>
          <w:rStyle w:val="FootnoteReference"/>
          <w:rFonts w:asciiTheme="minorHAnsi" w:hAnsiTheme="minorHAnsi" w:cstheme="minorHAnsi"/>
        </w:rPr>
        <w:footnoteRef/>
      </w:r>
      <w:r w:rsidRPr="008A2252">
        <w:rPr>
          <w:rFonts w:asciiTheme="minorHAnsi" w:hAnsiTheme="minorHAnsi" w:cstheme="minorHAnsi"/>
        </w:rPr>
        <w:t xml:space="preserve"> </w:t>
      </w:r>
      <w:r w:rsidRPr="008A2252">
        <w:rPr>
          <w:rFonts w:asciiTheme="minorHAnsi" w:hAnsiTheme="minorHAnsi" w:cstheme="minorHAnsi"/>
          <w:lang w:val="mi-NZ"/>
        </w:rPr>
        <w:t>Consistent with the best interests principle and Government’s obligations under the CRC, Article 4.</w:t>
      </w:r>
    </w:p>
  </w:footnote>
  <w:footnote w:id="320">
    <w:p w14:paraId="274C2F32" w14:textId="77777777" w:rsidR="00E56A3C" w:rsidRPr="00EF2D20" w:rsidRDefault="00E56A3C" w:rsidP="00E20FF1">
      <w:pPr>
        <w:spacing w:after="0" w:line="240" w:lineRule="auto"/>
        <w:rPr>
          <w:rFonts w:cstheme="minorHAnsi"/>
          <w:color w:val="000000"/>
        </w:rPr>
      </w:pPr>
      <w:r w:rsidRPr="008A2252">
        <w:rPr>
          <w:rStyle w:val="FootnoteReference"/>
          <w:rFonts w:cstheme="minorHAnsi"/>
        </w:rPr>
        <w:footnoteRef/>
      </w:r>
      <w:r w:rsidRPr="008A2252">
        <w:rPr>
          <w:rFonts w:cstheme="minorHAnsi"/>
        </w:rPr>
        <w:t xml:space="preserve"> </w:t>
      </w:r>
      <w:r>
        <w:rPr>
          <w:rFonts w:cstheme="minorHAnsi"/>
        </w:rPr>
        <w:t xml:space="preserve">We welcome </w:t>
      </w:r>
      <w:r w:rsidRPr="00EF2D20">
        <w:rPr>
          <w:rFonts w:cstheme="minorHAnsi"/>
          <w:color w:val="000000"/>
        </w:rPr>
        <w:t>Health NZ</w:t>
      </w:r>
      <w:r>
        <w:rPr>
          <w:rFonts w:cstheme="minorHAnsi"/>
          <w:color w:val="000000"/>
        </w:rPr>
        <w:t>’s</w:t>
      </w:r>
      <w:r w:rsidRPr="00EF2D20">
        <w:rPr>
          <w:rFonts w:cstheme="minorHAnsi"/>
          <w:color w:val="000000"/>
        </w:rPr>
        <w:t xml:space="preserve"> new dedicated adolescent health unit.</w:t>
      </w:r>
    </w:p>
    <w:p w14:paraId="30BB593F" w14:textId="77777777" w:rsidR="00E56A3C" w:rsidRPr="008A2252" w:rsidRDefault="00E56A3C" w:rsidP="00E20FF1">
      <w:pPr>
        <w:spacing w:after="0" w:line="240" w:lineRule="auto"/>
        <w:rPr>
          <w:rFonts w:cstheme="minorHAnsi"/>
          <w:lang w:val="mi-NZ"/>
        </w:rPr>
      </w:pPr>
      <w:r>
        <w:rPr>
          <w:rFonts w:cstheme="minorHAnsi"/>
        </w:rPr>
        <w:t xml:space="preserve"> </w:t>
      </w:r>
      <w:hyperlink r:id="rId200" w:history="1">
        <w:r w:rsidRPr="00F06804">
          <w:rPr>
            <w:rStyle w:val="Hyperlink"/>
            <w:rFonts w:cstheme="minorHAnsi"/>
          </w:rPr>
          <w:t>https://www.rnz.co.nz/news/national/466852/teens-to-get-dedicated-unit-under-new-health-nz-authority</w:t>
        </w:r>
      </w:hyperlink>
      <w:r w:rsidRPr="008A2252">
        <w:rPr>
          <w:rFonts w:cstheme="minorHAnsi"/>
          <w:color w:val="000000"/>
        </w:rPr>
        <w:t xml:space="preserve"> </w:t>
      </w:r>
    </w:p>
  </w:footnote>
  <w:footnote w:id="321">
    <w:p w14:paraId="6C662290" w14:textId="3378EFE8" w:rsidR="008A5F19" w:rsidRPr="008A2252" w:rsidRDefault="008A5F19" w:rsidP="00E20FF1">
      <w:pPr>
        <w:pStyle w:val="FootnoteText"/>
        <w:rPr>
          <w:rFonts w:asciiTheme="minorHAnsi" w:hAnsiTheme="minorHAnsi" w:cstheme="minorHAnsi"/>
          <w:lang w:val="mi-NZ"/>
        </w:rPr>
      </w:pPr>
      <w:r w:rsidRPr="008A2252">
        <w:rPr>
          <w:rStyle w:val="FootnoteReference"/>
          <w:rFonts w:asciiTheme="minorHAnsi" w:hAnsiTheme="minorHAnsi" w:cstheme="minorHAnsi"/>
        </w:rPr>
        <w:footnoteRef/>
      </w:r>
      <w:r w:rsidR="005069B1">
        <w:rPr>
          <w:rFonts w:asciiTheme="minorHAnsi" w:hAnsiTheme="minorHAnsi" w:cstheme="minorHAnsi"/>
        </w:rPr>
        <w:t xml:space="preserve"> F</w:t>
      </w:r>
      <w:r w:rsidR="00396054">
        <w:rPr>
          <w:rFonts w:asciiTheme="minorHAnsi" w:hAnsiTheme="minorHAnsi" w:cstheme="minorHAnsi"/>
        </w:rPr>
        <w:t>ootnote</w:t>
      </w:r>
      <w:r w:rsidR="005069B1">
        <w:rPr>
          <w:rFonts w:asciiTheme="minorHAnsi" w:hAnsiTheme="minorHAnsi" w:cstheme="minorHAnsi"/>
        </w:rPr>
        <w:t xml:space="preserve"> 31</w:t>
      </w:r>
      <w:r w:rsidR="0059405B">
        <w:rPr>
          <w:rFonts w:asciiTheme="minorHAnsi" w:hAnsiTheme="minorHAnsi" w:cstheme="minorHAnsi"/>
        </w:rPr>
        <w:t>5</w:t>
      </w:r>
      <w:r w:rsidR="005069B1">
        <w:rPr>
          <w:rFonts w:asciiTheme="minorHAnsi" w:hAnsiTheme="minorHAnsi" w:cstheme="minorHAnsi"/>
        </w:rPr>
        <w:t>,</w:t>
      </w:r>
      <w:r w:rsidRPr="008A2252">
        <w:rPr>
          <w:rFonts w:asciiTheme="minorHAnsi" w:hAnsiTheme="minorHAnsi" w:cstheme="minorHAnsi"/>
        </w:rPr>
        <w:t xml:space="preserve"> </w:t>
      </w:r>
      <w:r>
        <w:rPr>
          <w:rFonts w:asciiTheme="minorHAnsi" w:hAnsiTheme="minorHAnsi" w:cstheme="minorHAnsi"/>
        </w:rPr>
        <w:t>p</w:t>
      </w:r>
      <w:r w:rsidR="00396054">
        <w:rPr>
          <w:rFonts w:asciiTheme="minorHAnsi" w:hAnsiTheme="minorHAnsi" w:cstheme="minorHAnsi"/>
        </w:rPr>
        <w:t xml:space="preserve">. </w:t>
      </w:r>
      <w:r>
        <w:rPr>
          <w:rFonts w:asciiTheme="minorHAnsi" w:hAnsiTheme="minorHAnsi" w:cstheme="minorHAnsi"/>
        </w:rPr>
        <w:t xml:space="preserve">6. </w:t>
      </w:r>
      <w:r w:rsidRPr="008A2252">
        <w:rPr>
          <w:rFonts w:asciiTheme="minorHAnsi" w:hAnsiTheme="minorHAnsi" w:cstheme="minorHAnsi"/>
        </w:rPr>
        <w:t xml:space="preserve"> </w:t>
      </w:r>
    </w:p>
  </w:footnote>
  <w:footnote w:id="322">
    <w:p w14:paraId="08D14B18" w14:textId="77777777" w:rsidR="008A5F19" w:rsidRPr="008F5488" w:rsidRDefault="008A5F19" w:rsidP="00E20FF1">
      <w:pPr>
        <w:pStyle w:val="FootnoteText"/>
        <w:rPr>
          <w:lang w:val="mi-NZ"/>
        </w:rPr>
      </w:pPr>
      <w:r>
        <w:rPr>
          <w:rStyle w:val="FootnoteReference"/>
        </w:rPr>
        <w:footnoteRef/>
      </w:r>
      <w:r>
        <w:t xml:space="preserve"> </w:t>
      </w:r>
      <w:hyperlink r:id="rId201" w:history="1">
        <w:r w:rsidRPr="00CC003D">
          <w:rPr>
            <w:rStyle w:val="Hyperlink"/>
            <w:rFonts w:asciiTheme="minorHAnsi" w:eastAsiaTheme="minorHAnsi" w:hAnsiTheme="minorHAnsi" w:cstheme="minorHAnsi"/>
            <w:lang w:val="en-GB" w:eastAsia="en-US"/>
          </w:rPr>
          <w:t>https://static1.squarespace.com/static/5bdbb75ccef37259122e59aa/t/5f338e4cfb539d2246e9e5ce/1597214306382/Youth19+Mental+Health+Report.pdf</w:t>
        </w:r>
      </w:hyperlink>
      <w:r>
        <w:t xml:space="preserve"> </w:t>
      </w:r>
    </w:p>
  </w:footnote>
  <w:footnote w:id="323">
    <w:p w14:paraId="603A8A98" w14:textId="77777777" w:rsidR="008A5F19" w:rsidRPr="008A2252" w:rsidRDefault="008A5F19" w:rsidP="00E20FF1">
      <w:pPr>
        <w:pStyle w:val="FootnoteText"/>
        <w:rPr>
          <w:rFonts w:asciiTheme="minorHAnsi" w:hAnsiTheme="minorHAnsi" w:cstheme="minorHAnsi"/>
          <w:lang w:val="en-US"/>
        </w:rPr>
      </w:pPr>
      <w:r w:rsidRPr="008A2252">
        <w:rPr>
          <w:rStyle w:val="FootnoteReference"/>
          <w:rFonts w:asciiTheme="minorHAnsi" w:hAnsiTheme="minorHAnsi" w:cstheme="minorHAnsi"/>
        </w:rPr>
        <w:footnoteRef/>
      </w:r>
      <w:r w:rsidRPr="008A2252">
        <w:rPr>
          <w:rFonts w:asciiTheme="minorHAnsi" w:hAnsiTheme="minorHAnsi" w:cstheme="minorHAnsi"/>
        </w:rPr>
        <w:t xml:space="preserve"> </w:t>
      </w:r>
      <w:r>
        <w:rPr>
          <w:rFonts w:asciiTheme="minorHAnsi" w:hAnsiTheme="minorHAnsi" w:cstheme="minorHAnsi"/>
          <w:lang w:val="en-US"/>
        </w:rPr>
        <w:t>Alliance communication with those working to support child mental health and wellbeing.</w:t>
      </w:r>
    </w:p>
  </w:footnote>
  <w:footnote w:id="324">
    <w:p w14:paraId="40E3CFDF" w14:textId="77777777" w:rsidR="008A5F19" w:rsidRPr="008A2252" w:rsidRDefault="008A5F19" w:rsidP="00E20FF1">
      <w:pPr>
        <w:pStyle w:val="FootnoteText"/>
        <w:rPr>
          <w:rFonts w:asciiTheme="minorHAnsi" w:hAnsiTheme="minorHAnsi" w:cstheme="minorHAnsi"/>
          <w:lang w:val="mi-NZ"/>
        </w:rPr>
      </w:pPr>
      <w:r w:rsidRPr="008A2252">
        <w:rPr>
          <w:rStyle w:val="FootnoteReference"/>
          <w:rFonts w:asciiTheme="minorHAnsi" w:hAnsiTheme="minorHAnsi" w:cstheme="minorHAnsi"/>
        </w:rPr>
        <w:footnoteRef/>
      </w:r>
      <w:r w:rsidRPr="008A2252">
        <w:rPr>
          <w:rFonts w:asciiTheme="minorHAnsi" w:hAnsiTheme="minorHAnsi" w:cstheme="minorHAnsi"/>
        </w:rPr>
        <w:t xml:space="preserve"> For example, education </w:t>
      </w:r>
      <w:r w:rsidRPr="008A2252">
        <w:rPr>
          <w:rFonts w:asciiTheme="minorHAnsi" w:hAnsiTheme="minorHAnsi" w:cstheme="minorHAnsi"/>
          <w:lang w:val="mi-NZ"/>
        </w:rPr>
        <w:t>about emotions, thoughts, healthy relationships etc., in schools.</w:t>
      </w:r>
    </w:p>
  </w:footnote>
  <w:footnote w:id="325">
    <w:p w14:paraId="7EAA7201" w14:textId="0B7C7F4D" w:rsidR="008A5F19" w:rsidRPr="008A2252" w:rsidRDefault="008A5F19" w:rsidP="00E20FF1">
      <w:pPr>
        <w:spacing w:after="0" w:line="240" w:lineRule="auto"/>
        <w:rPr>
          <w:rFonts w:cstheme="minorHAnsi"/>
        </w:rPr>
      </w:pPr>
      <w:r w:rsidRPr="008A2252">
        <w:rPr>
          <w:rStyle w:val="FootnoteReference"/>
          <w:rFonts w:cstheme="minorHAnsi"/>
        </w:rPr>
        <w:footnoteRef/>
      </w:r>
      <w:r w:rsidRPr="008A2252">
        <w:rPr>
          <w:rFonts w:cstheme="minorHAnsi"/>
        </w:rPr>
        <w:t xml:space="preserve"> For example, Youth Workers work in a less clinical way and </w:t>
      </w:r>
      <w:r>
        <w:rPr>
          <w:rFonts w:cstheme="minorHAnsi"/>
        </w:rPr>
        <w:t>‘</w:t>
      </w:r>
      <w:r w:rsidRPr="008A2252">
        <w:rPr>
          <w:rFonts w:cstheme="minorHAnsi"/>
        </w:rPr>
        <w:t>journey with’ young people in highly relational and strengths</w:t>
      </w:r>
      <w:r w:rsidR="00DA0E20">
        <w:rPr>
          <w:rFonts w:cstheme="minorHAnsi"/>
        </w:rPr>
        <w:t>-</w:t>
      </w:r>
      <w:r w:rsidRPr="008A2252">
        <w:rPr>
          <w:rFonts w:cstheme="minorHAnsi"/>
        </w:rPr>
        <w:t xml:space="preserve">based ways. Youth Work relationships are often pre-existing, rather than being formed because of a mental health challenge. This allows for high trust relationships that can partner with a more clinical ‘intervention’ resulting in the best outcome for young people. </w:t>
      </w:r>
    </w:p>
  </w:footnote>
  <w:footnote w:id="326">
    <w:p w14:paraId="7A360C7C" w14:textId="77777777" w:rsidR="00E81C92" w:rsidRPr="008A2252" w:rsidRDefault="00E81C92" w:rsidP="00E20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3F3F3F"/>
        </w:rPr>
      </w:pPr>
      <w:r w:rsidRPr="008A2252">
        <w:rPr>
          <w:rStyle w:val="FootnoteReference"/>
          <w:rFonts w:cstheme="minorHAnsi"/>
        </w:rPr>
        <w:footnoteRef/>
      </w:r>
      <w:r w:rsidRPr="008A2252">
        <w:rPr>
          <w:rFonts w:cstheme="minorHAnsi"/>
        </w:rPr>
        <w:t xml:space="preserve"> </w:t>
      </w:r>
      <w:r w:rsidRPr="001543D4">
        <w:rPr>
          <w:rFonts w:cstheme="minorHAnsi"/>
          <w:color w:val="000000" w:themeColor="text1"/>
        </w:rPr>
        <w:t>See Backbone Collective’s (2020) report for MSD – a prevalent theme was the Family Court denying children access to therapy:</w:t>
      </w:r>
    </w:p>
    <w:p w14:paraId="0689E258" w14:textId="77777777" w:rsidR="00E81C92" w:rsidRPr="008A2252" w:rsidRDefault="00000000" w:rsidP="00E20FF1">
      <w:pPr>
        <w:pStyle w:val="FootnoteText"/>
        <w:rPr>
          <w:rFonts w:asciiTheme="minorHAnsi" w:hAnsiTheme="minorHAnsi" w:cstheme="minorHAnsi"/>
          <w:lang w:val="en-US"/>
        </w:rPr>
      </w:pPr>
      <w:hyperlink r:id="rId202" w:history="1">
        <w:r w:rsidR="00E81C92" w:rsidRPr="00F06804">
          <w:rPr>
            <w:rStyle w:val="Hyperlink"/>
            <w:rFonts w:asciiTheme="minorHAnsi" w:eastAsiaTheme="minorHAnsi" w:hAnsiTheme="minorHAnsi" w:cstheme="minorHAnsi"/>
            <w:lang w:val="en-GB" w:eastAsia="en-US"/>
          </w:rPr>
          <w:t>https://static1.squarespace.com/static/57d898ef8419c2ef50f63405/t/5f29217f4f222031501a82c5/1596531111262/Victim+Survivor+Perspectives+on+Longer+Term+Support+Backbone+report+for+MSD+2020+FINAL.pdf</w:t>
        </w:r>
      </w:hyperlink>
      <w:r w:rsidR="00E81C92">
        <w:rPr>
          <w:rFonts w:asciiTheme="minorHAnsi" w:eastAsiaTheme="minorHAnsi" w:hAnsiTheme="minorHAnsi" w:cstheme="minorHAnsi"/>
          <w:color w:val="3F3F3F"/>
          <w:lang w:val="en-GB" w:eastAsia="en-US"/>
        </w:rPr>
        <w:t xml:space="preserve"> </w:t>
      </w:r>
    </w:p>
  </w:footnote>
  <w:footnote w:id="327">
    <w:p w14:paraId="7C91731D" w14:textId="77777777" w:rsidR="008A5F19" w:rsidRPr="008A2252" w:rsidRDefault="008A5F19" w:rsidP="00E20FF1">
      <w:pPr>
        <w:pStyle w:val="FootnoteText"/>
        <w:rPr>
          <w:rFonts w:asciiTheme="minorHAnsi" w:hAnsiTheme="minorHAnsi" w:cstheme="minorHAnsi"/>
          <w:lang w:val="mi-NZ"/>
        </w:rPr>
      </w:pPr>
      <w:r w:rsidRPr="008A2252">
        <w:rPr>
          <w:rStyle w:val="FootnoteReference"/>
          <w:rFonts w:asciiTheme="minorHAnsi" w:hAnsiTheme="minorHAnsi" w:cstheme="minorHAnsi"/>
        </w:rPr>
        <w:footnoteRef/>
      </w:r>
      <w:r w:rsidRPr="008A2252">
        <w:rPr>
          <w:rFonts w:asciiTheme="minorHAnsi" w:hAnsiTheme="minorHAnsi" w:cstheme="minorHAnsi"/>
        </w:rPr>
        <w:t xml:space="preserve"> </w:t>
      </w:r>
      <w:hyperlink r:id="rId203" w:history="1">
        <w:r w:rsidRPr="008A2252">
          <w:rPr>
            <w:rStyle w:val="Hyperlink"/>
            <w:rFonts w:asciiTheme="minorHAnsi" w:hAnsiTheme="minorHAnsi" w:cstheme="minorHAnsi"/>
          </w:rPr>
          <w:t>https://whatsup.co.nz</w:t>
        </w:r>
      </w:hyperlink>
      <w:r w:rsidRPr="008A2252">
        <w:rPr>
          <w:rFonts w:asciiTheme="minorHAnsi" w:hAnsiTheme="minorHAnsi" w:cstheme="minorHAnsi"/>
        </w:rPr>
        <w:t xml:space="preserve"> </w:t>
      </w:r>
      <w:r>
        <w:rPr>
          <w:rFonts w:asciiTheme="minorHAnsi" w:hAnsiTheme="minorHAnsi" w:cstheme="minorHAnsi"/>
        </w:rPr>
        <w:t>- t</w:t>
      </w:r>
      <w:r w:rsidRPr="008A2252">
        <w:rPr>
          <w:rFonts w:asciiTheme="minorHAnsi" w:hAnsiTheme="minorHAnsi" w:cstheme="minorHAnsi"/>
        </w:rPr>
        <w:t xml:space="preserve">his information has been provided by </w:t>
      </w:r>
      <w:proofErr w:type="spellStart"/>
      <w:r w:rsidRPr="008A2252">
        <w:rPr>
          <w:rFonts w:asciiTheme="minorHAnsi" w:hAnsiTheme="minorHAnsi" w:cstheme="minorHAnsi"/>
        </w:rPr>
        <w:t>Barnardos</w:t>
      </w:r>
      <w:proofErr w:type="spellEnd"/>
      <w:r w:rsidRPr="008A2252">
        <w:rPr>
          <w:rFonts w:asciiTheme="minorHAnsi" w:hAnsiTheme="minorHAnsi" w:cstheme="minorHAnsi"/>
        </w:rPr>
        <w:t xml:space="preserve"> who run the What</w:t>
      </w:r>
      <w:r>
        <w:rPr>
          <w:rFonts w:asciiTheme="minorHAnsi" w:hAnsiTheme="minorHAnsi" w:cstheme="minorHAnsi"/>
        </w:rPr>
        <w:t xml:space="preserve">’s </w:t>
      </w:r>
      <w:r w:rsidRPr="008A2252">
        <w:rPr>
          <w:rFonts w:asciiTheme="minorHAnsi" w:hAnsiTheme="minorHAnsi" w:cstheme="minorHAnsi"/>
        </w:rPr>
        <w:t>U</w:t>
      </w:r>
      <w:r>
        <w:rPr>
          <w:rFonts w:asciiTheme="minorHAnsi" w:hAnsiTheme="minorHAnsi" w:cstheme="minorHAnsi"/>
        </w:rPr>
        <w:t>p</w:t>
      </w:r>
      <w:r w:rsidRPr="008A2252">
        <w:rPr>
          <w:rFonts w:asciiTheme="minorHAnsi" w:hAnsiTheme="minorHAnsi" w:cstheme="minorHAnsi"/>
        </w:rPr>
        <w:t xml:space="preserve"> line.</w:t>
      </w:r>
    </w:p>
  </w:footnote>
  <w:footnote w:id="328">
    <w:p w14:paraId="72FA1EC3" w14:textId="77777777" w:rsidR="008A5F19" w:rsidRPr="00E621FA" w:rsidRDefault="008A5F19" w:rsidP="00E20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Pr>
          <w:rStyle w:val="FootnoteReference"/>
        </w:rPr>
        <w:footnoteRef/>
      </w:r>
      <w:r>
        <w:t xml:space="preserve"> </w:t>
      </w:r>
      <w:r w:rsidRPr="00E621FA">
        <w:rPr>
          <w:rFonts w:cstheme="minorHAnsi"/>
          <w:color w:val="000000"/>
        </w:rPr>
        <w:t xml:space="preserve">Children are increasingly choosing to use online chat instead of phones, and mobile phones to chat and call, in contrast to the high usage of payphones and landlines in previous years. </w:t>
      </w:r>
    </w:p>
  </w:footnote>
  <w:footnote w:id="329">
    <w:p w14:paraId="46B00276" w14:textId="1970072F" w:rsidR="00DE3F8F" w:rsidRPr="00CD053E" w:rsidRDefault="00DE3F8F" w:rsidP="00E20FF1">
      <w:pPr>
        <w:pStyle w:val="FootnoteText"/>
        <w:rPr>
          <w:lang w:val="mi-NZ"/>
        </w:rPr>
      </w:pPr>
      <w:r>
        <w:rPr>
          <w:rStyle w:val="FootnoteReference"/>
        </w:rPr>
        <w:footnoteRef/>
      </w:r>
      <w:r>
        <w:t xml:space="preserve"> </w:t>
      </w:r>
      <w:r w:rsidRPr="00C76143">
        <w:rPr>
          <w:rFonts w:asciiTheme="minorHAnsi" w:hAnsiTheme="minorHAnsi" w:cstheme="minorHAnsi"/>
          <w:lang w:val="mi-NZ"/>
        </w:rPr>
        <w:t xml:space="preserve">Consistent with the CRC, </w:t>
      </w:r>
      <w:r w:rsidR="00E26F7F">
        <w:rPr>
          <w:rFonts w:asciiTheme="minorHAnsi" w:hAnsiTheme="minorHAnsi" w:cstheme="minorHAnsi"/>
          <w:lang w:val="mi-NZ"/>
        </w:rPr>
        <w:t>T</w:t>
      </w:r>
      <w:r w:rsidRPr="00C76143">
        <w:rPr>
          <w:rFonts w:asciiTheme="minorHAnsi" w:hAnsiTheme="minorHAnsi" w:cstheme="minorHAnsi"/>
          <w:lang w:val="mi-NZ"/>
        </w:rPr>
        <w:t>e Tiriti o Waitangi and other relevant international human rights obligations.</w:t>
      </w:r>
    </w:p>
  </w:footnote>
  <w:footnote w:id="330">
    <w:p w14:paraId="3BB4EDD9" w14:textId="77777777" w:rsidR="00DE3F8F" w:rsidRPr="008A2252" w:rsidRDefault="00DE3F8F" w:rsidP="00E20FF1">
      <w:pPr>
        <w:pStyle w:val="FootnoteText"/>
        <w:rPr>
          <w:rFonts w:asciiTheme="minorHAnsi" w:hAnsiTheme="minorHAnsi" w:cstheme="minorHAnsi"/>
          <w:lang w:val="mi-NZ"/>
        </w:rPr>
      </w:pPr>
      <w:r w:rsidRPr="008A2252">
        <w:rPr>
          <w:rStyle w:val="FootnoteReference"/>
          <w:rFonts w:asciiTheme="minorHAnsi" w:hAnsiTheme="minorHAnsi" w:cstheme="minorHAnsi"/>
        </w:rPr>
        <w:footnoteRef/>
      </w:r>
      <w:r>
        <w:rPr>
          <w:rFonts w:asciiTheme="minorHAnsi" w:hAnsiTheme="minorHAnsi" w:cstheme="minorHAnsi"/>
        </w:rPr>
        <w:t xml:space="preserve"> </w:t>
      </w:r>
      <w:r w:rsidRPr="001F26E9">
        <w:rPr>
          <w:rFonts w:asciiTheme="minorHAnsi" w:hAnsiTheme="minorHAnsi" w:cstheme="minorHAnsi"/>
          <w:color w:val="000000" w:themeColor="text1"/>
          <w:shd w:val="clear" w:color="auto" w:fill="FFFFFF"/>
        </w:rPr>
        <w:t>Professor Stuart Dalziel, Paediatrician and Cure Kids Chair of Child Health Research, University of Auckland</w:t>
      </w:r>
      <w:r>
        <w:rPr>
          <w:rFonts w:asciiTheme="minorHAnsi" w:hAnsiTheme="minorHAnsi" w:cstheme="minorHAnsi"/>
          <w:color w:val="000000" w:themeColor="text1"/>
          <w:shd w:val="clear" w:color="auto" w:fill="FFFFFF"/>
        </w:rPr>
        <w:t>, referring to</w:t>
      </w:r>
      <w:r>
        <w:rPr>
          <w:rFonts w:asciiTheme="minorHAnsi" w:hAnsiTheme="minorHAnsi" w:cstheme="minorHAnsi"/>
        </w:rPr>
        <w:t xml:space="preserve"> Cure Kids </w:t>
      </w:r>
      <w:r w:rsidRPr="00886472">
        <w:rPr>
          <w:rFonts w:asciiTheme="minorHAnsi" w:hAnsiTheme="minorHAnsi" w:cstheme="minorHAnsi"/>
          <w:i/>
          <w:iCs/>
        </w:rPr>
        <w:t>State of Child Health in Aotearoa New Zealand</w:t>
      </w:r>
      <w:r>
        <w:rPr>
          <w:rFonts w:asciiTheme="minorHAnsi" w:hAnsiTheme="minorHAnsi" w:cstheme="minorHAnsi"/>
        </w:rPr>
        <w:t xml:space="preserve"> (2021). </w:t>
      </w:r>
      <w:r w:rsidRPr="008A2252">
        <w:rPr>
          <w:rFonts w:asciiTheme="minorHAnsi" w:hAnsiTheme="minorHAnsi" w:cstheme="minorHAnsi"/>
        </w:rPr>
        <w:t xml:space="preserve"> </w:t>
      </w:r>
      <w:hyperlink r:id="rId204" w:history="1">
        <w:r w:rsidRPr="00F06804">
          <w:rPr>
            <w:rStyle w:val="Hyperlink"/>
            <w:rFonts w:asciiTheme="minorHAnsi" w:hAnsiTheme="minorHAnsi" w:cstheme="minorHAnsi"/>
          </w:rPr>
          <w:t>https://curekids.org.nz/state-of-child-health/</w:t>
        </w:r>
      </w:hyperlink>
      <w:r>
        <w:rPr>
          <w:rFonts w:asciiTheme="minorHAnsi" w:hAnsiTheme="minorHAnsi" w:cstheme="minorHAnsi"/>
        </w:rPr>
        <w:t xml:space="preserve"> </w:t>
      </w:r>
    </w:p>
  </w:footnote>
  <w:footnote w:id="331">
    <w:p w14:paraId="447F00C9" w14:textId="77777777" w:rsidR="00DE3F8F" w:rsidRPr="008A2252" w:rsidRDefault="00DE3F8F" w:rsidP="00E20FF1">
      <w:pPr>
        <w:pStyle w:val="FootnoteText"/>
        <w:rPr>
          <w:rFonts w:asciiTheme="minorHAnsi" w:hAnsiTheme="minorHAnsi" w:cstheme="minorHAnsi"/>
          <w:lang w:val="mi-NZ"/>
        </w:rPr>
      </w:pPr>
      <w:r w:rsidRPr="008A2252">
        <w:rPr>
          <w:rStyle w:val="FootnoteReference"/>
          <w:rFonts w:asciiTheme="minorHAnsi" w:hAnsiTheme="minorHAnsi" w:cstheme="minorHAnsi"/>
        </w:rPr>
        <w:footnoteRef/>
      </w:r>
      <w:r w:rsidRPr="008A2252">
        <w:rPr>
          <w:rFonts w:asciiTheme="minorHAnsi" w:hAnsiTheme="minorHAnsi" w:cstheme="minorHAnsi"/>
        </w:rPr>
        <w:t xml:space="preserve"> </w:t>
      </w:r>
      <w:r>
        <w:rPr>
          <w:rFonts w:asciiTheme="minorHAnsi" w:hAnsiTheme="minorHAnsi" w:cstheme="minorHAnsi"/>
        </w:rPr>
        <w:t xml:space="preserve">Ibid. </w:t>
      </w:r>
      <w:r w:rsidRPr="008A2252">
        <w:rPr>
          <w:rFonts w:asciiTheme="minorHAnsi" w:hAnsiTheme="minorHAnsi" w:cstheme="minorHAnsi"/>
          <w:lang w:val="mi-NZ"/>
        </w:rPr>
        <w:t xml:space="preserve">These health issues were selected based on their prevalence and burden of disease, public importance, rates </w:t>
      </w:r>
      <w:r>
        <w:rPr>
          <w:rFonts w:asciiTheme="minorHAnsi" w:hAnsiTheme="minorHAnsi" w:cstheme="minorHAnsi"/>
          <w:lang w:val="mi-NZ"/>
        </w:rPr>
        <w:t>of</w:t>
      </w:r>
      <w:r w:rsidRPr="008A2252">
        <w:rPr>
          <w:rFonts w:asciiTheme="minorHAnsi" w:hAnsiTheme="minorHAnsi" w:cstheme="minorHAnsi"/>
          <w:lang w:val="mi-NZ"/>
        </w:rPr>
        <w:t xml:space="preserve"> hospitalisation or death and avai</w:t>
      </w:r>
      <w:r>
        <w:rPr>
          <w:rFonts w:asciiTheme="minorHAnsi" w:hAnsiTheme="minorHAnsi" w:cstheme="minorHAnsi"/>
          <w:lang w:val="mi-NZ"/>
        </w:rPr>
        <w:t>l</w:t>
      </w:r>
      <w:r w:rsidRPr="008A2252">
        <w:rPr>
          <w:rFonts w:asciiTheme="minorHAnsi" w:hAnsiTheme="minorHAnsi" w:cstheme="minorHAnsi"/>
          <w:lang w:val="mi-NZ"/>
        </w:rPr>
        <w:t>ability of robust published data.</w:t>
      </w:r>
    </w:p>
  </w:footnote>
  <w:footnote w:id="332">
    <w:p w14:paraId="574DFC14" w14:textId="6CAB78FE" w:rsidR="00DE3F8F" w:rsidRPr="001F26E9" w:rsidRDefault="00DE3F8F" w:rsidP="00E20FF1">
      <w:pPr>
        <w:pStyle w:val="FootnoteText"/>
        <w:rPr>
          <w:lang w:val="mi-NZ"/>
        </w:rPr>
      </w:pPr>
      <w:r>
        <w:rPr>
          <w:rStyle w:val="FootnoteReference"/>
        </w:rPr>
        <w:footnoteRef/>
      </w:r>
      <w:r>
        <w:t xml:space="preserve"> </w:t>
      </w:r>
      <w:r w:rsidRPr="0052032F">
        <w:rPr>
          <w:rFonts w:asciiTheme="minorHAnsi" w:hAnsiTheme="minorHAnsi" w:cstheme="minorHAnsi"/>
        </w:rPr>
        <w:t xml:space="preserve">See </w:t>
      </w:r>
      <w:r>
        <w:rPr>
          <w:rFonts w:asciiTheme="minorHAnsi" w:hAnsiTheme="minorHAnsi" w:cstheme="minorHAnsi"/>
        </w:rPr>
        <w:t xml:space="preserve">also </w:t>
      </w:r>
      <w:r w:rsidRPr="0052032F">
        <w:rPr>
          <w:rFonts w:asciiTheme="minorHAnsi" w:hAnsiTheme="minorHAnsi" w:cstheme="minorHAnsi"/>
          <w:lang w:val="mi-NZ"/>
        </w:rPr>
        <w:t>Thematic Report on Basic Health and Welfare Rights of Children 0</w:t>
      </w:r>
      <w:r w:rsidR="00396054">
        <w:rPr>
          <w:rFonts w:asciiTheme="minorHAnsi" w:hAnsiTheme="minorHAnsi" w:cstheme="minorHAnsi"/>
          <w:lang w:val="mi-NZ"/>
        </w:rPr>
        <w:t>-</w:t>
      </w:r>
      <w:r w:rsidRPr="0052032F">
        <w:rPr>
          <w:rFonts w:asciiTheme="minorHAnsi" w:hAnsiTheme="minorHAnsi" w:cstheme="minorHAnsi"/>
          <w:lang w:val="mi-NZ"/>
        </w:rPr>
        <w:t>5 years of age</w:t>
      </w:r>
      <w:r w:rsidR="00396054">
        <w:rPr>
          <w:rFonts w:asciiTheme="minorHAnsi" w:hAnsiTheme="minorHAnsi" w:cstheme="minorHAnsi"/>
          <w:lang w:val="mi-NZ"/>
        </w:rPr>
        <w:t>.</w:t>
      </w:r>
    </w:p>
  </w:footnote>
  <w:footnote w:id="333">
    <w:p w14:paraId="65CC7C08" w14:textId="77777777" w:rsidR="00DE3F8F" w:rsidRPr="008A2252" w:rsidRDefault="00DE3F8F" w:rsidP="00E20FF1">
      <w:pPr>
        <w:pStyle w:val="FootnoteText"/>
        <w:rPr>
          <w:rFonts w:asciiTheme="minorHAnsi" w:hAnsiTheme="minorHAnsi" w:cstheme="minorHAnsi"/>
          <w:lang w:val="mi-NZ"/>
        </w:rPr>
      </w:pPr>
      <w:r w:rsidRPr="008A2252">
        <w:rPr>
          <w:rStyle w:val="FootnoteReference"/>
          <w:rFonts w:asciiTheme="minorHAnsi" w:hAnsiTheme="minorHAnsi" w:cstheme="minorHAnsi"/>
        </w:rPr>
        <w:footnoteRef/>
      </w:r>
      <w:r w:rsidRPr="008A2252">
        <w:rPr>
          <w:rFonts w:asciiTheme="minorHAnsi" w:hAnsiTheme="minorHAnsi" w:cstheme="minorHAnsi"/>
        </w:rPr>
        <w:t xml:space="preserve"> https://curekids.org.nz/state-of-child-health/</w:t>
      </w:r>
    </w:p>
  </w:footnote>
  <w:footnote w:id="334">
    <w:p w14:paraId="70BF26E7" w14:textId="77777777" w:rsidR="00DE3F8F" w:rsidRPr="008A2252" w:rsidRDefault="00DE3F8F" w:rsidP="00E20FF1">
      <w:pPr>
        <w:pStyle w:val="Heading3"/>
        <w:spacing w:before="0" w:line="240" w:lineRule="auto"/>
        <w:rPr>
          <w:rFonts w:asciiTheme="minorHAnsi" w:hAnsiTheme="minorHAnsi" w:cstheme="minorHAnsi"/>
          <w:sz w:val="20"/>
          <w:szCs w:val="20"/>
          <w:lang w:val="mi-NZ"/>
        </w:rPr>
      </w:pPr>
      <w:r w:rsidRPr="008A2252">
        <w:rPr>
          <w:rStyle w:val="FootnoteReference"/>
          <w:rFonts w:asciiTheme="minorHAnsi" w:hAnsiTheme="minorHAnsi" w:cstheme="minorHAnsi"/>
          <w:sz w:val="20"/>
          <w:szCs w:val="20"/>
        </w:rPr>
        <w:footnoteRef/>
      </w:r>
      <w:r w:rsidRPr="008A2252">
        <w:rPr>
          <w:rFonts w:asciiTheme="minorHAnsi" w:hAnsiTheme="minorHAnsi" w:cstheme="minorHAnsi"/>
          <w:sz w:val="20"/>
          <w:szCs w:val="20"/>
        </w:rPr>
        <w:t xml:space="preserve"> </w:t>
      </w:r>
      <w:hyperlink r:id="rId205" w:history="1">
        <w:r w:rsidRPr="008A2252">
          <w:rPr>
            <w:rStyle w:val="Hyperlink"/>
            <w:rFonts w:asciiTheme="minorHAnsi" w:hAnsiTheme="minorHAnsi" w:cstheme="minorHAnsi"/>
            <w:sz w:val="20"/>
            <w:szCs w:val="20"/>
            <w:lang w:val="mi-NZ"/>
          </w:rPr>
          <w:t>https://www.rnz.co.nz/news/national/470427/healthy-homes-vital-in-cutting-risk-of-childhood-rheumatic-fever-study-finds</w:t>
        </w:r>
      </w:hyperlink>
      <w:r w:rsidRPr="008A2252">
        <w:rPr>
          <w:rFonts w:asciiTheme="minorHAnsi" w:hAnsiTheme="minorHAnsi" w:cstheme="minorHAnsi"/>
          <w:sz w:val="20"/>
          <w:szCs w:val="20"/>
          <w:lang w:val="mi-NZ"/>
        </w:rPr>
        <w:t xml:space="preserve"> </w:t>
      </w:r>
    </w:p>
  </w:footnote>
  <w:footnote w:id="335">
    <w:p w14:paraId="5E149B58" w14:textId="47A80C20" w:rsidR="00DE3F8F" w:rsidRPr="00CD053E" w:rsidRDefault="00DE3F8F" w:rsidP="00E20FF1">
      <w:pPr>
        <w:pStyle w:val="FootnoteText"/>
        <w:rPr>
          <w:lang w:val="mi-NZ"/>
        </w:rPr>
      </w:pPr>
      <w:r>
        <w:rPr>
          <w:rStyle w:val="FootnoteReference"/>
        </w:rPr>
        <w:footnoteRef/>
      </w:r>
      <w:r>
        <w:t xml:space="preserve"> </w:t>
      </w:r>
      <w:r w:rsidRPr="00C76143">
        <w:rPr>
          <w:rFonts w:asciiTheme="minorHAnsi" w:hAnsiTheme="minorHAnsi" w:cstheme="minorHAnsi"/>
          <w:lang w:val="mi-NZ"/>
        </w:rPr>
        <w:t xml:space="preserve">Consistent with the CRC, </w:t>
      </w:r>
      <w:r w:rsidR="00E26F7F">
        <w:rPr>
          <w:rFonts w:asciiTheme="minorHAnsi" w:hAnsiTheme="minorHAnsi" w:cstheme="minorHAnsi"/>
          <w:lang w:val="mi-NZ"/>
        </w:rPr>
        <w:t>T</w:t>
      </w:r>
      <w:r w:rsidRPr="00C76143">
        <w:rPr>
          <w:rFonts w:asciiTheme="minorHAnsi" w:hAnsiTheme="minorHAnsi" w:cstheme="minorHAnsi"/>
          <w:lang w:val="mi-NZ"/>
        </w:rPr>
        <w:t>e Tiriti o Waitangi and other relevant international human rights obligations.</w:t>
      </w:r>
    </w:p>
  </w:footnote>
  <w:footnote w:id="336">
    <w:p w14:paraId="4CDBB652" w14:textId="77777777" w:rsidR="00DE3F8F" w:rsidRPr="005007A8" w:rsidRDefault="00DE3F8F" w:rsidP="00E20FF1">
      <w:pPr>
        <w:spacing w:after="0" w:line="240" w:lineRule="auto"/>
        <w:rPr>
          <w:rFonts w:cstheme="minorHAnsi"/>
          <w:lang w:val="mi-NZ"/>
        </w:rPr>
      </w:pPr>
      <w:r w:rsidRPr="005007A8">
        <w:rPr>
          <w:rStyle w:val="FootnoteReference"/>
          <w:rFonts w:cstheme="minorHAnsi"/>
        </w:rPr>
        <w:footnoteRef/>
      </w:r>
      <w:r w:rsidRPr="005007A8">
        <w:rPr>
          <w:rFonts w:cstheme="minorHAnsi"/>
        </w:rPr>
        <w:t xml:space="preserve"> </w:t>
      </w:r>
      <w:r>
        <w:rPr>
          <w:rFonts w:cstheme="minorHAnsi"/>
        </w:rPr>
        <w:t xml:space="preserve"> Records began in 2012. </w:t>
      </w:r>
      <w:hyperlink r:id="rId206" w:history="1">
        <w:r w:rsidRPr="00F06804">
          <w:rPr>
            <w:rStyle w:val="Hyperlink"/>
            <w:rFonts w:eastAsiaTheme="majorEastAsia" w:cstheme="minorHAnsi"/>
            <w:lang w:val="mi-NZ"/>
          </w:rPr>
          <w:t>https://covid.immune.org.nz/news-insights/maintaining-high-immunisation-coverage-current-covid-19-disease-circulating</w:t>
        </w:r>
      </w:hyperlink>
      <w:r w:rsidRPr="005007A8">
        <w:rPr>
          <w:rFonts w:cstheme="minorHAnsi"/>
          <w:lang w:val="mi-NZ"/>
        </w:rPr>
        <w:t xml:space="preserve"> </w:t>
      </w:r>
    </w:p>
  </w:footnote>
  <w:footnote w:id="337">
    <w:p w14:paraId="23EE4620" w14:textId="77777777" w:rsidR="00DE3F8F" w:rsidRPr="005007A8" w:rsidRDefault="00DE3F8F" w:rsidP="00E20FF1">
      <w:pPr>
        <w:pStyle w:val="FootnoteText"/>
        <w:rPr>
          <w:rFonts w:asciiTheme="minorHAnsi" w:hAnsiTheme="minorHAnsi" w:cstheme="minorHAnsi"/>
          <w:lang w:val="mi-NZ"/>
        </w:rPr>
      </w:pPr>
      <w:r w:rsidRPr="005007A8">
        <w:rPr>
          <w:rStyle w:val="FootnoteReference"/>
          <w:rFonts w:asciiTheme="minorHAnsi" w:hAnsiTheme="minorHAnsi" w:cstheme="minorHAnsi"/>
        </w:rPr>
        <w:footnoteRef/>
      </w:r>
      <w:r w:rsidRPr="005007A8">
        <w:rPr>
          <w:rFonts w:asciiTheme="minorHAnsi" w:hAnsiTheme="minorHAnsi" w:cstheme="minorHAnsi"/>
        </w:rPr>
        <w:t xml:space="preserve"> </w:t>
      </w:r>
      <w:hyperlink r:id="rId207" w:history="1">
        <w:r w:rsidRPr="005007A8">
          <w:rPr>
            <w:rStyle w:val="Hyperlink"/>
            <w:rFonts w:asciiTheme="minorHAnsi" w:eastAsiaTheme="majorEastAsia" w:hAnsiTheme="minorHAnsi" w:cstheme="minorHAnsi"/>
          </w:rPr>
          <w:t>https://www.newshub.co.nz/home/new-zealand/2021/01/fears-of-measles-resurgence-as-covid-19-disrupts-childhood-immunisation-programmes.html</w:t>
        </w:r>
      </w:hyperlink>
      <w:r w:rsidRPr="005007A8">
        <w:rPr>
          <w:rFonts w:asciiTheme="minorHAnsi" w:hAnsiTheme="minorHAnsi" w:cstheme="minorHAnsi"/>
        </w:rPr>
        <w:t xml:space="preserve">; </w:t>
      </w:r>
      <w:hyperlink r:id="rId208" w:history="1">
        <w:r w:rsidRPr="00CC003D">
          <w:rPr>
            <w:rFonts w:asciiTheme="minorHAnsi" w:eastAsiaTheme="minorHAnsi" w:hAnsiTheme="minorHAnsi" w:cstheme="minorHAnsi"/>
            <w:color w:val="25409A" w:themeColor="text2"/>
            <w:u w:val="single" w:color="094FD1"/>
            <w:lang w:val="en-GB" w:eastAsia="en-US"/>
          </w:rPr>
          <w:t>https://www.1news.co.nz/2022/07/29/low-vaccination-rates-prompt-fears-of-severe-measles-outbreak/</w:t>
        </w:r>
      </w:hyperlink>
    </w:p>
  </w:footnote>
  <w:footnote w:id="338">
    <w:p w14:paraId="07050768" w14:textId="77777777" w:rsidR="00DE3F8F" w:rsidRPr="005007A8" w:rsidRDefault="00DE3F8F" w:rsidP="00E20FF1">
      <w:pPr>
        <w:pStyle w:val="FootnoteText"/>
        <w:rPr>
          <w:rFonts w:asciiTheme="minorHAnsi" w:hAnsiTheme="minorHAnsi" w:cstheme="minorHAnsi"/>
          <w:lang w:val="mi-NZ"/>
        </w:rPr>
      </w:pPr>
      <w:r w:rsidRPr="005007A8">
        <w:rPr>
          <w:rStyle w:val="FootnoteReference"/>
          <w:rFonts w:asciiTheme="minorHAnsi" w:hAnsiTheme="minorHAnsi" w:cstheme="minorHAnsi"/>
        </w:rPr>
        <w:footnoteRef/>
      </w:r>
      <w:r w:rsidRPr="005007A8">
        <w:rPr>
          <w:rFonts w:asciiTheme="minorHAnsi" w:hAnsiTheme="minorHAnsi" w:cstheme="minorHAnsi"/>
        </w:rPr>
        <w:t xml:space="preserve"> </w:t>
      </w:r>
      <w:hyperlink r:id="rId209" w:history="1">
        <w:r w:rsidRPr="005007A8">
          <w:rPr>
            <w:rStyle w:val="Hyperlink"/>
            <w:rFonts w:asciiTheme="minorHAnsi" w:eastAsiaTheme="majorEastAsia" w:hAnsiTheme="minorHAnsi" w:cstheme="minorHAnsi"/>
          </w:rPr>
          <w:t>https://www.rnz.co.nz/news/national/438455/measles-vaccination-campaign-way-off-target</w:t>
        </w:r>
      </w:hyperlink>
      <w:r w:rsidRPr="005007A8">
        <w:rPr>
          <w:rFonts w:asciiTheme="minorHAnsi" w:hAnsiTheme="minorHAnsi" w:cstheme="minorHAnsi"/>
        </w:rPr>
        <w:t xml:space="preserve"> </w:t>
      </w:r>
    </w:p>
  </w:footnote>
  <w:footnote w:id="339">
    <w:p w14:paraId="66F9C2B9" w14:textId="7A06F7F5" w:rsidR="00DE3F8F" w:rsidRPr="005007A8" w:rsidRDefault="00DE3F8F" w:rsidP="00E20FF1">
      <w:pPr>
        <w:pStyle w:val="FootnoteText"/>
        <w:rPr>
          <w:rFonts w:asciiTheme="minorHAnsi" w:hAnsiTheme="minorHAnsi" w:cstheme="minorHAnsi"/>
          <w:lang w:val="mi-NZ"/>
        </w:rPr>
      </w:pPr>
      <w:r w:rsidRPr="005007A8">
        <w:rPr>
          <w:rStyle w:val="FootnoteReference"/>
          <w:rFonts w:asciiTheme="minorHAnsi" w:hAnsiTheme="minorHAnsi" w:cstheme="minorHAnsi"/>
        </w:rPr>
        <w:footnoteRef/>
      </w:r>
      <w:r w:rsidRPr="005007A8">
        <w:rPr>
          <w:rFonts w:asciiTheme="minorHAnsi" w:hAnsiTheme="minorHAnsi" w:cstheme="minorHAnsi"/>
        </w:rPr>
        <w:t xml:space="preserve"> </w:t>
      </w:r>
      <w:r w:rsidRPr="0052032F">
        <w:rPr>
          <w:rFonts w:asciiTheme="minorHAnsi" w:hAnsiTheme="minorHAnsi" w:cstheme="minorHAnsi"/>
        </w:rPr>
        <w:t xml:space="preserve">See </w:t>
      </w:r>
      <w:r w:rsidRPr="0052032F">
        <w:rPr>
          <w:rFonts w:asciiTheme="minorHAnsi" w:hAnsiTheme="minorHAnsi" w:cstheme="minorHAnsi"/>
          <w:lang w:val="mi-NZ"/>
        </w:rPr>
        <w:t>Thematic Report on Basic Health and Welfare Rights of Children 0</w:t>
      </w:r>
      <w:r w:rsidR="00396054">
        <w:rPr>
          <w:rFonts w:asciiTheme="minorHAnsi" w:hAnsiTheme="minorHAnsi" w:cstheme="minorHAnsi"/>
          <w:lang w:val="mi-NZ"/>
        </w:rPr>
        <w:t>-</w:t>
      </w:r>
      <w:r w:rsidRPr="0052032F">
        <w:rPr>
          <w:rFonts w:asciiTheme="minorHAnsi" w:hAnsiTheme="minorHAnsi" w:cstheme="minorHAnsi"/>
          <w:lang w:val="mi-NZ"/>
        </w:rPr>
        <w:t>5 years of age</w:t>
      </w:r>
    </w:p>
  </w:footnote>
  <w:footnote w:id="340">
    <w:p w14:paraId="16B017EA" w14:textId="5EC2B3E2" w:rsidR="00DE3F8F" w:rsidRPr="004D38E2" w:rsidRDefault="00DE3F8F" w:rsidP="00E20FF1">
      <w:pPr>
        <w:pStyle w:val="FootnoteText"/>
        <w:rPr>
          <w:lang w:val="mi-NZ"/>
        </w:rPr>
      </w:pPr>
      <w:r>
        <w:rPr>
          <w:rStyle w:val="FootnoteReference"/>
        </w:rPr>
        <w:footnoteRef/>
      </w:r>
      <w:r>
        <w:t xml:space="preserve"> </w:t>
      </w:r>
      <w:hyperlink r:id="rId210" w:history="1">
        <w:r w:rsidRPr="00CC003D">
          <w:rPr>
            <w:rFonts w:asciiTheme="minorHAnsi" w:eastAsiaTheme="minorHAnsi" w:hAnsiTheme="minorHAnsi" w:cstheme="minorHAnsi"/>
            <w:color w:val="25409A" w:themeColor="text2"/>
            <w:u w:color="094FD1"/>
            <w:lang w:val="en-GB" w:eastAsia="en-US"/>
          </w:rPr>
          <w:t>https://www.nzherald.co.nz/nz/dr-gary-payinda-frightening-vaccination-rates-in-nz-children-will-lead-to-preventable-deaths/ABV7EETAO2IHKCOI7EEQKEXDVE/</w:t>
        </w:r>
      </w:hyperlink>
      <w:r>
        <w:t xml:space="preserve"> </w:t>
      </w:r>
    </w:p>
  </w:footnote>
  <w:footnote w:id="341">
    <w:p w14:paraId="7C922447" w14:textId="77777777" w:rsidR="00DE3F8F" w:rsidRPr="005007A8" w:rsidRDefault="00DE3F8F" w:rsidP="00E20FF1">
      <w:pPr>
        <w:pStyle w:val="FootnoteText"/>
        <w:rPr>
          <w:rFonts w:asciiTheme="minorHAnsi" w:hAnsiTheme="minorHAnsi" w:cstheme="minorHAnsi"/>
          <w:lang w:val="mi-NZ"/>
        </w:rPr>
      </w:pPr>
      <w:r w:rsidRPr="005007A8">
        <w:rPr>
          <w:rStyle w:val="FootnoteReference"/>
          <w:rFonts w:asciiTheme="minorHAnsi" w:hAnsiTheme="minorHAnsi" w:cstheme="minorHAnsi"/>
        </w:rPr>
        <w:footnoteRef/>
      </w:r>
      <w:r w:rsidRPr="005007A8">
        <w:rPr>
          <w:rFonts w:asciiTheme="minorHAnsi" w:hAnsiTheme="minorHAnsi" w:cstheme="minorHAnsi"/>
        </w:rPr>
        <w:t xml:space="preserve"> For example, through </w:t>
      </w:r>
      <w:r w:rsidRPr="005007A8">
        <w:rPr>
          <w:rFonts w:asciiTheme="minorHAnsi" w:eastAsiaTheme="minorHAnsi" w:hAnsiTheme="minorHAnsi" w:cstheme="minorHAnsi"/>
          <w:color w:val="000000"/>
          <w:lang w:val="en-GB" w:eastAsia="en-US"/>
        </w:rPr>
        <w:t>improving health literacy and ensuring information, resources and services are culturally relevant and accessible, including being available in languages other than English.</w:t>
      </w:r>
    </w:p>
  </w:footnote>
  <w:footnote w:id="342">
    <w:p w14:paraId="0D86A172" w14:textId="77777777" w:rsidR="00DE3F8F" w:rsidRPr="005007A8" w:rsidRDefault="00DE3F8F" w:rsidP="00E20FF1">
      <w:pPr>
        <w:pStyle w:val="FootnoteText"/>
        <w:rPr>
          <w:rFonts w:asciiTheme="minorHAnsi" w:hAnsiTheme="minorHAnsi" w:cstheme="minorHAnsi"/>
          <w:lang w:val="mi-NZ"/>
        </w:rPr>
      </w:pPr>
      <w:r w:rsidRPr="005007A8">
        <w:rPr>
          <w:rStyle w:val="FootnoteReference"/>
          <w:rFonts w:asciiTheme="minorHAnsi" w:hAnsiTheme="minorHAnsi" w:cstheme="minorHAnsi"/>
        </w:rPr>
        <w:footnoteRef/>
      </w:r>
      <w:r w:rsidRPr="005007A8">
        <w:rPr>
          <w:rFonts w:asciiTheme="minorHAnsi" w:hAnsiTheme="minorHAnsi" w:cstheme="minorHAnsi"/>
        </w:rPr>
        <w:t xml:space="preserve"> </w:t>
      </w:r>
      <w:r w:rsidRPr="005007A8">
        <w:rPr>
          <w:rFonts w:asciiTheme="minorHAnsi" w:hAnsiTheme="minorHAnsi" w:cstheme="minorHAnsi"/>
          <w:lang w:val="mi-NZ"/>
        </w:rPr>
        <w:t>These include</w:t>
      </w:r>
      <w:r>
        <w:rPr>
          <w:rFonts w:asciiTheme="minorHAnsi" w:hAnsiTheme="minorHAnsi" w:cstheme="minorHAnsi"/>
          <w:lang w:val="mi-NZ"/>
        </w:rPr>
        <w:t>d</w:t>
      </w:r>
      <w:r w:rsidRPr="005007A8">
        <w:rPr>
          <w:rFonts w:asciiTheme="minorHAnsi" w:hAnsiTheme="minorHAnsi" w:cstheme="minorHAnsi"/>
          <w:lang w:val="mi-NZ"/>
        </w:rPr>
        <w:t xml:space="preserve">: home visits for vaccination; having time and space set aside to provide </w:t>
      </w:r>
      <w:r>
        <w:rPr>
          <w:rFonts w:asciiTheme="minorHAnsi" w:hAnsiTheme="minorHAnsi" w:cstheme="minorHAnsi"/>
          <w:lang w:val="mi-NZ"/>
        </w:rPr>
        <w:t>‘</w:t>
      </w:r>
      <w:r w:rsidRPr="005007A8">
        <w:rPr>
          <w:rFonts w:asciiTheme="minorHAnsi" w:hAnsiTheme="minorHAnsi" w:cstheme="minorHAnsi"/>
          <w:lang w:val="mi-NZ"/>
        </w:rPr>
        <w:t>safe’ clinic access; having families wait in their cars or a separate, warm space to other patients before vaccinations</w:t>
      </w:r>
      <w:r>
        <w:rPr>
          <w:rFonts w:asciiTheme="minorHAnsi" w:hAnsiTheme="minorHAnsi" w:cstheme="minorHAnsi"/>
          <w:lang w:val="mi-NZ"/>
        </w:rPr>
        <w:t>:</w:t>
      </w:r>
      <w:r w:rsidRPr="005007A8">
        <w:rPr>
          <w:rFonts w:asciiTheme="minorHAnsi" w:hAnsiTheme="minorHAnsi" w:cstheme="minorHAnsi"/>
          <w:lang w:val="mi-NZ"/>
        </w:rPr>
        <w:t xml:space="preserve"> </w:t>
      </w:r>
      <w:hyperlink r:id="rId211" w:history="1">
        <w:r w:rsidRPr="005007A8">
          <w:rPr>
            <w:rStyle w:val="Hyperlink"/>
            <w:rFonts w:asciiTheme="minorHAnsi" w:eastAsiaTheme="majorEastAsia" w:hAnsiTheme="minorHAnsi" w:cstheme="minorHAnsi"/>
            <w:lang w:val="mi-NZ"/>
          </w:rPr>
          <w:t>https://covid.immune.org.nz/news-insights/maintaining-high-immunisation-coverage-current-covid-19-disease-circulating</w:t>
        </w:r>
      </w:hyperlink>
      <w:r w:rsidRPr="005007A8">
        <w:rPr>
          <w:rFonts w:asciiTheme="minorHAnsi" w:hAnsiTheme="minorHAnsi" w:cstheme="minorHAnsi"/>
          <w:lang w:val="mi-NZ"/>
        </w:rPr>
        <w:t xml:space="preserve"> </w:t>
      </w:r>
    </w:p>
  </w:footnote>
  <w:footnote w:id="343">
    <w:p w14:paraId="789BA59F" w14:textId="77777777" w:rsidR="00853CF0" w:rsidRPr="005007A8" w:rsidRDefault="00853CF0" w:rsidP="00E20FF1">
      <w:pPr>
        <w:spacing w:after="0" w:line="240" w:lineRule="auto"/>
        <w:rPr>
          <w:rFonts w:cstheme="minorHAnsi"/>
        </w:rPr>
      </w:pPr>
      <w:r w:rsidRPr="005007A8">
        <w:rPr>
          <w:rStyle w:val="FootnoteReference"/>
          <w:rFonts w:cstheme="minorHAnsi"/>
        </w:rPr>
        <w:footnoteRef/>
      </w:r>
      <w:r w:rsidRPr="005007A8">
        <w:rPr>
          <w:rFonts w:cstheme="minorHAnsi"/>
        </w:rPr>
        <w:t xml:space="preserve"> </w:t>
      </w:r>
      <w:r w:rsidRPr="005007A8">
        <w:rPr>
          <w:rFonts w:eastAsiaTheme="majorEastAsia" w:cstheme="minorHAnsi"/>
          <w:color w:val="333333"/>
        </w:rPr>
        <w:t xml:space="preserve">Jude Ball, Rose Crossin, Joseph Boden, Sue </w:t>
      </w:r>
      <w:proofErr w:type="spellStart"/>
      <w:r w:rsidRPr="005007A8">
        <w:rPr>
          <w:rFonts w:eastAsiaTheme="majorEastAsia" w:cstheme="minorHAnsi"/>
          <w:color w:val="333333"/>
        </w:rPr>
        <w:t>Crengle</w:t>
      </w:r>
      <w:proofErr w:type="spellEnd"/>
      <w:r w:rsidRPr="005007A8">
        <w:rPr>
          <w:rFonts w:eastAsiaTheme="majorEastAsia" w:cstheme="minorHAnsi"/>
          <w:color w:val="333333"/>
        </w:rPr>
        <w:t xml:space="preserve"> &amp; Richard Edwards</w:t>
      </w:r>
      <w:r w:rsidRPr="005007A8">
        <w:rPr>
          <w:rFonts w:eastAsiaTheme="majorEastAsia" w:cstheme="minorHAnsi"/>
          <w:color w:val="333333"/>
          <w:shd w:val="clear" w:color="auto" w:fill="FFFFFF"/>
        </w:rPr>
        <w:t> </w:t>
      </w:r>
      <w:r w:rsidRPr="005007A8">
        <w:rPr>
          <w:rFonts w:eastAsiaTheme="majorEastAsia" w:cstheme="minorHAnsi"/>
          <w:color w:val="333333"/>
        </w:rPr>
        <w:t>(2022)</w:t>
      </w:r>
      <w:r w:rsidRPr="005007A8">
        <w:rPr>
          <w:rFonts w:eastAsiaTheme="majorEastAsia" w:cstheme="minorHAnsi"/>
          <w:color w:val="333333"/>
          <w:shd w:val="clear" w:color="auto" w:fill="FFFFFF"/>
        </w:rPr>
        <w:t> </w:t>
      </w:r>
      <w:r w:rsidRPr="005007A8">
        <w:rPr>
          <w:rFonts w:eastAsiaTheme="majorEastAsia" w:cstheme="minorHAnsi"/>
          <w:color w:val="333333"/>
        </w:rPr>
        <w:t>Long-term trends in adolescent alcohol, tobacco and cannabis use and emerging substance use issues in Aotearoa New Zealand</w:t>
      </w:r>
      <w:r>
        <w:rPr>
          <w:rFonts w:eastAsiaTheme="majorEastAsia" w:cstheme="minorHAnsi"/>
          <w:color w:val="333333"/>
        </w:rPr>
        <w:t>,</w:t>
      </w:r>
      <w:r w:rsidRPr="005007A8">
        <w:rPr>
          <w:rFonts w:eastAsiaTheme="majorEastAsia" w:cstheme="minorHAnsi"/>
          <w:color w:val="333333"/>
          <w:shd w:val="clear" w:color="auto" w:fill="FFFFFF"/>
        </w:rPr>
        <w:t> </w:t>
      </w:r>
      <w:r w:rsidRPr="005007A8">
        <w:rPr>
          <w:rFonts w:cstheme="minorHAnsi"/>
          <w:i/>
          <w:iCs/>
          <w:color w:val="333333"/>
        </w:rPr>
        <w:t>Journal of the Royal Society of New Zealand</w:t>
      </w:r>
      <w:r w:rsidRPr="005007A8">
        <w:rPr>
          <w:rFonts w:cstheme="minorHAnsi"/>
          <w:color w:val="333333"/>
        </w:rPr>
        <w:t>,</w:t>
      </w:r>
      <w:r w:rsidRPr="005007A8">
        <w:rPr>
          <w:rFonts w:eastAsiaTheme="majorEastAsia" w:cstheme="minorHAnsi"/>
          <w:color w:val="333333"/>
          <w:shd w:val="clear" w:color="auto" w:fill="FFFFFF"/>
        </w:rPr>
        <w:t> </w:t>
      </w:r>
      <w:r w:rsidRPr="005007A8">
        <w:rPr>
          <w:rFonts w:eastAsia="SimSun" w:cstheme="minorHAnsi"/>
          <w:i/>
          <w:iCs/>
          <w:color w:val="333333"/>
        </w:rPr>
        <w:t>52(4</w:t>
      </w:r>
      <w:r w:rsidRPr="005007A8">
        <w:rPr>
          <w:rFonts w:eastAsia="SimSun" w:cstheme="minorHAnsi"/>
          <w:color w:val="333333"/>
        </w:rPr>
        <w:t>),</w:t>
      </w:r>
      <w:r w:rsidRPr="005007A8">
        <w:rPr>
          <w:rFonts w:eastAsiaTheme="majorEastAsia" w:cstheme="minorHAnsi"/>
          <w:color w:val="333333"/>
          <w:shd w:val="clear" w:color="auto" w:fill="FFFFFF"/>
        </w:rPr>
        <w:t> </w:t>
      </w:r>
      <w:r w:rsidRPr="005007A8">
        <w:rPr>
          <w:rFonts w:eastAsiaTheme="majorEastAsia" w:cstheme="minorHAnsi"/>
          <w:color w:val="333333"/>
        </w:rPr>
        <w:t>450-471,</w:t>
      </w:r>
      <w:r w:rsidRPr="005007A8">
        <w:rPr>
          <w:rFonts w:eastAsiaTheme="majorEastAsia" w:cstheme="minorHAnsi"/>
          <w:color w:val="333333"/>
          <w:shd w:val="clear" w:color="auto" w:fill="FFFFFF"/>
        </w:rPr>
        <w:t> </w:t>
      </w:r>
      <w:r w:rsidRPr="005007A8">
        <w:rPr>
          <w:rFonts w:cstheme="minorHAnsi"/>
          <w:color w:val="333333"/>
        </w:rPr>
        <w:t>DOI:</w:t>
      </w:r>
      <w:r w:rsidRPr="005007A8">
        <w:rPr>
          <w:rFonts w:eastAsiaTheme="majorEastAsia" w:cstheme="minorHAnsi"/>
          <w:color w:val="333333"/>
        </w:rPr>
        <w:t> </w:t>
      </w:r>
      <w:hyperlink r:id="rId212" w:history="1">
        <w:r w:rsidRPr="005007A8">
          <w:rPr>
            <w:rStyle w:val="Hyperlink"/>
            <w:rFonts w:cstheme="minorHAnsi"/>
            <w:color w:val="333333"/>
          </w:rPr>
          <w:t>10.1080/03036758.2022.2060266</w:t>
        </w:r>
      </w:hyperlink>
    </w:p>
  </w:footnote>
  <w:footnote w:id="344">
    <w:p w14:paraId="062DBDA0" w14:textId="77777777" w:rsidR="00853CF0" w:rsidRPr="005007A8" w:rsidRDefault="00853CF0" w:rsidP="00E20FF1">
      <w:pPr>
        <w:pStyle w:val="FootnoteText"/>
        <w:rPr>
          <w:rFonts w:asciiTheme="minorHAnsi" w:hAnsiTheme="minorHAnsi" w:cstheme="minorHAnsi"/>
          <w:lang w:val="mi-NZ"/>
        </w:rPr>
      </w:pPr>
      <w:r w:rsidRPr="005007A8">
        <w:rPr>
          <w:rStyle w:val="FootnoteReference"/>
          <w:rFonts w:asciiTheme="minorHAnsi" w:hAnsiTheme="minorHAnsi" w:cstheme="minorHAnsi"/>
        </w:rPr>
        <w:footnoteRef/>
      </w:r>
      <w:r w:rsidRPr="005007A8">
        <w:rPr>
          <w:rFonts w:asciiTheme="minorHAnsi" w:hAnsiTheme="minorHAnsi" w:cstheme="minorHAnsi"/>
        </w:rPr>
        <w:t xml:space="preserve"> </w:t>
      </w:r>
      <w:hyperlink r:id="rId213" w:history="1">
        <w:r w:rsidRPr="005007A8">
          <w:rPr>
            <w:rStyle w:val="Hyperlink"/>
            <w:rFonts w:asciiTheme="minorHAnsi" w:hAnsiTheme="minorHAnsi" w:cstheme="minorHAnsi"/>
          </w:rPr>
          <w:t>https://static1.squarespace.com/static/5bdbb75ccef37259122e59aa/t/5e7d50e5e1a6fc55dd1e6c8a/1585271016485/Youth19+Vaping+fact+sheet.pdf</w:t>
        </w:r>
      </w:hyperlink>
      <w:r w:rsidRPr="005007A8">
        <w:rPr>
          <w:rFonts w:asciiTheme="minorHAnsi" w:hAnsiTheme="minorHAnsi" w:cstheme="minorHAnsi"/>
        </w:rPr>
        <w:t xml:space="preserve"> ; </w:t>
      </w:r>
      <w:hyperlink r:id="rId214" w:history="1">
        <w:r w:rsidRPr="00E16885">
          <w:rPr>
            <w:rFonts w:asciiTheme="minorHAnsi" w:eastAsiaTheme="minorHAnsi" w:hAnsiTheme="minorHAnsi" w:cstheme="minorHAnsi"/>
            <w:color w:val="25409A" w:themeColor="text2"/>
            <w:u w:val="single" w:color="094FD1"/>
            <w:lang w:val="en-GB" w:eastAsia="en-US"/>
          </w:rPr>
          <w:t>https://www.tandfonline.com/doi/full/10.1080/03036758.2022.2060266</w:t>
        </w:r>
      </w:hyperlink>
    </w:p>
  </w:footnote>
  <w:footnote w:id="345">
    <w:p w14:paraId="23D05627" w14:textId="77777777" w:rsidR="00853CF0" w:rsidRPr="005007A8" w:rsidRDefault="00853CF0" w:rsidP="00E20FF1">
      <w:pPr>
        <w:spacing w:after="0" w:line="240" w:lineRule="auto"/>
        <w:rPr>
          <w:rFonts w:cstheme="minorHAnsi"/>
        </w:rPr>
      </w:pPr>
      <w:r w:rsidRPr="005007A8">
        <w:rPr>
          <w:rStyle w:val="FootnoteReference"/>
          <w:rFonts w:cstheme="minorHAnsi"/>
        </w:rPr>
        <w:footnoteRef/>
      </w:r>
      <w:r w:rsidRPr="005007A8">
        <w:rPr>
          <w:rFonts w:cstheme="minorHAnsi"/>
        </w:rPr>
        <w:t xml:space="preserve"> </w:t>
      </w:r>
      <w:hyperlink r:id="rId215" w:history="1">
        <w:r w:rsidRPr="005007A8">
          <w:rPr>
            <w:rStyle w:val="Hyperlink"/>
            <w:rFonts w:cstheme="minorHAnsi"/>
          </w:rPr>
          <w:t>https://www.rnz.co.nz/news/national/468855/vaping-imposing-terrible-burden-on-young-people-researcher</w:t>
        </w:r>
      </w:hyperlink>
      <w:r w:rsidRPr="005007A8">
        <w:rPr>
          <w:rFonts w:cstheme="minorHAnsi"/>
        </w:rPr>
        <w:t xml:space="preserve">; </w:t>
      </w:r>
      <w:hyperlink r:id="rId216" w:history="1">
        <w:r w:rsidRPr="005007A8">
          <w:rPr>
            <w:rStyle w:val="Hyperlink"/>
            <w:rFonts w:eastAsiaTheme="majorEastAsia" w:cstheme="minorHAnsi"/>
          </w:rPr>
          <w:t>https://www.rnz.co.nz/news/national/469012/worries-over-teen-vaping-rise-in-new-plymouth</w:t>
        </w:r>
      </w:hyperlink>
      <w:r w:rsidRPr="005007A8">
        <w:rPr>
          <w:rFonts w:cstheme="minorHAnsi"/>
        </w:rPr>
        <w:t xml:space="preserve"> </w:t>
      </w:r>
    </w:p>
  </w:footnote>
  <w:footnote w:id="346">
    <w:p w14:paraId="0A85E466" w14:textId="77777777" w:rsidR="00853CF0" w:rsidRPr="005007A8" w:rsidRDefault="00853CF0" w:rsidP="00E20FF1">
      <w:pPr>
        <w:pStyle w:val="FootnoteText"/>
        <w:rPr>
          <w:rFonts w:asciiTheme="minorHAnsi" w:hAnsiTheme="minorHAnsi" w:cstheme="minorHAnsi"/>
          <w:lang w:val="mi-NZ"/>
        </w:rPr>
      </w:pPr>
      <w:r w:rsidRPr="005007A8">
        <w:rPr>
          <w:rStyle w:val="FootnoteReference"/>
          <w:rFonts w:asciiTheme="minorHAnsi" w:hAnsiTheme="minorHAnsi" w:cstheme="minorHAnsi"/>
        </w:rPr>
        <w:footnoteRef/>
      </w:r>
      <w:hyperlink r:id="rId217" w:history="1">
        <w:r w:rsidRPr="005007A8">
          <w:rPr>
            <w:rStyle w:val="Hyperlink"/>
            <w:rFonts w:asciiTheme="minorHAnsi" w:hAnsiTheme="minorHAnsi" w:cstheme="minorHAnsi"/>
          </w:rPr>
          <w:t>https://static1.squarespace.com/static/5bdbb75ccef37259122e59aa/t/5e7d50e5e1a6fc55dd1e6c8a/1585271016485/Youth19+Vaping+fact+sheet.pdf</w:t>
        </w:r>
      </w:hyperlink>
      <w:r w:rsidRPr="005007A8">
        <w:rPr>
          <w:rFonts w:asciiTheme="minorHAnsi" w:hAnsiTheme="minorHAnsi" w:cstheme="minorHAnsi"/>
        </w:rPr>
        <w:t xml:space="preserve"> </w:t>
      </w:r>
    </w:p>
  </w:footnote>
  <w:footnote w:id="347">
    <w:p w14:paraId="4D97C272" w14:textId="77777777" w:rsidR="00853CF0" w:rsidRPr="005007A8" w:rsidRDefault="00853CF0" w:rsidP="00E20FF1">
      <w:pPr>
        <w:pStyle w:val="FootnoteText"/>
        <w:rPr>
          <w:rFonts w:asciiTheme="minorHAnsi" w:hAnsiTheme="minorHAnsi" w:cstheme="minorHAnsi"/>
          <w:lang w:val="mi-NZ"/>
        </w:rPr>
      </w:pPr>
      <w:r w:rsidRPr="005007A8">
        <w:rPr>
          <w:rStyle w:val="FootnoteReference"/>
          <w:rFonts w:asciiTheme="minorHAnsi" w:hAnsiTheme="minorHAnsi" w:cstheme="minorHAnsi"/>
        </w:rPr>
        <w:footnoteRef/>
      </w:r>
      <w:r w:rsidRPr="005007A8">
        <w:rPr>
          <w:rFonts w:asciiTheme="minorHAnsi" w:hAnsiTheme="minorHAnsi" w:cstheme="minorHAnsi"/>
        </w:rPr>
        <w:t xml:space="preserve"> </w:t>
      </w:r>
      <w:r w:rsidRPr="005007A8">
        <w:rPr>
          <w:rFonts w:asciiTheme="minorHAnsi" w:hAnsiTheme="minorHAnsi" w:cstheme="minorHAnsi"/>
          <w:lang w:val="mi-NZ"/>
        </w:rPr>
        <w:t xml:space="preserve">A group of rangatahi from Wainuiomata in Wellington: </w:t>
      </w:r>
      <w:hyperlink r:id="rId218" w:history="1">
        <w:r w:rsidRPr="005007A8">
          <w:rPr>
            <w:rStyle w:val="Hyperlink"/>
            <w:rFonts w:asciiTheme="minorHAnsi" w:hAnsiTheme="minorHAnsi" w:cstheme="minorHAnsi"/>
            <w:lang w:val="mi-NZ"/>
          </w:rPr>
          <w:t>https://www.rph.org.nz/news-and-events/news-and-media-releases/2021-11-30-community-minded-youth-play-vital-role-to-achieve-smokefree-law-change/</w:t>
        </w:r>
      </w:hyperlink>
      <w:r w:rsidRPr="005007A8">
        <w:rPr>
          <w:rFonts w:asciiTheme="minorHAnsi" w:hAnsiTheme="minorHAnsi" w:cstheme="minorHAnsi"/>
          <w:lang w:val="mi-NZ"/>
        </w:rPr>
        <w:t xml:space="preserve"> </w:t>
      </w:r>
    </w:p>
  </w:footnote>
  <w:footnote w:id="348">
    <w:p w14:paraId="520B5B64" w14:textId="77777777" w:rsidR="00853CF0" w:rsidRPr="005007A8" w:rsidRDefault="00853CF0" w:rsidP="00E20FF1">
      <w:pPr>
        <w:spacing w:after="0" w:line="240" w:lineRule="auto"/>
        <w:rPr>
          <w:rFonts w:cstheme="minorHAnsi"/>
          <w:lang w:val="mi-NZ"/>
        </w:rPr>
      </w:pPr>
      <w:r w:rsidRPr="005007A8">
        <w:rPr>
          <w:rStyle w:val="FootnoteReference"/>
          <w:rFonts w:cstheme="minorHAnsi"/>
        </w:rPr>
        <w:footnoteRef/>
      </w:r>
      <w:r w:rsidRPr="005007A8">
        <w:rPr>
          <w:rFonts w:cstheme="minorHAnsi"/>
        </w:rPr>
        <w:t xml:space="preserve"> </w:t>
      </w:r>
      <w:hyperlink r:id="rId219" w:history="1">
        <w:r w:rsidRPr="005007A8">
          <w:rPr>
            <w:rStyle w:val="Hyperlink"/>
            <w:rFonts w:cstheme="minorHAnsi"/>
            <w:lang w:val="mi-NZ"/>
          </w:rPr>
          <w:t>https://www.parliament.nz/en/pb/petitions/document/PET_125221/petition-of-the-hashtags-require-licences-for-all-vape</w:t>
        </w:r>
      </w:hyperlink>
      <w:r w:rsidRPr="005007A8">
        <w:rPr>
          <w:rFonts w:cstheme="minorHAnsi"/>
          <w:lang w:val="mi-NZ"/>
        </w:rPr>
        <w:t xml:space="preserve"> </w:t>
      </w:r>
    </w:p>
  </w:footnote>
  <w:footnote w:id="349">
    <w:p w14:paraId="4F92617F" w14:textId="1AC0FCBB" w:rsidR="00853CF0" w:rsidRPr="00396054" w:rsidRDefault="00853CF0" w:rsidP="00E20FF1">
      <w:pPr>
        <w:spacing w:after="0" w:line="240" w:lineRule="auto"/>
        <w:rPr>
          <w:rFonts w:ascii="Verdana" w:hAnsi="Verdana"/>
          <w:color w:val="000000" w:themeColor="text1"/>
        </w:rPr>
      </w:pPr>
      <w:r w:rsidRPr="00396054">
        <w:rPr>
          <w:rStyle w:val="FootnoteReference"/>
          <w:rFonts w:ascii="Verdana" w:hAnsi="Verdana" w:cstheme="minorHAnsi"/>
        </w:rPr>
        <w:footnoteRef/>
      </w:r>
      <w:r w:rsidRPr="00396054">
        <w:rPr>
          <w:rFonts w:ascii="Verdana" w:hAnsi="Verdana" w:cstheme="minorHAnsi"/>
        </w:rPr>
        <w:t xml:space="preserve"> </w:t>
      </w:r>
      <w:hyperlink r:id="rId220" w:history="1">
        <w:r w:rsidRPr="00E16885">
          <w:rPr>
            <w:rFonts w:ascii="Verdana" w:hAnsi="Verdana" w:cstheme="minorHAnsi"/>
            <w:color w:val="25409A" w:themeColor="text2"/>
            <w:u w:val="single" w:color="094FD1"/>
          </w:rPr>
          <w:t>https://static1.squarespace.com/static/5bdbb75ccef37259122e59aa/t/5fbac2c9b41d97178886e285/1606075090004/Youth19+Sexual+and+Reproductive+Health+Report.pdf</w:t>
        </w:r>
      </w:hyperlink>
      <w:r w:rsidRPr="00E16885">
        <w:rPr>
          <w:rFonts w:ascii="Verdana" w:hAnsi="Verdana" w:cstheme="minorHAnsi"/>
          <w:color w:val="25409A" w:themeColor="text2"/>
          <w:u w:val="single" w:color="094FD1"/>
        </w:rPr>
        <w:t xml:space="preserve">; </w:t>
      </w:r>
      <w:r w:rsidRPr="00396054">
        <w:rPr>
          <w:rFonts w:ascii="Verdana" w:hAnsi="Verdana" w:cstheme="minorHAnsi"/>
          <w:lang w:val="mi-NZ"/>
        </w:rPr>
        <w:t xml:space="preserve">see also: </w:t>
      </w:r>
      <w:r>
        <w:fldChar w:fldCharType="begin"/>
      </w:r>
      <w:r>
        <w:instrText xml:space="preserve"> HYPERLINK "https://static1.squarespace.com/static/5bdbb75ccef37259122e59aa/t/60dd227e2226ae499706dd69/1625105031254/Youth19+Intersectionality+Report_FINAL_2021_print.pdf" </w:instrText>
      </w:r>
      <w:r>
        <w:fldChar w:fldCharType="separate"/>
      </w:r>
      <w:r w:rsidRPr="00396054">
        <w:rPr>
          <w:rStyle w:val="Hyperlink"/>
          <w:rFonts w:ascii="Verdana" w:hAnsi="Verdana" w:cstheme="minorHAnsi"/>
          <w:lang w:val="mi-NZ"/>
        </w:rPr>
        <w:t>https://static1.squarespace.com/static/5bdbb75ccef37259122e59aa/t/60dd227e2226ae499706dd69/1625105031254/Youth19+Intersectionality+Report_FINAL_2021_print.pdf</w:t>
      </w:r>
      <w:r>
        <w:rPr>
          <w:rStyle w:val="Hyperlink"/>
          <w:rFonts w:ascii="Verdana" w:hAnsi="Verdana" w:cstheme="minorHAnsi"/>
          <w:lang w:val="mi-NZ"/>
        </w:rPr>
        <w:fldChar w:fldCharType="end"/>
      </w:r>
      <w:r w:rsidRPr="00396054">
        <w:rPr>
          <w:rFonts w:ascii="Verdana" w:hAnsi="Verdana" w:cstheme="minorHAnsi"/>
          <w:lang w:val="mi-NZ"/>
        </w:rPr>
        <w:t xml:space="preserve"> ; </w:t>
      </w:r>
      <w:r w:rsidR="00396054">
        <w:rPr>
          <w:rFonts w:ascii="Verdana" w:hAnsi="Verdana" w:cstheme="minorHAnsi"/>
          <w:lang w:val="mi-NZ"/>
        </w:rPr>
        <w:t xml:space="preserve">K </w:t>
      </w:r>
      <w:r w:rsidRPr="00396054">
        <w:rPr>
          <w:rFonts w:ascii="Verdana" w:hAnsi="Verdana" w:cs="Segoe UI"/>
          <w:color w:val="000000" w:themeColor="text1"/>
          <w:lang w:val="mi-NZ"/>
        </w:rPr>
        <w:t>Southey</w:t>
      </w:r>
      <w:r w:rsidR="00396054">
        <w:rPr>
          <w:rFonts w:ascii="Verdana" w:hAnsi="Verdana" w:cs="Segoe UI"/>
          <w:color w:val="000000" w:themeColor="text1"/>
          <w:lang w:val="mi-NZ"/>
        </w:rPr>
        <w:t xml:space="preserve">, A </w:t>
      </w:r>
      <w:r w:rsidRPr="00396054">
        <w:rPr>
          <w:rFonts w:ascii="Verdana" w:hAnsi="Verdana" w:cs="Segoe UI"/>
          <w:color w:val="000000" w:themeColor="text1"/>
          <w:lang w:val="mi-NZ"/>
        </w:rPr>
        <w:t>Green</w:t>
      </w:r>
      <w:r w:rsidR="00396054">
        <w:rPr>
          <w:rFonts w:ascii="Verdana" w:hAnsi="Verdana" w:cs="Segoe UI"/>
          <w:color w:val="000000" w:themeColor="text1"/>
          <w:lang w:val="mi-NZ"/>
        </w:rPr>
        <w:t xml:space="preserve">, B </w:t>
      </w:r>
      <w:r w:rsidRPr="00396054">
        <w:rPr>
          <w:rFonts w:ascii="Verdana" w:hAnsi="Verdana" w:cs="Segoe UI"/>
          <w:color w:val="000000" w:themeColor="text1"/>
          <w:lang w:val="mi-NZ"/>
        </w:rPr>
        <w:t>Lawton</w:t>
      </w:r>
      <w:r w:rsidR="00396054">
        <w:rPr>
          <w:rFonts w:ascii="Verdana" w:hAnsi="Verdana" w:cs="Segoe UI"/>
          <w:color w:val="000000" w:themeColor="text1"/>
          <w:lang w:val="mi-NZ"/>
        </w:rPr>
        <w:t xml:space="preserve">, TO </w:t>
      </w:r>
      <w:r w:rsidRPr="00396054">
        <w:rPr>
          <w:rFonts w:ascii="Verdana" w:hAnsi="Verdana" w:cs="Segoe UI"/>
          <w:color w:val="000000" w:themeColor="text1"/>
          <w:lang w:val="mi-NZ"/>
        </w:rPr>
        <w:t>Matthews</w:t>
      </w:r>
      <w:r w:rsidR="00396054">
        <w:rPr>
          <w:rFonts w:ascii="Verdana" w:hAnsi="Verdana" w:cs="Segoe UI"/>
          <w:color w:val="000000" w:themeColor="text1"/>
          <w:lang w:val="mi-NZ"/>
        </w:rPr>
        <w:t xml:space="preserve">, J </w:t>
      </w:r>
      <w:r w:rsidRPr="00396054">
        <w:rPr>
          <w:rFonts w:ascii="Verdana" w:hAnsi="Verdana" w:cs="Segoe UI"/>
          <w:color w:val="000000" w:themeColor="text1"/>
          <w:lang w:val="mi-NZ"/>
        </w:rPr>
        <w:t>Tipene</w:t>
      </w:r>
      <w:r w:rsidR="00396054">
        <w:rPr>
          <w:rFonts w:ascii="Verdana" w:hAnsi="Verdana" w:cs="Segoe UI"/>
          <w:color w:val="000000" w:themeColor="text1"/>
          <w:lang w:val="mi-NZ"/>
        </w:rPr>
        <w:t xml:space="preserve"> &amp; R </w:t>
      </w:r>
      <w:r w:rsidRPr="00396054">
        <w:rPr>
          <w:rFonts w:ascii="Verdana" w:hAnsi="Verdana" w:cs="Segoe UI"/>
          <w:color w:val="000000" w:themeColor="text1"/>
          <w:lang w:val="mi-NZ"/>
        </w:rPr>
        <w:t xml:space="preserve">Laurence (2022) </w:t>
      </w:r>
      <w:r w:rsidRPr="00396054">
        <w:rPr>
          <w:rFonts w:ascii="Verdana" w:hAnsi="Verdana" w:cs="Segoe UI"/>
          <w:i/>
          <w:iCs/>
          <w:color w:val="000000" w:themeColor="text1"/>
          <w:lang w:val="mi-NZ"/>
        </w:rPr>
        <w:t>Te Kaha o te Rangatahi</w:t>
      </w:r>
      <w:r w:rsidRPr="00396054">
        <w:rPr>
          <w:rFonts w:ascii="Verdana" w:hAnsi="Verdana"/>
          <w:i/>
          <w:iCs/>
          <w:color w:val="000000" w:themeColor="text1"/>
        </w:rPr>
        <w:t xml:space="preserve"> - </w:t>
      </w:r>
      <w:r w:rsidRPr="00396054">
        <w:rPr>
          <w:rFonts w:ascii="Verdana" w:hAnsi="Verdana" w:cs="Segoe UI"/>
          <w:i/>
          <w:iCs/>
          <w:color w:val="000000" w:themeColor="text1"/>
          <w:lang w:val="mi-NZ"/>
        </w:rPr>
        <w:t>Rangatahi Access to Long-Acting Reversible Contraception in Counties Manukau</w:t>
      </w:r>
      <w:r w:rsidRPr="00396054">
        <w:rPr>
          <w:rFonts w:ascii="Verdana" w:hAnsi="Verdana" w:cs="Segoe UI"/>
          <w:color w:val="000000" w:themeColor="text1"/>
          <w:lang w:val="mi-NZ"/>
        </w:rPr>
        <w:t>.</w:t>
      </w:r>
    </w:p>
  </w:footnote>
  <w:footnote w:id="350">
    <w:p w14:paraId="3DB332E8" w14:textId="77777777" w:rsidR="00853CF0" w:rsidRPr="00396054" w:rsidRDefault="00853CF0" w:rsidP="00E20FF1">
      <w:pPr>
        <w:pStyle w:val="FootnoteText"/>
        <w:rPr>
          <w:rFonts w:ascii="Verdana" w:hAnsi="Verdana" w:cstheme="minorHAnsi"/>
          <w:lang w:val="mi-NZ"/>
        </w:rPr>
      </w:pPr>
      <w:r w:rsidRPr="00396054">
        <w:rPr>
          <w:rStyle w:val="FootnoteReference"/>
          <w:rFonts w:ascii="Verdana" w:hAnsi="Verdana" w:cstheme="minorHAnsi"/>
        </w:rPr>
        <w:footnoteRef/>
      </w:r>
      <w:r w:rsidRPr="00396054">
        <w:rPr>
          <w:rFonts w:ascii="Verdana" w:hAnsi="Verdana" w:cstheme="minorHAnsi"/>
        </w:rPr>
        <w:t xml:space="preserve"> </w:t>
      </w:r>
      <w:r w:rsidRPr="00396054">
        <w:rPr>
          <w:rFonts w:ascii="Verdana" w:hAnsi="Verdana" w:cstheme="minorHAnsi"/>
          <w:lang w:val="mi-NZ"/>
        </w:rPr>
        <w:t>Ibid.</w:t>
      </w:r>
    </w:p>
  </w:footnote>
  <w:footnote w:id="351">
    <w:p w14:paraId="5F2645BF" w14:textId="77777777" w:rsidR="00410FE2" w:rsidRDefault="00410FE2" w:rsidP="00410FE2">
      <w:pPr>
        <w:rPr>
          <w:rFonts w:cstheme="minorHAnsi"/>
          <w:lang w:val="en-NZ"/>
        </w:rPr>
      </w:pPr>
      <w:r>
        <w:rPr>
          <w:rStyle w:val="FootnoteReference"/>
        </w:rPr>
        <w:footnoteRef/>
      </w:r>
      <w:r>
        <w:t xml:space="preserve"> </w:t>
      </w:r>
      <w:r w:rsidRPr="00410FE2">
        <w:rPr>
          <w:lang w:val="mi-NZ"/>
        </w:rPr>
        <w:t xml:space="preserve">See </w:t>
      </w:r>
      <w:r w:rsidRPr="00410FE2">
        <w:rPr>
          <w:rFonts w:cstheme="minorHAnsi"/>
          <w:lang w:val="en-NZ"/>
        </w:rPr>
        <w:t>The sexual and reproductive health and rights of young people in Aotearoa New Zealand Thematic Report, submitted by New Zealand Family Planning.</w:t>
      </w:r>
    </w:p>
    <w:p w14:paraId="190AEBEB" w14:textId="5A4E8FC5" w:rsidR="00410FE2" w:rsidRPr="00410FE2" w:rsidRDefault="00410FE2">
      <w:pPr>
        <w:pStyle w:val="FootnoteText"/>
        <w:rPr>
          <w:lang w:val="mi-NZ"/>
        </w:rPr>
      </w:pPr>
    </w:p>
  </w:footnote>
  <w:footnote w:id="352">
    <w:p w14:paraId="0EF3105D" w14:textId="77777777" w:rsidR="00853CF0" w:rsidRPr="005007A8" w:rsidRDefault="00853CF0" w:rsidP="00E20FF1">
      <w:pPr>
        <w:pStyle w:val="FootnoteText"/>
        <w:rPr>
          <w:rFonts w:asciiTheme="minorHAnsi" w:hAnsiTheme="minorHAnsi" w:cstheme="minorHAnsi"/>
          <w:lang w:val="mi-NZ"/>
        </w:rPr>
      </w:pPr>
      <w:r w:rsidRPr="005007A8">
        <w:rPr>
          <w:rStyle w:val="FootnoteReference"/>
          <w:rFonts w:asciiTheme="minorHAnsi" w:hAnsiTheme="minorHAnsi" w:cstheme="minorHAnsi"/>
        </w:rPr>
        <w:footnoteRef/>
      </w:r>
      <w:r w:rsidRPr="005007A8">
        <w:rPr>
          <w:rFonts w:asciiTheme="minorHAnsi" w:hAnsiTheme="minorHAnsi" w:cstheme="minorHAnsi"/>
        </w:rPr>
        <w:t xml:space="preserve"> </w:t>
      </w:r>
      <w:r w:rsidRPr="005007A8">
        <w:rPr>
          <w:rFonts w:asciiTheme="minorHAnsi" w:hAnsiTheme="minorHAnsi" w:cstheme="minorHAnsi"/>
          <w:lang w:val="mi-NZ"/>
        </w:rPr>
        <w:t>A report by Save the Children includes modelling show</w:t>
      </w:r>
      <w:r>
        <w:rPr>
          <w:rFonts w:asciiTheme="minorHAnsi" w:hAnsiTheme="minorHAnsi" w:cstheme="minorHAnsi"/>
          <w:lang w:val="mi-NZ"/>
        </w:rPr>
        <w:t>ing</w:t>
      </w:r>
      <w:r w:rsidRPr="005007A8">
        <w:rPr>
          <w:rFonts w:asciiTheme="minorHAnsi" w:hAnsiTheme="minorHAnsi" w:cstheme="minorHAnsi"/>
          <w:lang w:val="mi-NZ"/>
        </w:rPr>
        <w:t xml:space="preserve"> that children born from 2020 will experience the climate crisis up to seven times more significantly than their grandparents</w:t>
      </w:r>
      <w:r>
        <w:rPr>
          <w:rFonts w:asciiTheme="minorHAnsi" w:hAnsiTheme="minorHAnsi" w:cstheme="minorHAnsi"/>
          <w:lang w:val="mi-NZ"/>
        </w:rPr>
        <w:t>’</w:t>
      </w:r>
      <w:r w:rsidRPr="005007A8">
        <w:rPr>
          <w:rFonts w:asciiTheme="minorHAnsi" w:hAnsiTheme="minorHAnsi" w:cstheme="minorHAnsi"/>
          <w:lang w:val="mi-NZ"/>
        </w:rPr>
        <w:t xml:space="preserve"> generation, with increased crop failures, droughts, heatwaves, wildfires and </w:t>
      </w:r>
      <w:r w:rsidRPr="00E16885">
        <w:rPr>
          <w:rFonts w:asciiTheme="minorHAnsi" w:hAnsiTheme="minorHAnsi" w:cstheme="minorHAnsi"/>
          <w:color w:val="25409A" w:themeColor="text2"/>
          <w:lang w:val="mi-NZ"/>
        </w:rPr>
        <w:t xml:space="preserve">flooding events, in addition to other impacts of climte change such as sea level rise: </w:t>
      </w:r>
      <w:hyperlink r:id="rId221" w:history="1">
        <w:r w:rsidRPr="00E16885">
          <w:rPr>
            <w:rFonts w:asciiTheme="minorHAnsi" w:eastAsiaTheme="minorHAnsi" w:hAnsiTheme="minorHAnsi" w:cstheme="minorHAnsi"/>
            <w:color w:val="25409A" w:themeColor="text2"/>
            <w:u w:val="single" w:color="094FD1"/>
            <w:lang w:val="en-GB" w:eastAsia="en-US"/>
          </w:rPr>
          <w:t>https://www.savethechildren.net/born-climate-crisis</w:t>
        </w:r>
      </w:hyperlink>
    </w:p>
  </w:footnote>
  <w:footnote w:id="353">
    <w:p w14:paraId="1DC77416" w14:textId="42108992" w:rsidR="00853CF0" w:rsidRPr="00DA0E20" w:rsidRDefault="00853CF0" w:rsidP="00E20FF1">
      <w:pPr>
        <w:spacing w:after="0" w:line="240" w:lineRule="auto"/>
        <w:rPr>
          <w:rFonts w:cstheme="minorHAnsi"/>
          <w:lang w:val="mi-NZ"/>
        </w:rPr>
      </w:pPr>
      <w:r>
        <w:rPr>
          <w:rStyle w:val="FootnoteReference"/>
        </w:rPr>
        <w:footnoteRef/>
      </w:r>
      <w:r>
        <w:t xml:space="preserve"> </w:t>
      </w:r>
      <w:r w:rsidR="00DA0E20">
        <w:t xml:space="preserve">See </w:t>
      </w:r>
      <w:r w:rsidR="00DA0E20" w:rsidRPr="00C96DFF">
        <w:rPr>
          <w:rFonts w:cstheme="minorHAnsi"/>
          <w:lang w:val="mi-NZ"/>
        </w:rPr>
        <w:t xml:space="preserve">Children’s Rights in </w:t>
      </w:r>
      <w:r w:rsidR="00683664">
        <w:rPr>
          <w:rFonts w:cstheme="minorHAnsi"/>
          <w:lang w:val="mi-NZ"/>
        </w:rPr>
        <w:t>a Changing Climate</w:t>
      </w:r>
      <w:r w:rsidR="00DA0E20" w:rsidRPr="00C96DFF">
        <w:rPr>
          <w:rFonts w:cstheme="minorHAnsi"/>
          <w:lang w:val="mi-NZ"/>
        </w:rPr>
        <w:t xml:space="preserve"> Thematic Report</w:t>
      </w:r>
      <w:r w:rsidR="00DA0E20">
        <w:rPr>
          <w:rFonts w:cstheme="minorHAnsi"/>
          <w:lang w:val="mi-NZ"/>
        </w:rPr>
        <w:t>, submitted by OraTaiao: NZ Climate and Health Council.</w:t>
      </w:r>
    </w:p>
  </w:footnote>
  <w:footnote w:id="354">
    <w:p w14:paraId="07BD4198" w14:textId="77777777" w:rsidR="00853CF0" w:rsidRPr="00177A26" w:rsidRDefault="00853CF0" w:rsidP="00E20FF1">
      <w:pPr>
        <w:pStyle w:val="FootnoteText"/>
        <w:rPr>
          <w:rFonts w:asciiTheme="minorHAnsi" w:hAnsiTheme="minorHAnsi" w:cstheme="minorHAnsi"/>
          <w:lang w:val="mi-NZ"/>
        </w:rPr>
      </w:pPr>
      <w:r w:rsidRPr="00177A26">
        <w:rPr>
          <w:rStyle w:val="FootnoteReference"/>
          <w:rFonts w:asciiTheme="minorHAnsi" w:hAnsiTheme="minorHAnsi" w:cstheme="minorHAnsi"/>
        </w:rPr>
        <w:footnoteRef/>
      </w:r>
      <w:r w:rsidRPr="00177A26">
        <w:rPr>
          <w:rFonts w:asciiTheme="minorHAnsi" w:hAnsiTheme="minorHAnsi" w:cstheme="minorHAnsi"/>
        </w:rPr>
        <w:t xml:space="preserve"> </w:t>
      </w:r>
      <w:r w:rsidRPr="00177A26">
        <w:rPr>
          <w:rFonts w:asciiTheme="minorHAnsi" w:hAnsiTheme="minorHAnsi" w:cstheme="minorHAnsi"/>
          <w:lang w:val="mi-NZ"/>
        </w:rPr>
        <w:t xml:space="preserve">Government </w:t>
      </w:r>
      <w:r>
        <w:rPr>
          <w:rFonts w:asciiTheme="minorHAnsi" w:hAnsiTheme="minorHAnsi" w:cstheme="minorHAnsi"/>
          <w:lang w:val="mi-NZ"/>
        </w:rPr>
        <w:t>R</w:t>
      </w:r>
      <w:r w:rsidRPr="00177A26">
        <w:rPr>
          <w:rFonts w:asciiTheme="minorHAnsi" w:hAnsiTheme="minorHAnsi" w:cstheme="minorHAnsi"/>
          <w:lang w:val="mi-NZ"/>
        </w:rPr>
        <w:t>eport, para 207.</w:t>
      </w:r>
    </w:p>
  </w:footnote>
  <w:footnote w:id="355">
    <w:p w14:paraId="028A1048" w14:textId="77777777" w:rsidR="00853CF0" w:rsidRPr="005007A8" w:rsidRDefault="00853CF0" w:rsidP="00E20FF1">
      <w:pPr>
        <w:spacing w:after="0" w:line="240" w:lineRule="auto"/>
        <w:rPr>
          <w:rFonts w:cstheme="minorHAnsi"/>
          <w:lang w:val="mi-NZ"/>
        </w:rPr>
      </w:pPr>
      <w:r w:rsidRPr="005007A8">
        <w:rPr>
          <w:rStyle w:val="FootnoteReference"/>
          <w:rFonts w:cstheme="minorHAnsi"/>
        </w:rPr>
        <w:footnoteRef/>
      </w:r>
      <w:r w:rsidRPr="005007A8">
        <w:rPr>
          <w:rFonts w:cstheme="minorHAnsi"/>
        </w:rPr>
        <w:t xml:space="preserve"> </w:t>
      </w:r>
      <w:r w:rsidRPr="005007A8">
        <w:rPr>
          <w:rFonts w:cstheme="minorHAnsi"/>
          <w:lang w:val="mi-NZ"/>
        </w:rPr>
        <w:t>‘</w:t>
      </w:r>
      <w:r>
        <w:fldChar w:fldCharType="begin"/>
      </w:r>
      <w:r>
        <w:instrText xml:space="preserve"> HYPERLINK "https://www.youtube.com/watch?v=GWeG_UEMf-E" </w:instrText>
      </w:r>
      <w:r>
        <w:fldChar w:fldCharType="separate"/>
      </w:r>
      <w:r w:rsidRPr="005007A8">
        <w:rPr>
          <w:rStyle w:val="Hyperlink"/>
          <w:rFonts w:eastAsiaTheme="majorEastAsia" w:cstheme="minorHAnsi"/>
          <w:lang w:val="mi-NZ"/>
        </w:rPr>
        <w:t>We ask to be heard’</w:t>
      </w:r>
      <w:r>
        <w:rPr>
          <w:rStyle w:val="Hyperlink"/>
          <w:rFonts w:eastAsiaTheme="majorEastAsia" w:cstheme="minorHAnsi"/>
          <w:lang w:val="mi-NZ"/>
        </w:rPr>
        <w:fldChar w:fldCharType="end"/>
      </w:r>
      <w:r w:rsidRPr="005007A8">
        <w:rPr>
          <w:rFonts w:cstheme="minorHAnsi"/>
          <w:lang w:val="mi-NZ"/>
        </w:rPr>
        <w:t xml:space="preserve"> is a short film about Next Generation Conversation, a coalition of climate activists aged between 10-14 years in Ōtautahi-Christchurch, and how they are influencing the climate change journey. The group submitted on the Christchurch City Council’s Coastal Hazard Adaptation framework and the film follows the process and eventual outcome, which saw the children’s concerns and suggestions about climate change education and managed retreat influence the Council’s decision-making.</w:t>
      </w:r>
    </w:p>
  </w:footnote>
  <w:footnote w:id="356">
    <w:p w14:paraId="059F4625" w14:textId="77777777" w:rsidR="00853CF0" w:rsidRPr="005007A8" w:rsidRDefault="00853CF0" w:rsidP="00E20FF1">
      <w:pPr>
        <w:spacing w:after="0" w:line="240" w:lineRule="auto"/>
        <w:rPr>
          <w:rFonts w:cstheme="minorHAnsi"/>
          <w:lang w:val="mi-NZ"/>
        </w:rPr>
      </w:pPr>
      <w:r w:rsidRPr="005007A8">
        <w:rPr>
          <w:rStyle w:val="FootnoteReference"/>
          <w:rFonts w:cstheme="minorHAnsi"/>
        </w:rPr>
        <w:footnoteRef/>
      </w:r>
      <w:r w:rsidRPr="005007A8">
        <w:rPr>
          <w:rFonts w:cstheme="minorHAnsi"/>
        </w:rPr>
        <w:t xml:space="preserve"> </w:t>
      </w:r>
      <w:hyperlink r:id="rId222" w:history="1">
        <w:r w:rsidRPr="005007A8">
          <w:rPr>
            <w:rStyle w:val="Hyperlink"/>
            <w:rFonts w:eastAsiaTheme="majorEastAsia" w:cstheme="minorHAnsi"/>
            <w:lang w:val="mi-NZ"/>
          </w:rPr>
          <w:t>https://www.stuff.co.nz/environment/climate-news/129047835/teaching-climate-hope-not-despair</w:t>
        </w:r>
      </w:hyperlink>
    </w:p>
  </w:footnote>
  <w:footnote w:id="357">
    <w:p w14:paraId="4A529E75" w14:textId="77777777" w:rsidR="00853CF0" w:rsidRPr="005007A8" w:rsidRDefault="00853CF0" w:rsidP="00E20FF1">
      <w:pPr>
        <w:pStyle w:val="FootnoteText"/>
        <w:rPr>
          <w:rFonts w:asciiTheme="minorHAnsi" w:hAnsiTheme="minorHAnsi" w:cstheme="minorHAnsi"/>
          <w:lang w:val="mi-NZ"/>
        </w:rPr>
      </w:pPr>
      <w:r w:rsidRPr="005007A8">
        <w:rPr>
          <w:rStyle w:val="FootnoteReference"/>
          <w:rFonts w:asciiTheme="minorHAnsi" w:hAnsiTheme="minorHAnsi" w:cstheme="minorHAnsi"/>
        </w:rPr>
        <w:footnoteRef/>
      </w:r>
      <w:r w:rsidRPr="005007A8">
        <w:rPr>
          <w:rFonts w:asciiTheme="minorHAnsi" w:hAnsiTheme="minorHAnsi" w:cstheme="minorHAnsi"/>
        </w:rPr>
        <w:t xml:space="preserve"> </w:t>
      </w:r>
      <w:r w:rsidRPr="005007A8">
        <w:rPr>
          <w:rFonts w:asciiTheme="minorHAnsi" w:hAnsiTheme="minorHAnsi" w:cstheme="minorHAnsi"/>
          <w:color w:val="000000"/>
        </w:rPr>
        <w:t>On 27 July</w:t>
      </w:r>
      <w:r>
        <w:rPr>
          <w:rFonts w:asciiTheme="minorHAnsi" w:hAnsiTheme="minorHAnsi" w:cstheme="minorHAnsi"/>
          <w:color w:val="000000"/>
        </w:rPr>
        <w:t xml:space="preserve"> 2022</w:t>
      </w:r>
      <w:r w:rsidRPr="005007A8">
        <w:rPr>
          <w:rFonts w:asciiTheme="minorHAnsi" w:hAnsiTheme="minorHAnsi" w:cstheme="minorHAnsi"/>
          <w:color w:val="000000"/>
        </w:rPr>
        <w:t xml:space="preserve">, the Climate Change Commission advised </w:t>
      </w:r>
      <w:r>
        <w:rPr>
          <w:rFonts w:asciiTheme="minorHAnsi" w:hAnsiTheme="minorHAnsi" w:cstheme="minorHAnsi"/>
          <w:color w:val="000000"/>
        </w:rPr>
        <w:t>G</w:t>
      </w:r>
      <w:r w:rsidRPr="005007A8">
        <w:rPr>
          <w:rFonts w:asciiTheme="minorHAnsi" w:hAnsiTheme="minorHAnsi" w:cstheme="minorHAnsi"/>
          <w:color w:val="000000"/>
        </w:rPr>
        <w:t>overnment, in its advice on the ETS scheme, that there is a</w:t>
      </w:r>
      <w:r w:rsidRPr="005007A8">
        <w:rPr>
          <w:rFonts w:asciiTheme="minorHAnsi" w:hAnsiTheme="minorHAnsi" w:cstheme="minorHAnsi"/>
          <w:color w:val="201F1E"/>
          <w:shd w:val="clear" w:color="auto" w:fill="FFFFFF"/>
        </w:rPr>
        <w:t xml:space="preserve"> risk not enough is being done to drive down gross emissions, putting </w:t>
      </w:r>
      <w:r>
        <w:rPr>
          <w:rFonts w:asciiTheme="minorHAnsi" w:hAnsiTheme="minorHAnsi" w:cstheme="minorHAnsi"/>
          <w:color w:val="201F1E"/>
          <w:shd w:val="clear" w:color="auto" w:fill="FFFFFF"/>
        </w:rPr>
        <w:t>Aotearoa</w:t>
      </w:r>
      <w:r w:rsidRPr="005007A8">
        <w:rPr>
          <w:rFonts w:asciiTheme="minorHAnsi" w:hAnsiTheme="minorHAnsi" w:cstheme="minorHAnsi"/>
          <w:color w:val="201F1E"/>
          <w:shd w:val="clear" w:color="auto" w:fill="FFFFFF"/>
        </w:rPr>
        <w:t xml:space="preserve"> at a comparative </w:t>
      </w:r>
      <w:proofErr w:type="gramStart"/>
      <w:r w:rsidRPr="005007A8">
        <w:rPr>
          <w:rFonts w:asciiTheme="minorHAnsi" w:hAnsiTheme="minorHAnsi" w:cstheme="minorHAnsi"/>
          <w:color w:val="201F1E"/>
          <w:shd w:val="clear" w:color="auto" w:fill="FFFFFF"/>
        </w:rPr>
        <w:t>disadvantage</w:t>
      </w:r>
      <w:proofErr w:type="gramEnd"/>
      <w:r w:rsidRPr="005007A8">
        <w:rPr>
          <w:rFonts w:asciiTheme="minorHAnsi" w:hAnsiTheme="minorHAnsi" w:cstheme="minorHAnsi"/>
          <w:color w:val="201F1E"/>
          <w:shd w:val="clear" w:color="auto" w:fill="FFFFFF"/>
        </w:rPr>
        <w:t xml:space="preserve"> and p</w:t>
      </w:r>
      <w:r>
        <w:rPr>
          <w:rFonts w:asciiTheme="minorHAnsi" w:hAnsiTheme="minorHAnsi" w:cstheme="minorHAnsi"/>
          <w:color w:val="201F1E"/>
          <w:shd w:val="clear" w:color="auto" w:fill="FFFFFF"/>
        </w:rPr>
        <w:t>lac</w:t>
      </w:r>
      <w:r w:rsidRPr="005007A8">
        <w:rPr>
          <w:rFonts w:asciiTheme="minorHAnsi" w:hAnsiTheme="minorHAnsi" w:cstheme="minorHAnsi"/>
          <w:color w:val="201F1E"/>
          <w:shd w:val="clear" w:color="auto" w:fill="FFFFFF"/>
        </w:rPr>
        <w:t>ing costs onto future generations</w:t>
      </w:r>
      <w:r>
        <w:rPr>
          <w:rFonts w:asciiTheme="minorHAnsi" w:hAnsiTheme="minorHAnsi" w:cstheme="minorHAnsi"/>
          <w:color w:val="201F1E"/>
          <w:shd w:val="clear" w:color="auto" w:fill="FFFFFF"/>
        </w:rPr>
        <w:t xml:space="preserve">. </w:t>
      </w:r>
      <w:proofErr w:type="spellStart"/>
      <w:r>
        <w:rPr>
          <w:rFonts w:asciiTheme="minorHAnsi" w:hAnsiTheme="minorHAnsi" w:cstheme="minorHAnsi"/>
          <w:color w:val="201F1E"/>
          <w:shd w:val="clear" w:color="auto" w:fill="FFFFFF"/>
        </w:rPr>
        <w:t>Te</w:t>
      </w:r>
      <w:proofErr w:type="spellEnd"/>
      <w:r w:rsidRPr="005007A8">
        <w:rPr>
          <w:rFonts w:asciiTheme="minorHAnsi" w:hAnsiTheme="minorHAnsi" w:cstheme="minorHAnsi"/>
          <w:color w:val="201F1E"/>
          <w:shd w:val="clear" w:color="auto" w:fill="FFFFFF"/>
        </w:rPr>
        <w:t xml:space="preserve"> </w:t>
      </w:r>
      <w:proofErr w:type="spellStart"/>
      <w:r w:rsidRPr="005007A8">
        <w:rPr>
          <w:rFonts w:asciiTheme="minorHAnsi" w:hAnsiTheme="minorHAnsi" w:cstheme="minorHAnsi"/>
          <w:color w:val="201F1E"/>
          <w:shd w:val="clear" w:color="auto" w:fill="FFFFFF"/>
        </w:rPr>
        <w:t>Tiriti</w:t>
      </w:r>
      <w:proofErr w:type="spellEnd"/>
      <w:r w:rsidRPr="005007A8">
        <w:rPr>
          <w:rFonts w:asciiTheme="minorHAnsi" w:hAnsiTheme="minorHAnsi" w:cstheme="minorHAnsi"/>
          <w:color w:val="201F1E"/>
          <w:shd w:val="clear" w:color="auto" w:fill="FFFFFF"/>
        </w:rPr>
        <w:t xml:space="preserve"> o Waitangi obligations and implications are </w:t>
      </w:r>
      <w:r>
        <w:rPr>
          <w:rFonts w:asciiTheme="minorHAnsi" w:hAnsiTheme="minorHAnsi" w:cstheme="minorHAnsi"/>
          <w:color w:val="201F1E"/>
          <w:shd w:val="clear" w:color="auto" w:fill="FFFFFF"/>
        </w:rPr>
        <w:t xml:space="preserve">also </w:t>
      </w:r>
      <w:r w:rsidRPr="005007A8">
        <w:rPr>
          <w:rFonts w:asciiTheme="minorHAnsi" w:hAnsiTheme="minorHAnsi" w:cstheme="minorHAnsi"/>
          <w:color w:val="201F1E"/>
          <w:shd w:val="clear" w:color="auto" w:fill="FFFFFF"/>
        </w:rPr>
        <w:t>unaddressed</w:t>
      </w:r>
      <w:r>
        <w:rPr>
          <w:rFonts w:asciiTheme="minorHAnsi" w:hAnsiTheme="minorHAnsi" w:cstheme="minorHAnsi"/>
          <w:color w:val="201F1E"/>
          <w:shd w:val="clear" w:color="auto" w:fill="FFFFFF"/>
        </w:rPr>
        <w:t>:</w:t>
      </w:r>
      <w:r w:rsidRPr="005007A8">
        <w:rPr>
          <w:rFonts w:asciiTheme="minorHAnsi" w:hAnsiTheme="minorHAnsi" w:cstheme="minorHAnsi"/>
        </w:rPr>
        <w:t xml:space="preserve"> </w:t>
      </w:r>
      <w:hyperlink r:id="rId223" w:history="1">
        <w:r w:rsidRPr="00E16885">
          <w:rPr>
            <w:rStyle w:val="Hyperlink"/>
            <w:rFonts w:asciiTheme="minorHAnsi" w:eastAsiaTheme="majorEastAsia" w:hAnsiTheme="minorHAnsi" w:cstheme="minorHAnsi"/>
            <w:color w:val="25409A" w:themeColor="text2"/>
            <w:shd w:val="clear" w:color="auto" w:fill="FFFFFF"/>
          </w:rPr>
          <w:t>https://www.climatecommission.govt.nz/our-work/advice-to-government-topic/nz-ets/our-advice-on-the-nz-ets/nz-ets-unit-limits-and-price-control-settings-for-2023-2027</w:t>
        </w:r>
      </w:hyperlink>
      <w:r w:rsidRPr="00E16885">
        <w:rPr>
          <w:rFonts w:asciiTheme="minorHAnsi" w:hAnsiTheme="minorHAnsi" w:cstheme="minorHAnsi"/>
          <w:color w:val="25409A" w:themeColor="text2"/>
          <w:shd w:val="clear" w:color="auto" w:fill="FFFFFF"/>
        </w:rPr>
        <w:t> </w:t>
      </w:r>
    </w:p>
  </w:footnote>
  <w:footnote w:id="358">
    <w:p w14:paraId="5E95D4FF" w14:textId="77777777" w:rsidR="00853CF0" w:rsidRPr="005007A8" w:rsidRDefault="00853CF0" w:rsidP="00E20FF1">
      <w:pPr>
        <w:pStyle w:val="FootnoteText"/>
        <w:rPr>
          <w:rFonts w:asciiTheme="minorHAnsi" w:hAnsiTheme="minorHAnsi" w:cstheme="minorHAnsi"/>
          <w:lang w:val="mi-NZ"/>
        </w:rPr>
      </w:pPr>
      <w:r w:rsidRPr="005007A8">
        <w:rPr>
          <w:rStyle w:val="FootnoteReference"/>
          <w:rFonts w:asciiTheme="minorHAnsi" w:hAnsiTheme="minorHAnsi" w:cstheme="minorHAnsi"/>
        </w:rPr>
        <w:footnoteRef/>
      </w:r>
      <w:r w:rsidRPr="005007A8">
        <w:rPr>
          <w:rFonts w:asciiTheme="minorHAnsi" w:hAnsiTheme="minorHAnsi" w:cstheme="minorHAnsi"/>
        </w:rPr>
        <w:t xml:space="preserve"> </w:t>
      </w:r>
      <w:r>
        <w:rPr>
          <w:rFonts w:asciiTheme="minorHAnsi" w:hAnsiTheme="minorHAnsi" w:cstheme="minorHAnsi"/>
          <w:color w:val="000000"/>
        </w:rPr>
        <w:t>G</w:t>
      </w:r>
      <w:r w:rsidRPr="005007A8">
        <w:rPr>
          <w:rFonts w:asciiTheme="minorHAnsi" w:hAnsiTheme="minorHAnsi" w:cstheme="minorHAnsi"/>
          <w:color w:val="000000"/>
        </w:rPr>
        <w:t xml:space="preserve">overnment is currently at risk of failing to meet its own target </w:t>
      </w:r>
      <w:r w:rsidRPr="005007A8">
        <w:rPr>
          <w:rFonts w:asciiTheme="minorHAnsi" w:hAnsiTheme="minorHAnsi" w:cstheme="minorHAnsi"/>
          <w:color w:val="201F1E"/>
        </w:rPr>
        <w:t>of a carbon neutral government sector by 2025 due to the inadequate speed of action on this front</w:t>
      </w:r>
      <w:r>
        <w:rPr>
          <w:rFonts w:asciiTheme="minorHAnsi" w:hAnsiTheme="minorHAnsi" w:cstheme="minorHAnsi"/>
          <w:color w:val="201F1E"/>
        </w:rPr>
        <w:t>:</w:t>
      </w:r>
      <w:r w:rsidRPr="005007A8">
        <w:rPr>
          <w:rFonts w:asciiTheme="minorHAnsi" w:hAnsiTheme="minorHAnsi" w:cstheme="minorHAnsi"/>
        </w:rPr>
        <w:t xml:space="preserve"> </w:t>
      </w:r>
      <w:hyperlink r:id="rId224" w:history="1">
        <w:r w:rsidRPr="00E16885">
          <w:rPr>
            <w:rStyle w:val="Hyperlink"/>
            <w:rFonts w:asciiTheme="minorHAnsi" w:eastAsiaTheme="majorEastAsia" w:hAnsiTheme="minorHAnsi" w:cstheme="minorHAnsi"/>
            <w:color w:val="25409A" w:themeColor="text2"/>
          </w:rPr>
          <w:t>https://350.org.nz/governments-increase-to-decarbonisation-fund-a-disappointment/</w:t>
        </w:r>
      </w:hyperlink>
    </w:p>
  </w:footnote>
  <w:footnote w:id="359">
    <w:p w14:paraId="351917C6" w14:textId="01A7F525" w:rsidR="00853CF0" w:rsidRPr="0059405B" w:rsidRDefault="00853CF0" w:rsidP="00E20FF1">
      <w:pPr>
        <w:pStyle w:val="FootnoteText"/>
        <w:rPr>
          <w:rFonts w:asciiTheme="minorHAnsi" w:hAnsiTheme="minorHAnsi" w:cstheme="minorHAnsi"/>
          <w:lang w:val="mi-NZ"/>
        </w:rPr>
      </w:pPr>
      <w:r w:rsidRPr="005007A8">
        <w:rPr>
          <w:rStyle w:val="FootnoteReference"/>
          <w:rFonts w:asciiTheme="minorHAnsi" w:hAnsiTheme="minorHAnsi" w:cstheme="minorHAnsi"/>
        </w:rPr>
        <w:footnoteRef/>
      </w:r>
      <w:r w:rsidRPr="005007A8">
        <w:rPr>
          <w:rFonts w:asciiTheme="minorHAnsi" w:hAnsiTheme="minorHAnsi" w:cstheme="minorHAnsi"/>
        </w:rPr>
        <w:t xml:space="preserve"> </w:t>
      </w:r>
      <w:r w:rsidRPr="0059405B">
        <w:rPr>
          <w:rFonts w:asciiTheme="minorHAnsi" w:hAnsiTheme="minorHAnsi" w:cstheme="minorHAnsi"/>
          <w:lang w:val="mi-NZ"/>
        </w:rPr>
        <w:t xml:space="preserve">See </w:t>
      </w:r>
      <w:r w:rsidR="0059405B" w:rsidRPr="0059405B">
        <w:rPr>
          <w:rFonts w:asciiTheme="minorHAnsi" w:hAnsiTheme="minorHAnsi" w:cstheme="minorHAnsi"/>
          <w:lang w:val="mi-NZ"/>
        </w:rPr>
        <w:t>Children’s Rights in a Changing Climate Thematic Report</w:t>
      </w:r>
      <w:r w:rsidRPr="0059405B">
        <w:rPr>
          <w:rFonts w:asciiTheme="minorHAnsi" w:hAnsiTheme="minorHAnsi" w:cstheme="minorHAnsi"/>
          <w:lang w:val="mi-NZ"/>
        </w:rPr>
        <w:t>.</w:t>
      </w:r>
    </w:p>
  </w:footnote>
  <w:footnote w:id="360">
    <w:p w14:paraId="1EB1D84E" w14:textId="77777777" w:rsidR="00853CF0" w:rsidRPr="00177A26" w:rsidRDefault="00853CF0" w:rsidP="00E20FF1">
      <w:pPr>
        <w:pStyle w:val="FootnoteText"/>
        <w:rPr>
          <w:rFonts w:asciiTheme="minorHAnsi" w:hAnsiTheme="minorHAnsi" w:cstheme="minorHAnsi"/>
          <w:lang w:val="mi-NZ"/>
        </w:rPr>
      </w:pPr>
      <w:r w:rsidRPr="00177A26">
        <w:rPr>
          <w:rStyle w:val="FootnoteReference"/>
          <w:rFonts w:asciiTheme="minorHAnsi" w:hAnsiTheme="minorHAnsi" w:cstheme="minorHAnsi"/>
        </w:rPr>
        <w:footnoteRef/>
      </w:r>
      <w:r w:rsidRPr="00177A26">
        <w:rPr>
          <w:rFonts w:asciiTheme="minorHAnsi" w:hAnsiTheme="minorHAnsi" w:cstheme="minorHAnsi"/>
        </w:rPr>
        <w:t xml:space="preserve"> </w:t>
      </w:r>
      <w:r w:rsidRPr="00177A26">
        <w:rPr>
          <w:rFonts w:asciiTheme="minorHAnsi" w:hAnsiTheme="minorHAnsi" w:cstheme="minorHAnsi"/>
          <w:color w:val="000000"/>
        </w:rPr>
        <w:t>Currently</w:t>
      </w:r>
      <w:r>
        <w:rPr>
          <w:rFonts w:asciiTheme="minorHAnsi" w:hAnsiTheme="minorHAnsi" w:cstheme="minorHAnsi"/>
          <w:color w:val="000000"/>
        </w:rPr>
        <w:t>,</w:t>
      </w:r>
      <w:r w:rsidRPr="00177A26">
        <w:rPr>
          <w:rFonts w:asciiTheme="minorHAnsi" w:hAnsiTheme="minorHAnsi" w:cstheme="minorHAnsi"/>
          <w:color w:val="000000"/>
        </w:rPr>
        <w:t xml:space="preserve"> there is no comprehensive Climate Change Education strategy for all ages and stages of education</w:t>
      </w:r>
      <w:r>
        <w:rPr>
          <w:rFonts w:asciiTheme="minorHAnsi" w:hAnsiTheme="minorHAnsi" w:cstheme="minorHAnsi"/>
          <w:color w:val="000000"/>
        </w:rPr>
        <w:t>; s</w:t>
      </w:r>
      <w:r w:rsidRPr="00177A26">
        <w:rPr>
          <w:rFonts w:asciiTheme="minorHAnsi" w:hAnsiTheme="minorHAnsi" w:cstheme="minorHAnsi"/>
          <w:color w:val="000000"/>
        </w:rPr>
        <w:t xml:space="preserve">ee the NZEI </w:t>
      </w:r>
      <w:proofErr w:type="spellStart"/>
      <w:r w:rsidRPr="00177A26">
        <w:rPr>
          <w:rFonts w:asciiTheme="minorHAnsi" w:hAnsiTheme="minorHAnsi" w:cstheme="minorHAnsi"/>
          <w:color w:val="000000"/>
        </w:rPr>
        <w:t>Te</w:t>
      </w:r>
      <w:proofErr w:type="spellEnd"/>
      <w:r w:rsidRPr="00177A26">
        <w:rPr>
          <w:rFonts w:asciiTheme="minorHAnsi" w:hAnsiTheme="minorHAnsi" w:cstheme="minorHAnsi"/>
          <w:color w:val="000000"/>
        </w:rPr>
        <w:t xml:space="preserve"> </w:t>
      </w:r>
      <w:proofErr w:type="spellStart"/>
      <w:r w:rsidRPr="00177A26">
        <w:rPr>
          <w:rFonts w:asciiTheme="minorHAnsi" w:hAnsiTheme="minorHAnsi" w:cstheme="minorHAnsi"/>
          <w:color w:val="000000"/>
        </w:rPr>
        <w:t>Riu</w:t>
      </w:r>
      <w:proofErr w:type="spellEnd"/>
      <w:r w:rsidRPr="00177A26">
        <w:rPr>
          <w:rFonts w:asciiTheme="minorHAnsi" w:hAnsiTheme="minorHAnsi" w:cstheme="minorHAnsi"/>
          <w:color w:val="000000"/>
        </w:rPr>
        <w:t xml:space="preserve"> </w:t>
      </w:r>
      <w:proofErr w:type="spellStart"/>
      <w:r w:rsidRPr="00177A26">
        <w:rPr>
          <w:rFonts w:asciiTheme="minorHAnsi" w:hAnsiTheme="minorHAnsi" w:cstheme="minorHAnsi"/>
          <w:color w:val="000000"/>
        </w:rPr>
        <w:t>Roa</w:t>
      </w:r>
      <w:proofErr w:type="spellEnd"/>
      <w:r w:rsidRPr="00177A26">
        <w:rPr>
          <w:rFonts w:asciiTheme="minorHAnsi" w:hAnsiTheme="minorHAnsi" w:cstheme="minorHAnsi"/>
          <w:color w:val="000000"/>
        </w:rPr>
        <w:t xml:space="preserve"> submission to the draft Emissions Reduction Plan consultation: </w:t>
      </w:r>
      <w:hyperlink r:id="rId225" w:history="1">
        <w:r w:rsidRPr="00E16885">
          <w:rPr>
            <w:rStyle w:val="Hyperlink"/>
            <w:rFonts w:asciiTheme="minorHAnsi" w:eastAsiaTheme="majorEastAsia" w:hAnsiTheme="minorHAnsi" w:cstheme="minorHAnsi"/>
            <w:color w:val="25409A" w:themeColor="text2"/>
            <w:shd w:val="clear" w:color="auto" w:fill="FFFFFF"/>
          </w:rPr>
          <w:t>https://bit.ly/3DsF8bh</w:t>
        </w:r>
      </w:hyperlink>
      <w:r>
        <w:rPr>
          <w:rFonts w:asciiTheme="minorHAnsi" w:hAnsiTheme="minorHAnsi" w:cstheme="minorHAnsi"/>
          <w:color w:val="323130"/>
          <w:shd w:val="clear" w:color="auto" w:fill="FFFFFF"/>
        </w:rPr>
        <w:t>.</w:t>
      </w:r>
      <w:r w:rsidRPr="00177A26">
        <w:rPr>
          <w:rFonts w:asciiTheme="minorHAnsi" w:hAnsiTheme="minorHAnsi" w:cstheme="minorHAnsi"/>
          <w:color w:val="323130"/>
          <w:shd w:val="clear" w:color="auto" w:fill="FFFFFF"/>
        </w:rPr>
        <w:t xml:space="preserve"> There is also no comprehensive plan for adult education on climate change, placing the burden further on children. This </w:t>
      </w:r>
      <w:r>
        <w:rPr>
          <w:rFonts w:asciiTheme="minorHAnsi" w:hAnsiTheme="minorHAnsi" w:cstheme="minorHAnsi"/>
          <w:color w:val="323130"/>
          <w:shd w:val="clear" w:color="auto" w:fill="FFFFFF"/>
        </w:rPr>
        <w:t xml:space="preserve">education </w:t>
      </w:r>
      <w:r w:rsidRPr="00177A26">
        <w:rPr>
          <w:rFonts w:asciiTheme="minorHAnsi" w:hAnsiTheme="minorHAnsi" w:cstheme="minorHAnsi"/>
          <w:color w:val="323130"/>
          <w:shd w:val="clear" w:color="auto" w:fill="FFFFFF"/>
        </w:rPr>
        <w:t>could be funded from the Climate Emergency Response Fund and run out of the proposed Climate Information Centre (which could be renamed the Climate Education and Engagement Centre). Importantly, there are no resources developed for Māori or Pacific communities on climate</w:t>
      </w:r>
      <w:r>
        <w:rPr>
          <w:rFonts w:asciiTheme="minorHAnsi" w:hAnsiTheme="minorHAnsi" w:cstheme="minorHAnsi"/>
          <w:color w:val="323130"/>
          <w:shd w:val="clear" w:color="auto" w:fill="FFFFFF"/>
        </w:rPr>
        <w:t xml:space="preserve"> </w:t>
      </w:r>
      <w:r w:rsidRPr="00B92F08">
        <w:rPr>
          <w:rFonts w:asciiTheme="minorHAnsi" w:hAnsiTheme="minorHAnsi" w:cstheme="minorHAnsi"/>
          <w:color w:val="323130"/>
          <w:shd w:val="clear" w:color="auto" w:fill="FFFFFF"/>
        </w:rPr>
        <w:t>change.</w:t>
      </w:r>
      <w:r w:rsidRPr="00177A26">
        <w:rPr>
          <w:rFonts w:asciiTheme="minorHAnsi" w:hAnsiTheme="minorHAnsi" w:cstheme="minorHAnsi"/>
          <w:color w:val="323130"/>
          <w:shd w:val="clear" w:color="auto" w:fill="FFFFFF"/>
        </w:rPr>
        <w:t xml:space="preserve"> Many </w:t>
      </w:r>
      <w:proofErr w:type="gramStart"/>
      <w:r w:rsidRPr="00177A26">
        <w:rPr>
          <w:rFonts w:asciiTheme="minorHAnsi" w:hAnsiTheme="minorHAnsi" w:cstheme="minorHAnsi"/>
          <w:color w:val="323130"/>
          <w:shd w:val="clear" w:color="auto" w:fill="FFFFFF"/>
        </w:rPr>
        <w:t>iwi</w:t>
      </w:r>
      <w:proofErr w:type="gramEnd"/>
      <w:r w:rsidRPr="00177A26">
        <w:rPr>
          <w:rFonts w:asciiTheme="minorHAnsi" w:hAnsiTheme="minorHAnsi" w:cstheme="minorHAnsi"/>
          <w:color w:val="323130"/>
          <w:shd w:val="clear" w:color="auto" w:fill="FFFFFF"/>
        </w:rPr>
        <w:t xml:space="preserve"> have their own climate plans now, but many Māori will not be exposed to these. </w:t>
      </w:r>
    </w:p>
  </w:footnote>
  <w:footnote w:id="361">
    <w:p w14:paraId="27C3E5DB" w14:textId="77777777" w:rsidR="00853CF0" w:rsidRPr="00177A26" w:rsidRDefault="00853CF0" w:rsidP="00E20FF1">
      <w:pPr>
        <w:spacing w:after="0" w:line="240" w:lineRule="auto"/>
        <w:rPr>
          <w:rFonts w:cstheme="minorHAnsi"/>
          <w:lang w:val="mi-NZ"/>
        </w:rPr>
      </w:pPr>
      <w:r w:rsidRPr="00177A26">
        <w:rPr>
          <w:rStyle w:val="FootnoteReference"/>
          <w:rFonts w:cstheme="minorHAnsi"/>
        </w:rPr>
        <w:footnoteRef/>
      </w:r>
      <w:r w:rsidRPr="00177A26">
        <w:rPr>
          <w:rFonts w:cstheme="minorHAnsi"/>
        </w:rPr>
        <w:t xml:space="preserve"> </w:t>
      </w:r>
      <w:r w:rsidRPr="00177A26">
        <w:rPr>
          <w:rFonts w:cstheme="minorHAnsi"/>
          <w:lang w:val="mi-NZ"/>
        </w:rPr>
        <w:t>The Aotearoa curriculum is currently being reviewed, providing an opportunity to improve climate change education. Professional development for teachers and supporting schools to have specialist environmental science teachers</w:t>
      </w:r>
      <w:r>
        <w:rPr>
          <w:rFonts w:cstheme="minorHAnsi"/>
          <w:lang w:val="mi-NZ"/>
        </w:rPr>
        <w:t>,</w:t>
      </w:r>
      <w:r w:rsidRPr="00177A26">
        <w:rPr>
          <w:rFonts w:cstheme="minorHAnsi"/>
          <w:lang w:val="mi-NZ"/>
        </w:rPr>
        <w:t xml:space="preserve"> would also enhance climate change education.</w:t>
      </w:r>
    </w:p>
  </w:footnote>
  <w:footnote w:id="362">
    <w:p w14:paraId="7E7CC4CA" w14:textId="058E734B" w:rsidR="00C17801" w:rsidRPr="00C96DFF" w:rsidRDefault="00853CF0" w:rsidP="00E20FF1">
      <w:pPr>
        <w:spacing w:after="0" w:line="240" w:lineRule="auto"/>
        <w:rPr>
          <w:rFonts w:cstheme="minorHAnsi"/>
          <w:lang w:val="mi-NZ"/>
        </w:rPr>
      </w:pPr>
      <w:r>
        <w:rPr>
          <w:rStyle w:val="FootnoteReference"/>
        </w:rPr>
        <w:footnoteRef/>
      </w:r>
      <w:r>
        <w:t xml:space="preserve"> </w:t>
      </w:r>
      <w:r w:rsidRPr="005007A8">
        <w:rPr>
          <w:rFonts w:cstheme="minorHAnsi"/>
          <w:lang w:val="mi-NZ"/>
        </w:rPr>
        <w:t xml:space="preserve">See </w:t>
      </w:r>
      <w:r w:rsidR="00C17801" w:rsidRPr="00C96DFF">
        <w:rPr>
          <w:rFonts w:cstheme="minorHAnsi"/>
          <w:lang w:val="mi-NZ"/>
        </w:rPr>
        <w:t xml:space="preserve">Children’s Rights in </w:t>
      </w:r>
      <w:r w:rsidR="00683664">
        <w:rPr>
          <w:rFonts w:cstheme="minorHAnsi"/>
          <w:lang w:val="mi-NZ"/>
        </w:rPr>
        <w:t>a Changing Climate</w:t>
      </w:r>
      <w:r w:rsidR="00C17801" w:rsidRPr="00C96DFF">
        <w:rPr>
          <w:rFonts w:cstheme="minorHAnsi"/>
          <w:lang w:val="mi-NZ"/>
        </w:rPr>
        <w:t xml:space="preserve"> Thematic Report</w:t>
      </w:r>
      <w:r w:rsidR="00C17801">
        <w:rPr>
          <w:rFonts w:cstheme="minorHAnsi"/>
          <w:lang w:val="mi-NZ"/>
        </w:rPr>
        <w:t>, submitted by OraTaiao: NZ Climate and Health Council.</w:t>
      </w:r>
    </w:p>
    <w:p w14:paraId="2155BAE8" w14:textId="13967731" w:rsidR="00853CF0" w:rsidRPr="00384CC1" w:rsidRDefault="00853CF0" w:rsidP="00E20FF1">
      <w:pPr>
        <w:pStyle w:val="FootnoteText"/>
        <w:rPr>
          <w:lang w:val="mi-NZ"/>
        </w:rPr>
      </w:pPr>
    </w:p>
  </w:footnote>
  <w:footnote w:id="363">
    <w:p w14:paraId="09F2D683" w14:textId="77777777" w:rsidR="00853CF0" w:rsidRPr="00F701DD" w:rsidRDefault="00853CF0"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w:t>
      </w:r>
      <w:r w:rsidRPr="00F701DD">
        <w:rPr>
          <w:rFonts w:asciiTheme="minorHAnsi" w:hAnsiTheme="minorHAnsi" w:cstheme="minorHAnsi"/>
          <w:lang w:val="mi-NZ"/>
        </w:rPr>
        <w:t xml:space="preserve">See Government’s Child Poverty </w:t>
      </w:r>
      <w:r>
        <w:rPr>
          <w:rFonts w:asciiTheme="minorHAnsi" w:hAnsiTheme="minorHAnsi" w:cstheme="minorHAnsi"/>
          <w:lang w:val="mi-NZ"/>
        </w:rPr>
        <w:t>R</w:t>
      </w:r>
      <w:r w:rsidRPr="00F701DD">
        <w:rPr>
          <w:rFonts w:asciiTheme="minorHAnsi" w:hAnsiTheme="minorHAnsi" w:cstheme="minorHAnsi"/>
          <w:lang w:val="mi-NZ"/>
        </w:rPr>
        <w:t xml:space="preserve">elated Indicators </w:t>
      </w:r>
      <w:r>
        <w:rPr>
          <w:rFonts w:asciiTheme="minorHAnsi" w:hAnsiTheme="minorHAnsi" w:cstheme="minorHAnsi"/>
          <w:lang w:val="mi-NZ"/>
        </w:rPr>
        <w:t>R</w:t>
      </w:r>
      <w:r w:rsidRPr="00F701DD">
        <w:rPr>
          <w:rFonts w:asciiTheme="minorHAnsi" w:hAnsiTheme="minorHAnsi" w:cstheme="minorHAnsi"/>
          <w:lang w:val="mi-NZ"/>
        </w:rPr>
        <w:t xml:space="preserve">eport (2020/2021): </w:t>
      </w:r>
      <w:hyperlink r:id="rId226" w:history="1">
        <w:r w:rsidRPr="00F701DD">
          <w:rPr>
            <w:rStyle w:val="Hyperlink"/>
            <w:rFonts w:asciiTheme="minorHAnsi" w:hAnsiTheme="minorHAnsi" w:cstheme="minorHAnsi"/>
            <w:lang w:val="mi-NZ"/>
          </w:rPr>
          <w:t>https://www.childyouthwellbeing.govt.nz/resources/child-poverty-related-indicators-report-20202021</w:t>
        </w:r>
      </w:hyperlink>
      <w:r w:rsidRPr="00F701DD">
        <w:rPr>
          <w:rFonts w:asciiTheme="minorHAnsi" w:hAnsiTheme="minorHAnsi" w:cstheme="minorHAnsi"/>
          <w:lang w:val="mi-NZ"/>
        </w:rPr>
        <w:t xml:space="preserve"> </w:t>
      </w:r>
    </w:p>
  </w:footnote>
  <w:footnote w:id="364">
    <w:p w14:paraId="441C0EB8" w14:textId="77777777" w:rsidR="00853CF0" w:rsidRPr="00F701DD" w:rsidRDefault="00853CF0"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w:t>
      </w:r>
      <w:hyperlink r:id="rId227" w:history="1">
        <w:r w:rsidRPr="00F701DD">
          <w:rPr>
            <w:rStyle w:val="Hyperlink"/>
            <w:rFonts w:asciiTheme="minorHAnsi" w:hAnsiTheme="minorHAnsi" w:cstheme="minorHAnsi"/>
          </w:rPr>
          <w:t>https://www.childyouthwellbeing.govt.nz/our-aspirations/context/reducing-child-poverty/child-poverty-measures-targets-and-indicators</w:t>
        </w:r>
      </w:hyperlink>
      <w:r w:rsidRPr="00F701DD">
        <w:rPr>
          <w:rFonts w:asciiTheme="minorHAnsi" w:hAnsiTheme="minorHAnsi" w:cstheme="minorHAnsi"/>
        </w:rPr>
        <w:t xml:space="preserve"> </w:t>
      </w:r>
    </w:p>
  </w:footnote>
  <w:footnote w:id="365">
    <w:p w14:paraId="036D8C5A" w14:textId="77777777" w:rsidR="00853CF0" w:rsidRPr="00F701DD" w:rsidRDefault="00853CF0"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w:t>
      </w:r>
      <w:hyperlink r:id="rId228" w:history="1">
        <w:r w:rsidRPr="00F701DD">
          <w:rPr>
            <w:rStyle w:val="Hyperlink"/>
            <w:rFonts w:asciiTheme="minorHAnsi" w:hAnsiTheme="minorHAnsi" w:cstheme="minorHAnsi"/>
          </w:rPr>
          <w:t>https://www.stats.govt.nz/news/child-poverty-statistics-show-all-measures-trending-downwards-over-the-last-three-years/</w:t>
        </w:r>
      </w:hyperlink>
      <w:r w:rsidRPr="00F701DD">
        <w:rPr>
          <w:rFonts w:asciiTheme="minorHAnsi" w:hAnsiTheme="minorHAnsi" w:cstheme="minorHAnsi"/>
        </w:rPr>
        <w:t xml:space="preserve">; </w:t>
      </w:r>
      <w:hyperlink r:id="rId229" w:history="1">
        <w:r w:rsidRPr="00F701DD">
          <w:rPr>
            <w:rStyle w:val="Hyperlink"/>
            <w:rFonts w:asciiTheme="minorHAnsi" w:hAnsiTheme="minorHAnsi" w:cstheme="minorHAnsi"/>
          </w:rPr>
          <w:t>https://www.stats.govt.nz/information-releases/child-poverty-statistics-year-ended-june-2021</w:t>
        </w:r>
      </w:hyperlink>
      <w:r w:rsidRPr="00F701DD">
        <w:rPr>
          <w:rFonts w:asciiTheme="minorHAnsi" w:hAnsiTheme="minorHAnsi" w:cstheme="minorHAnsi"/>
        </w:rPr>
        <w:t xml:space="preserve"> </w:t>
      </w:r>
    </w:p>
  </w:footnote>
  <w:footnote w:id="366">
    <w:p w14:paraId="1CAE1491" w14:textId="77777777" w:rsidR="00853CF0" w:rsidRPr="00F701DD" w:rsidRDefault="00853CF0" w:rsidP="00E20FF1">
      <w:pPr>
        <w:spacing w:after="0" w:line="240" w:lineRule="auto"/>
        <w:rPr>
          <w:rFonts w:cstheme="minorHAnsi"/>
          <w:lang w:val="mi-NZ"/>
        </w:rPr>
      </w:pPr>
      <w:r w:rsidRPr="00F701DD">
        <w:rPr>
          <w:rStyle w:val="FootnoteReference"/>
          <w:rFonts w:cstheme="minorHAnsi"/>
        </w:rPr>
        <w:footnoteRef/>
      </w:r>
      <w:r w:rsidRPr="00F701DD">
        <w:rPr>
          <w:rFonts w:cstheme="minorHAnsi"/>
        </w:rPr>
        <w:t xml:space="preserve"> </w:t>
      </w:r>
      <w:r w:rsidRPr="00F701DD">
        <w:rPr>
          <w:rFonts w:cstheme="minorHAnsi"/>
          <w:lang w:val="mi-NZ"/>
        </w:rPr>
        <w:t xml:space="preserve">Child poverty indicators have been developed by Government to help it understand more fully the causes and consequences of child poverty. </w:t>
      </w:r>
      <w:r w:rsidRPr="00F701DD">
        <w:rPr>
          <w:rFonts w:cstheme="minorHAnsi"/>
          <w:lang w:val="mi-NZ"/>
        </w:rPr>
        <w:t>These indicators are</w:t>
      </w:r>
      <w:r>
        <w:rPr>
          <w:rFonts w:cstheme="minorHAnsi"/>
          <w:lang w:val="mi-NZ"/>
        </w:rPr>
        <w:t xml:space="preserve"> </w:t>
      </w:r>
      <w:r w:rsidRPr="00F701DD">
        <w:rPr>
          <w:rFonts w:cstheme="minorHAnsi"/>
          <w:lang w:val="mi-NZ"/>
        </w:rPr>
        <w:t>housing affordability</w:t>
      </w:r>
      <w:r>
        <w:rPr>
          <w:rFonts w:cstheme="minorHAnsi"/>
          <w:lang w:val="mi-NZ"/>
        </w:rPr>
        <w:t>,</w:t>
      </w:r>
      <w:r w:rsidRPr="00F701DD">
        <w:rPr>
          <w:rFonts w:cstheme="minorHAnsi"/>
          <w:lang w:val="mi-NZ"/>
        </w:rPr>
        <w:t xml:space="preserve"> housing quality</w:t>
      </w:r>
      <w:r>
        <w:rPr>
          <w:rFonts w:cstheme="minorHAnsi"/>
          <w:lang w:val="mi-NZ"/>
        </w:rPr>
        <w:t>,</w:t>
      </w:r>
      <w:r w:rsidRPr="00F701DD">
        <w:rPr>
          <w:rFonts w:cstheme="minorHAnsi"/>
          <w:lang w:val="mi-NZ"/>
        </w:rPr>
        <w:t xml:space="preserve"> food insecurity</w:t>
      </w:r>
      <w:r>
        <w:rPr>
          <w:rFonts w:cstheme="minorHAnsi"/>
          <w:lang w:val="mi-NZ"/>
        </w:rPr>
        <w:t>,</w:t>
      </w:r>
      <w:r w:rsidRPr="00F701DD">
        <w:rPr>
          <w:rFonts w:cstheme="minorHAnsi"/>
          <w:lang w:val="mi-NZ"/>
        </w:rPr>
        <w:t xml:space="preserve"> regular school attendence</w:t>
      </w:r>
      <w:r>
        <w:rPr>
          <w:rFonts w:cstheme="minorHAnsi"/>
          <w:lang w:val="mi-NZ"/>
        </w:rPr>
        <w:t>,</w:t>
      </w:r>
      <w:r w:rsidRPr="00F701DD">
        <w:rPr>
          <w:rFonts w:cstheme="minorHAnsi"/>
          <w:lang w:val="mi-NZ"/>
        </w:rPr>
        <w:t xml:space="preserve"> and avoidable hospitalisations</w:t>
      </w:r>
      <w:r>
        <w:rPr>
          <w:rFonts w:cstheme="minorHAnsi"/>
          <w:lang w:val="mi-NZ"/>
        </w:rPr>
        <w:t xml:space="preserve">: </w:t>
      </w:r>
      <w:r>
        <w:fldChar w:fldCharType="begin"/>
      </w:r>
      <w:r>
        <w:instrText xml:space="preserve"> HYPERLINK "https://www.childyouthwellbeing.govt.nz/our-aspirations/context/reducing-child-poverty/child-poverty-measures-targets-and-indicators" </w:instrText>
      </w:r>
      <w:r>
        <w:fldChar w:fldCharType="separate"/>
      </w:r>
      <w:r w:rsidRPr="00247584">
        <w:rPr>
          <w:rStyle w:val="Hyperlink"/>
          <w:rFonts w:cstheme="minorHAnsi"/>
        </w:rPr>
        <w:t>https://www.childyouthwellbeing.govt.nz/our-aspirations/context/reducing-child-poverty/child-poverty-measures-targets-and-indicators</w:t>
      </w:r>
      <w:r>
        <w:rPr>
          <w:rStyle w:val="Hyperlink"/>
          <w:rFonts w:cstheme="minorHAnsi"/>
        </w:rPr>
        <w:fldChar w:fldCharType="end"/>
      </w:r>
      <w:r w:rsidRPr="00F701DD">
        <w:rPr>
          <w:rFonts w:cstheme="minorHAnsi"/>
        </w:rPr>
        <w:t xml:space="preserve"> </w:t>
      </w:r>
    </w:p>
  </w:footnote>
  <w:footnote w:id="367">
    <w:p w14:paraId="5D57B72C" w14:textId="77777777" w:rsidR="00853CF0" w:rsidRPr="00F701DD" w:rsidRDefault="00853CF0"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Child Poverty Action Group: </w:t>
      </w:r>
      <w:hyperlink r:id="rId230" w:history="1">
        <w:r w:rsidRPr="00F701DD">
          <w:rPr>
            <w:rStyle w:val="Hyperlink"/>
            <w:rFonts w:asciiTheme="minorHAnsi" w:hAnsiTheme="minorHAnsi" w:cstheme="minorHAnsi"/>
          </w:rPr>
          <w:t>https://www.cpag.org.nz/statistics/latest-child-poverty-figures</w:t>
        </w:r>
      </w:hyperlink>
      <w:r w:rsidRPr="00F701DD">
        <w:rPr>
          <w:rFonts w:asciiTheme="minorHAnsi" w:hAnsiTheme="minorHAnsi" w:cstheme="minorHAnsi"/>
        </w:rPr>
        <w:t xml:space="preserve"> </w:t>
      </w:r>
    </w:p>
  </w:footnote>
  <w:footnote w:id="368">
    <w:p w14:paraId="091AEB2E" w14:textId="77777777" w:rsidR="00853CF0" w:rsidRPr="00F701DD" w:rsidRDefault="00853CF0"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w:t>
      </w:r>
      <w:hyperlink r:id="rId231" w:history="1">
        <w:r w:rsidRPr="00F701DD">
          <w:rPr>
            <w:rStyle w:val="Hyperlink"/>
            <w:rFonts w:asciiTheme="minorHAnsi" w:hAnsiTheme="minorHAnsi" w:cstheme="minorHAnsi"/>
          </w:rPr>
          <w:t>https://fairerfuture.org.nz/what-you-need-to-know</w:t>
        </w:r>
      </w:hyperlink>
      <w:r w:rsidRPr="00F701DD">
        <w:rPr>
          <w:rFonts w:asciiTheme="minorHAnsi" w:hAnsiTheme="minorHAnsi" w:cstheme="minorHAnsi"/>
        </w:rPr>
        <w:t xml:space="preserve">; </w:t>
      </w:r>
      <w:hyperlink r:id="rId232" w:history="1">
        <w:r w:rsidRPr="00F701DD">
          <w:rPr>
            <w:rFonts w:asciiTheme="minorHAnsi" w:eastAsiaTheme="minorHAnsi" w:hAnsiTheme="minorHAnsi" w:cstheme="minorHAnsi"/>
            <w:color w:val="094FD1"/>
            <w:u w:val="single" w:color="094FD1"/>
            <w:lang w:val="en-GB" w:eastAsia="en-US"/>
          </w:rPr>
          <w:t>https://fairerfuture.org.nz/liveable-incomes-2022</w:t>
        </w:r>
      </w:hyperlink>
    </w:p>
  </w:footnote>
  <w:footnote w:id="369">
    <w:p w14:paraId="68BCEF2B" w14:textId="77777777" w:rsidR="00853CF0" w:rsidRPr="00F701DD" w:rsidRDefault="00853CF0"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According to Child Poverty Action Group none of the 42 key recommendations in the WEAG </w:t>
      </w:r>
      <w:r>
        <w:rPr>
          <w:rFonts w:asciiTheme="minorHAnsi" w:hAnsiTheme="minorHAnsi" w:cstheme="minorHAnsi"/>
        </w:rPr>
        <w:t>R</w:t>
      </w:r>
      <w:r w:rsidRPr="00F701DD">
        <w:rPr>
          <w:rFonts w:asciiTheme="minorHAnsi" w:hAnsiTheme="minorHAnsi" w:cstheme="minorHAnsi"/>
        </w:rPr>
        <w:t xml:space="preserve">eport were fully implemented as of 1 April 2021: </w:t>
      </w:r>
      <w:hyperlink r:id="rId233" w:history="1">
        <w:r w:rsidRPr="00F701DD">
          <w:rPr>
            <w:rStyle w:val="Hyperlink"/>
            <w:rFonts w:asciiTheme="minorHAnsi" w:hAnsiTheme="minorHAnsi" w:cstheme="minorHAnsi"/>
          </w:rPr>
          <w:t>https://www.cpag.org.nz/commentary/no-plan-no-budget-two-years-on-from-weag</w:t>
        </w:r>
      </w:hyperlink>
      <w:r w:rsidRPr="00F701DD">
        <w:rPr>
          <w:rFonts w:asciiTheme="minorHAnsi" w:hAnsiTheme="minorHAnsi" w:cstheme="minorHAnsi"/>
        </w:rPr>
        <w:t xml:space="preserve">   </w:t>
      </w:r>
    </w:p>
  </w:footnote>
  <w:footnote w:id="370">
    <w:p w14:paraId="33302BF3" w14:textId="77777777" w:rsidR="00853CF0" w:rsidRPr="00F701DD" w:rsidRDefault="00853CF0"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w:t>
      </w:r>
      <w:r w:rsidRPr="00F701DD">
        <w:rPr>
          <w:rFonts w:asciiTheme="minorHAnsi" w:hAnsiTheme="minorHAnsi" w:cstheme="minorHAnsi"/>
          <w:lang w:val="mi-NZ"/>
        </w:rPr>
        <w:t>For the June 2022 quarter</w:t>
      </w:r>
      <w:r>
        <w:rPr>
          <w:rFonts w:asciiTheme="minorHAnsi" w:hAnsiTheme="minorHAnsi" w:cstheme="minorHAnsi"/>
          <w:lang w:val="mi-NZ"/>
        </w:rPr>
        <w:t>,</w:t>
      </w:r>
      <w:r w:rsidRPr="00F701DD">
        <w:rPr>
          <w:rFonts w:asciiTheme="minorHAnsi" w:hAnsiTheme="minorHAnsi" w:cstheme="minorHAnsi"/>
          <w:lang w:val="mi-NZ"/>
        </w:rPr>
        <w:t xml:space="preserve"> the annual inflation rate was 7.3</w:t>
      </w:r>
      <w:r>
        <w:rPr>
          <w:rFonts w:asciiTheme="minorHAnsi" w:hAnsiTheme="minorHAnsi" w:cstheme="minorHAnsi"/>
          <w:lang w:val="mi-NZ"/>
        </w:rPr>
        <w:t>%:</w:t>
      </w:r>
      <w:r w:rsidRPr="00F701DD">
        <w:rPr>
          <w:rFonts w:asciiTheme="minorHAnsi" w:hAnsiTheme="minorHAnsi" w:cstheme="minorHAnsi"/>
          <w:lang w:val="mi-NZ"/>
        </w:rPr>
        <w:t xml:space="preserve"> </w:t>
      </w:r>
      <w:hyperlink r:id="rId234" w:history="1">
        <w:r w:rsidRPr="00F701DD">
          <w:rPr>
            <w:rStyle w:val="Hyperlink"/>
            <w:rFonts w:asciiTheme="minorHAnsi" w:hAnsiTheme="minorHAnsi" w:cstheme="minorHAnsi"/>
            <w:lang w:val="mi-NZ"/>
          </w:rPr>
          <w:t>https://www.stats.govt.nz/information-releases/consumers-price-index-june-2022-quarter/</w:t>
        </w:r>
      </w:hyperlink>
      <w:r w:rsidRPr="00F701DD">
        <w:rPr>
          <w:rFonts w:asciiTheme="minorHAnsi" w:hAnsiTheme="minorHAnsi" w:cstheme="minorHAnsi"/>
          <w:lang w:val="mi-NZ"/>
        </w:rPr>
        <w:t xml:space="preserve"> </w:t>
      </w:r>
    </w:p>
  </w:footnote>
  <w:footnote w:id="371">
    <w:p w14:paraId="5A12CF42" w14:textId="77777777" w:rsidR="00853CF0" w:rsidRPr="00F701DD" w:rsidRDefault="00853CF0" w:rsidP="00E20FF1">
      <w:pPr>
        <w:spacing w:after="0" w:line="240" w:lineRule="auto"/>
        <w:rPr>
          <w:rFonts w:cstheme="minorHAnsi"/>
          <w:i/>
          <w:iCs/>
          <w:lang w:val="mi-NZ"/>
        </w:rPr>
      </w:pPr>
      <w:r w:rsidRPr="00F701DD">
        <w:rPr>
          <w:rStyle w:val="FootnoteReference"/>
          <w:rFonts w:cstheme="minorHAnsi"/>
        </w:rPr>
        <w:footnoteRef/>
      </w:r>
      <w:r w:rsidRPr="00F701DD">
        <w:rPr>
          <w:rFonts w:cstheme="minorHAnsi"/>
        </w:rPr>
        <w:t xml:space="preserve"> </w:t>
      </w:r>
      <w:hyperlink r:id="rId235" w:history="1">
        <w:r w:rsidRPr="00F701DD">
          <w:rPr>
            <w:rStyle w:val="Hyperlink"/>
            <w:rFonts w:cstheme="minorHAnsi"/>
            <w:lang w:val="mi-NZ"/>
          </w:rPr>
          <w:t>https://www.rnz.co.nz/news/national/469459/whanau-are-at-breaking-point-2000-children-on-kidscan-waiting-list</w:t>
        </w:r>
      </w:hyperlink>
      <w:r w:rsidRPr="00F701DD">
        <w:rPr>
          <w:rFonts w:cstheme="minorHAnsi"/>
          <w:i/>
          <w:iCs/>
          <w:lang w:val="mi-NZ"/>
        </w:rPr>
        <w:t xml:space="preserve">  </w:t>
      </w:r>
    </w:p>
  </w:footnote>
  <w:footnote w:id="372">
    <w:p w14:paraId="1EA609D8" w14:textId="0EBB8572" w:rsidR="00853CF0" w:rsidRPr="00F701DD" w:rsidRDefault="00853CF0"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w:t>
      </w:r>
      <w:hyperlink r:id="rId236" w:history="1">
        <w:r w:rsidR="00F37B7D" w:rsidRPr="00F06804">
          <w:rPr>
            <w:rStyle w:val="Hyperlink"/>
            <w:rFonts w:asciiTheme="minorHAnsi" w:hAnsiTheme="minorHAnsi" w:cstheme="minorHAnsi"/>
          </w:rPr>
          <w:t>https://www.cpag.org.nz/our-campaigns/fix-working-for-families</w:t>
        </w:r>
      </w:hyperlink>
      <w:r w:rsidR="00F37B7D">
        <w:rPr>
          <w:rFonts w:asciiTheme="minorHAnsi" w:hAnsiTheme="minorHAnsi" w:cstheme="minorHAnsi"/>
        </w:rPr>
        <w:t xml:space="preserve"> </w:t>
      </w:r>
      <w:r w:rsidRPr="00F701DD">
        <w:rPr>
          <w:rFonts w:asciiTheme="minorHAnsi" w:hAnsiTheme="minorHAnsi" w:cstheme="minorHAnsi"/>
        </w:rPr>
        <w:t xml:space="preserve"> </w:t>
      </w:r>
    </w:p>
  </w:footnote>
  <w:footnote w:id="373">
    <w:p w14:paraId="62D46867" w14:textId="21EE0C5C" w:rsidR="00853CF0" w:rsidRPr="00F701DD" w:rsidRDefault="00853CF0"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w:t>
      </w:r>
      <w:r w:rsidR="00102219" w:rsidRPr="00480677">
        <w:rPr>
          <w:rFonts w:asciiTheme="minorHAnsi" w:hAnsiTheme="minorHAnsi" w:cstheme="minorHAnsi"/>
          <w:lang w:val="mi-NZ"/>
        </w:rPr>
        <w:t xml:space="preserve">Children’s Rights Alliance Aotearoa New Zealand </w:t>
      </w:r>
      <w:hyperlink r:id="rId237" w:history="1">
        <w:r w:rsidR="00102219" w:rsidRPr="00480677">
          <w:rPr>
            <w:rStyle w:val="Hyperlink"/>
            <w:rFonts w:asciiTheme="minorHAnsi" w:hAnsiTheme="minorHAnsi" w:cstheme="minorHAnsi"/>
            <w:i/>
            <w:iCs/>
            <w:color w:val="25409A" w:themeColor="text2"/>
            <w:lang w:val="mi-NZ"/>
          </w:rPr>
          <w:t>Supplementary Report on the impact of COVID-19 on children’s rights in Aotearoa New Zealand</w:t>
        </w:r>
      </w:hyperlink>
      <w:r w:rsidR="00102219" w:rsidRPr="00480677">
        <w:rPr>
          <w:rFonts w:asciiTheme="minorHAnsi" w:hAnsiTheme="minorHAnsi" w:cstheme="minorHAnsi"/>
          <w:lang w:val="mi-NZ"/>
        </w:rPr>
        <w:t xml:space="preserve"> (June 2020)</w:t>
      </w:r>
      <w:r w:rsidR="00F37B7D">
        <w:rPr>
          <w:rFonts w:asciiTheme="minorHAnsi" w:hAnsiTheme="minorHAnsi" w:cstheme="minorHAnsi"/>
          <w:lang w:val="mi-NZ"/>
        </w:rPr>
        <w:t xml:space="preserve"> p</w:t>
      </w:r>
      <w:r w:rsidR="005F1105">
        <w:rPr>
          <w:rFonts w:asciiTheme="minorHAnsi" w:hAnsiTheme="minorHAnsi" w:cstheme="minorHAnsi"/>
          <w:lang w:val="mi-NZ"/>
        </w:rPr>
        <w:t xml:space="preserve">p. </w:t>
      </w:r>
      <w:r w:rsidR="00F37B7D">
        <w:rPr>
          <w:rFonts w:asciiTheme="minorHAnsi" w:hAnsiTheme="minorHAnsi" w:cstheme="minorHAnsi"/>
          <w:lang w:val="mi-NZ"/>
        </w:rPr>
        <w:t>12-13</w:t>
      </w:r>
      <w:r w:rsidR="00102219" w:rsidRPr="00480677">
        <w:rPr>
          <w:rFonts w:asciiTheme="minorHAnsi" w:hAnsiTheme="minorHAnsi" w:cstheme="minorHAnsi"/>
          <w:lang w:val="mi-NZ"/>
        </w:rPr>
        <w:t>;</w:t>
      </w:r>
      <w:r w:rsidRPr="00F701DD">
        <w:rPr>
          <w:rFonts w:asciiTheme="minorHAnsi" w:hAnsiTheme="minorHAnsi" w:cstheme="minorHAnsi"/>
          <w:lang w:val="mi-NZ"/>
        </w:rPr>
        <w:t xml:space="preserve"> during Aotearoa’s first lockdown a higher rate of job-seeker allowance was paid to those who lost their jobs due to the pandemic than was paid to those who had been on the jobseeker allowance prior to the pandemic.</w:t>
      </w:r>
    </w:p>
  </w:footnote>
  <w:footnote w:id="374">
    <w:p w14:paraId="3A2FABD0" w14:textId="77777777" w:rsidR="008D17FE" w:rsidRPr="00F701DD" w:rsidRDefault="008D17FE" w:rsidP="00E20FF1">
      <w:pPr>
        <w:spacing w:after="0" w:line="240" w:lineRule="auto"/>
        <w:rPr>
          <w:rFonts w:cstheme="minorHAnsi"/>
          <w:lang w:val="mi-NZ"/>
        </w:rPr>
      </w:pPr>
      <w:r w:rsidRPr="00F701DD">
        <w:rPr>
          <w:rStyle w:val="FootnoteReference"/>
          <w:rFonts w:cstheme="minorHAnsi"/>
        </w:rPr>
        <w:footnoteRef/>
      </w:r>
      <w:r w:rsidRPr="00F701DD">
        <w:rPr>
          <w:rFonts w:cstheme="minorHAnsi"/>
        </w:rPr>
        <w:t xml:space="preserve"> </w:t>
      </w:r>
      <w:hyperlink r:id="rId238" w:history="1">
        <w:r w:rsidRPr="00F701DD">
          <w:rPr>
            <w:rStyle w:val="Hyperlink"/>
            <w:rFonts w:cstheme="minorHAnsi"/>
            <w:lang w:val="mi-NZ"/>
          </w:rPr>
          <w:t>https://www.1news.co.nz/2021/11/04/govt-doesnt-know-how-many-kids-caught-up-in-benefit-sanctions/</w:t>
        </w:r>
      </w:hyperlink>
    </w:p>
  </w:footnote>
  <w:footnote w:id="375">
    <w:p w14:paraId="22609A0E" w14:textId="77777777" w:rsidR="001A4CBB" w:rsidRPr="00F701DD" w:rsidRDefault="001A4CBB" w:rsidP="00E20FF1">
      <w:pPr>
        <w:spacing w:after="0" w:line="240" w:lineRule="auto"/>
        <w:rPr>
          <w:rFonts w:cstheme="minorHAnsi"/>
          <w:lang w:val="mi-NZ"/>
        </w:rPr>
      </w:pPr>
      <w:r w:rsidRPr="00F701DD">
        <w:rPr>
          <w:rStyle w:val="FootnoteReference"/>
          <w:rFonts w:cstheme="minorHAnsi"/>
        </w:rPr>
        <w:footnoteRef/>
      </w:r>
      <w:r w:rsidRPr="00F701DD">
        <w:rPr>
          <w:rFonts w:cstheme="minorHAnsi"/>
        </w:rPr>
        <w:t xml:space="preserve"> </w:t>
      </w:r>
      <w:hyperlink r:id="rId239" w:history="1">
        <w:r w:rsidRPr="00F701DD">
          <w:rPr>
            <w:rStyle w:val="Hyperlink"/>
            <w:rFonts w:cstheme="minorHAnsi"/>
            <w:lang w:val="mi-NZ"/>
          </w:rPr>
          <w:t>https://www.newsroom.co.nz/to-solve-our-housing-crisis-lets-learn-from-whats-already-working</w:t>
        </w:r>
      </w:hyperlink>
      <w:r w:rsidRPr="00F701DD">
        <w:rPr>
          <w:rFonts w:cstheme="minorHAnsi"/>
          <w:lang w:val="mi-NZ"/>
        </w:rPr>
        <w:t xml:space="preserve"> </w:t>
      </w:r>
    </w:p>
  </w:footnote>
  <w:footnote w:id="376">
    <w:p w14:paraId="6F02CE12" w14:textId="77777777" w:rsidR="001A4CBB" w:rsidRPr="00F701DD" w:rsidRDefault="001A4CBB" w:rsidP="00E20FF1">
      <w:pPr>
        <w:spacing w:after="0" w:line="240" w:lineRule="auto"/>
        <w:rPr>
          <w:rFonts w:cstheme="minorHAnsi"/>
          <w:lang w:val="mi-NZ"/>
        </w:rPr>
      </w:pPr>
      <w:r w:rsidRPr="00F701DD">
        <w:rPr>
          <w:rStyle w:val="FootnoteReference"/>
          <w:rFonts w:cstheme="minorHAnsi"/>
        </w:rPr>
        <w:footnoteRef/>
      </w:r>
      <w:r w:rsidRPr="00F701DD">
        <w:rPr>
          <w:rFonts w:cstheme="minorHAnsi"/>
        </w:rPr>
        <w:t xml:space="preserve"> </w:t>
      </w:r>
      <w:hyperlink r:id="rId240" w:history="1">
        <w:r w:rsidRPr="00F701DD">
          <w:rPr>
            <w:rStyle w:val="Hyperlink"/>
            <w:rFonts w:cstheme="minorHAnsi"/>
            <w:lang w:val="mi-NZ"/>
          </w:rPr>
          <w:t>https://www.stuff.co.nz/national/127868304/the-women-raising-their-families-in-emergency-housing</w:t>
        </w:r>
      </w:hyperlink>
      <w:r w:rsidRPr="00F701DD">
        <w:rPr>
          <w:rFonts w:cstheme="minorHAnsi"/>
          <w:lang w:val="mi-NZ"/>
        </w:rPr>
        <w:t xml:space="preserve"> ; </w:t>
      </w:r>
      <w:r>
        <w:fldChar w:fldCharType="begin"/>
      </w:r>
      <w:r>
        <w:instrText xml:space="preserve"> HYPERLINK "https://www.stuff.co.nz/national/128955097/familyoffive-including-newborn-share-onebedroom-motel-unit-while-waiting-for-a-home" </w:instrText>
      </w:r>
      <w:r>
        <w:fldChar w:fldCharType="separate"/>
      </w:r>
      <w:r w:rsidRPr="00F701DD">
        <w:rPr>
          <w:rStyle w:val="Hyperlink"/>
          <w:rFonts w:cstheme="minorHAnsi"/>
          <w:lang w:val="mi-NZ"/>
        </w:rPr>
        <w:t>https://www.stuff.co.nz/national/128955097/familyoffive-including-newborn-share-onebedroom-motel-unit-while-waiting-for-a-home</w:t>
      </w:r>
      <w:r>
        <w:rPr>
          <w:rStyle w:val="Hyperlink"/>
          <w:rFonts w:cstheme="minorHAnsi"/>
          <w:lang w:val="mi-NZ"/>
        </w:rPr>
        <w:fldChar w:fldCharType="end"/>
      </w:r>
      <w:r w:rsidRPr="00F701DD">
        <w:rPr>
          <w:rFonts w:cstheme="minorHAnsi"/>
          <w:lang w:val="mi-NZ"/>
        </w:rPr>
        <w:t xml:space="preserve"> </w:t>
      </w:r>
    </w:p>
  </w:footnote>
  <w:footnote w:id="377">
    <w:p w14:paraId="59A87136" w14:textId="77777777" w:rsidR="001A4CBB" w:rsidRPr="00F701DD" w:rsidRDefault="001A4CBB" w:rsidP="00E20FF1">
      <w:pPr>
        <w:spacing w:after="0" w:line="240" w:lineRule="auto"/>
        <w:rPr>
          <w:rFonts w:cstheme="minorHAnsi"/>
          <w:lang w:val="mi-NZ"/>
        </w:rPr>
      </w:pPr>
      <w:r w:rsidRPr="00F701DD">
        <w:rPr>
          <w:rStyle w:val="FootnoteReference"/>
          <w:rFonts w:cstheme="minorHAnsi"/>
        </w:rPr>
        <w:footnoteRef/>
      </w:r>
      <w:r w:rsidRPr="00F701DD">
        <w:rPr>
          <w:rFonts w:cstheme="minorHAnsi"/>
        </w:rPr>
        <w:t xml:space="preserve"> </w:t>
      </w:r>
      <w:hyperlink r:id="rId241" w:history="1">
        <w:r w:rsidRPr="00F701DD">
          <w:rPr>
            <w:rStyle w:val="Hyperlink"/>
            <w:rFonts w:cstheme="minorHAnsi"/>
            <w:lang w:val="mi-NZ"/>
          </w:rPr>
          <w:t>https://www.nzherald.co.nz/nz/politics/govt-has-spent-1b-on-emergency-housing-grants-including-motel-accommodation/ZISPLXHMVIOIYV34HCE5KSJIVM/</w:t>
        </w:r>
      </w:hyperlink>
      <w:r w:rsidRPr="00F701DD">
        <w:rPr>
          <w:rFonts w:cstheme="minorHAnsi"/>
          <w:lang w:val="mi-NZ"/>
        </w:rPr>
        <w:t xml:space="preserve">  </w:t>
      </w:r>
    </w:p>
  </w:footnote>
  <w:footnote w:id="378">
    <w:p w14:paraId="2E0C1B61" w14:textId="77777777" w:rsidR="001A4CBB" w:rsidRPr="00F701DD" w:rsidRDefault="001A4CBB" w:rsidP="00E20FF1">
      <w:pPr>
        <w:spacing w:after="0" w:line="240" w:lineRule="auto"/>
        <w:rPr>
          <w:rFonts w:cstheme="minorHAnsi"/>
          <w:lang w:val="mi-NZ"/>
        </w:rPr>
      </w:pPr>
      <w:r w:rsidRPr="00F701DD">
        <w:rPr>
          <w:rStyle w:val="FootnoteReference"/>
          <w:rFonts w:cstheme="minorHAnsi"/>
        </w:rPr>
        <w:footnoteRef/>
      </w:r>
      <w:r w:rsidRPr="00F701DD">
        <w:rPr>
          <w:rFonts w:cstheme="minorHAnsi"/>
        </w:rPr>
        <w:t xml:space="preserve"> </w:t>
      </w:r>
      <w:hyperlink r:id="rId242" w:history="1">
        <w:r w:rsidRPr="00F701DD">
          <w:rPr>
            <w:rStyle w:val="Hyperlink"/>
            <w:rFonts w:cstheme="minorHAnsi"/>
            <w:lang w:val="mi-NZ"/>
          </w:rPr>
          <w:t>https://www.newsroom.co.nz/to-solve-our-housing-crisis-lets-learn-from-whats-already-working</w:t>
        </w:r>
      </w:hyperlink>
      <w:r w:rsidRPr="00F701DD">
        <w:rPr>
          <w:rFonts w:cstheme="minorHAnsi"/>
          <w:lang w:val="mi-NZ"/>
        </w:rPr>
        <w:t xml:space="preserve"> </w:t>
      </w:r>
    </w:p>
  </w:footnote>
  <w:footnote w:id="379">
    <w:p w14:paraId="21832E42" w14:textId="77777777" w:rsidR="001A4CBB" w:rsidRPr="00F701DD" w:rsidRDefault="001A4CBB"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w:t>
      </w:r>
      <w:hyperlink r:id="rId243" w:history="1">
        <w:r w:rsidRPr="00F701DD">
          <w:rPr>
            <w:rStyle w:val="Hyperlink"/>
            <w:rFonts w:asciiTheme="minorHAnsi" w:hAnsiTheme="minorHAnsi" w:cstheme="minorHAnsi"/>
          </w:rPr>
          <w:t>https://www.1news.co.nz/2022/02/18/exclusive-record-365-million-spent-on-emergency-housing/</w:t>
        </w:r>
      </w:hyperlink>
      <w:r w:rsidRPr="00F701DD">
        <w:rPr>
          <w:rFonts w:asciiTheme="minorHAnsi" w:hAnsiTheme="minorHAnsi" w:cstheme="minorHAnsi"/>
        </w:rPr>
        <w:t xml:space="preserve"> </w:t>
      </w:r>
    </w:p>
  </w:footnote>
  <w:footnote w:id="380">
    <w:p w14:paraId="40926189" w14:textId="77777777" w:rsidR="001A4CBB" w:rsidRPr="00F701DD" w:rsidRDefault="001A4CBB"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w:t>
      </w:r>
      <w:hyperlink r:id="rId244" w:history="1">
        <w:r w:rsidRPr="00F701DD">
          <w:rPr>
            <w:rStyle w:val="Hyperlink"/>
            <w:rFonts w:asciiTheme="minorHAnsi" w:hAnsiTheme="minorHAnsi" w:cstheme="minorHAnsi"/>
          </w:rPr>
          <w:t>https://www.stuff.co.nz/business/129225899/half-of-kinga-ora-homes-still-not-up-to-healthy-homes-standard?cid=app-iPad</w:t>
        </w:r>
      </w:hyperlink>
      <w:r w:rsidRPr="00F701DD">
        <w:rPr>
          <w:rFonts w:asciiTheme="minorHAnsi" w:hAnsiTheme="minorHAnsi" w:cstheme="minorHAnsi"/>
        </w:rPr>
        <w:t xml:space="preserve"> </w:t>
      </w:r>
    </w:p>
  </w:footnote>
  <w:footnote w:id="381">
    <w:p w14:paraId="4AB48A27" w14:textId="77777777" w:rsidR="001A4CBB" w:rsidRPr="00F701DD" w:rsidRDefault="001A4CBB"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w:t>
      </w:r>
      <w:r w:rsidRPr="00F701DD">
        <w:rPr>
          <w:rFonts w:asciiTheme="minorHAnsi" w:hAnsiTheme="minorHAnsi" w:cstheme="minorHAnsi"/>
          <w:lang w:val="mi-NZ"/>
        </w:rPr>
        <w:t xml:space="preserve">New Zealand Government (2018) </w:t>
      </w:r>
      <w:r w:rsidRPr="00F701DD">
        <w:rPr>
          <w:rFonts w:asciiTheme="minorHAnsi" w:hAnsiTheme="minorHAnsi" w:cstheme="minorHAnsi"/>
          <w:i/>
          <w:iCs/>
          <w:lang w:val="mi-NZ"/>
        </w:rPr>
        <w:t>Public Housing Plan 2018-2022</w:t>
      </w:r>
      <w:r w:rsidRPr="00F701DD">
        <w:rPr>
          <w:rFonts w:asciiTheme="minorHAnsi" w:hAnsiTheme="minorHAnsi" w:cstheme="minorHAnsi"/>
          <w:lang w:val="mi-NZ"/>
        </w:rPr>
        <w:t xml:space="preserve">, Ministry of Social Development, at p. </w:t>
      </w:r>
      <w:r w:rsidRPr="00F701DD">
        <w:rPr>
          <w:rFonts w:asciiTheme="minorHAnsi" w:hAnsiTheme="minorHAnsi" w:cstheme="minorHAnsi"/>
          <w:lang w:val="mi-NZ"/>
        </w:rPr>
        <w:t xml:space="preserve">6: </w:t>
      </w:r>
      <w:hyperlink r:id="rId245" w:history="1">
        <w:r w:rsidRPr="00F701DD">
          <w:rPr>
            <w:rStyle w:val="Hyperlink"/>
            <w:rFonts w:asciiTheme="minorHAnsi" w:hAnsiTheme="minorHAnsi" w:cstheme="minorHAnsi"/>
            <w:lang w:val="mi-NZ"/>
          </w:rPr>
          <w:t>https://www.hud.govt.nz/community-and-public-housing/increasing-public-housing/public-housing-plan/</w:t>
        </w:r>
      </w:hyperlink>
      <w:r w:rsidRPr="00F701DD">
        <w:rPr>
          <w:rFonts w:asciiTheme="minorHAnsi" w:hAnsiTheme="minorHAnsi" w:cstheme="minorHAnsi"/>
          <w:lang w:val="mi-NZ"/>
        </w:rPr>
        <w:t xml:space="preserve"> </w:t>
      </w:r>
    </w:p>
  </w:footnote>
  <w:footnote w:id="382">
    <w:p w14:paraId="0B24DBA7" w14:textId="77777777" w:rsidR="001A4CBB" w:rsidRPr="00F701DD" w:rsidRDefault="001A4CBB"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New Zealand Government </w:t>
      </w:r>
      <w:r w:rsidRPr="00F701DD">
        <w:rPr>
          <w:rFonts w:asciiTheme="minorHAnsi" w:hAnsiTheme="minorHAnsi" w:cstheme="minorHAnsi"/>
          <w:i/>
          <w:iCs/>
        </w:rPr>
        <w:t>Aotearoa/New Zealand Homelessness Action Plan Phase One 2020-2023: Working together to prevent and reduce homelessness</w:t>
      </w:r>
      <w:r w:rsidRPr="00F701DD">
        <w:rPr>
          <w:rFonts w:asciiTheme="minorHAnsi" w:hAnsiTheme="minorHAnsi" w:cstheme="minorHAnsi"/>
        </w:rPr>
        <w:t xml:space="preserve">, at p. 2. </w:t>
      </w:r>
    </w:p>
  </w:footnote>
  <w:footnote w:id="383">
    <w:p w14:paraId="200B5536" w14:textId="77777777" w:rsidR="001A4CBB" w:rsidRPr="00F701DD" w:rsidRDefault="001A4CBB" w:rsidP="00E20FF1">
      <w:pPr>
        <w:spacing w:after="0" w:line="240" w:lineRule="auto"/>
        <w:rPr>
          <w:rFonts w:cstheme="minorHAnsi"/>
        </w:rPr>
      </w:pPr>
      <w:r w:rsidRPr="00F701DD">
        <w:rPr>
          <w:rStyle w:val="FootnoteReference"/>
          <w:rFonts w:cstheme="minorHAnsi"/>
        </w:rPr>
        <w:footnoteRef/>
      </w:r>
      <w:r w:rsidRPr="00F701DD">
        <w:rPr>
          <w:rFonts w:cstheme="minorHAnsi"/>
        </w:rPr>
        <w:t xml:space="preserve"> </w:t>
      </w:r>
      <w:hyperlink r:id="rId246" w:history="1">
        <w:r w:rsidRPr="00F701DD">
          <w:rPr>
            <w:rStyle w:val="Hyperlink"/>
            <w:rFonts w:cstheme="minorHAnsi"/>
          </w:rPr>
          <w:t>https://www.rnz.co.nz/news/national/471881/rainbow-community-face-high-rates-of-homelessness</w:t>
        </w:r>
      </w:hyperlink>
      <w:r w:rsidRPr="00F701DD">
        <w:rPr>
          <w:rFonts w:cstheme="minorHAnsi"/>
        </w:rPr>
        <w:t xml:space="preserve">; </w:t>
      </w:r>
      <w:r>
        <w:rPr>
          <w:rFonts w:cstheme="minorHAnsi"/>
        </w:rPr>
        <w:t xml:space="preserve">B </w:t>
      </w:r>
      <w:r w:rsidRPr="00F701DD">
        <w:rPr>
          <w:rFonts w:cstheme="minorHAnsi"/>
          <w:color w:val="202020"/>
          <w:shd w:val="clear" w:color="auto" w:fill="FFFFFF"/>
        </w:rPr>
        <w:t xml:space="preserve">Fraser, </w:t>
      </w:r>
      <w:r>
        <w:rPr>
          <w:rFonts w:cstheme="minorHAnsi"/>
          <w:color w:val="202020"/>
          <w:shd w:val="clear" w:color="auto" w:fill="FFFFFF"/>
        </w:rPr>
        <w:t xml:space="preserve">E </w:t>
      </w:r>
      <w:r w:rsidRPr="00F701DD">
        <w:rPr>
          <w:rFonts w:cstheme="minorHAnsi"/>
          <w:color w:val="202020"/>
          <w:shd w:val="clear" w:color="auto" w:fill="FFFFFF"/>
        </w:rPr>
        <w:t>Chisholm</w:t>
      </w:r>
      <w:r>
        <w:rPr>
          <w:rFonts w:cstheme="minorHAnsi"/>
          <w:color w:val="202020"/>
          <w:shd w:val="clear" w:color="auto" w:fill="FFFFFF"/>
        </w:rPr>
        <w:t xml:space="preserve"> </w:t>
      </w:r>
      <w:r w:rsidRPr="00F701DD">
        <w:rPr>
          <w:rFonts w:cstheme="minorHAnsi"/>
          <w:color w:val="202020"/>
          <w:shd w:val="clear" w:color="auto" w:fill="FFFFFF"/>
        </w:rPr>
        <w:t xml:space="preserve">&amp; </w:t>
      </w:r>
      <w:r>
        <w:rPr>
          <w:rFonts w:cstheme="minorHAnsi"/>
          <w:color w:val="202020"/>
          <w:shd w:val="clear" w:color="auto" w:fill="FFFFFF"/>
        </w:rPr>
        <w:t xml:space="preserve">N </w:t>
      </w:r>
      <w:r w:rsidRPr="00F701DD">
        <w:rPr>
          <w:rFonts w:cstheme="minorHAnsi"/>
          <w:color w:val="202020"/>
          <w:shd w:val="clear" w:color="auto" w:fill="FFFFFF"/>
        </w:rPr>
        <w:t xml:space="preserve">Pierse (2021) “You’re so powerless”: </w:t>
      </w:r>
      <w:proofErr w:type="spellStart"/>
      <w:r w:rsidRPr="00F701DD">
        <w:rPr>
          <w:rFonts w:cstheme="minorHAnsi"/>
          <w:color w:val="202020"/>
          <w:shd w:val="clear" w:color="auto" w:fill="FFFFFF"/>
        </w:rPr>
        <w:t>Takatāpui</w:t>
      </w:r>
      <w:proofErr w:type="spellEnd"/>
      <w:r w:rsidRPr="00F701DD">
        <w:rPr>
          <w:rFonts w:cstheme="minorHAnsi"/>
          <w:color w:val="202020"/>
          <w:shd w:val="clear" w:color="auto" w:fill="FFFFFF"/>
        </w:rPr>
        <w:t>/LGBTIQ+ people’s experiences before becoming homeless in Aotearoa New Zealand</w:t>
      </w:r>
      <w:r>
        <w:rPr>
          <w:rFonts w:cstheme="minorHAnsi"/>
          <w:color w:val="202020"/>
          <w:shd w:val="clear" w:color="auto" w:fill="FFFFFF"/>
        </w:rPr>
        <w:t>,</w:t>
      </w:r>
      <w:r w:rsidRPr="00F701DD">
        <w:rPr>
          <w:rFonts w:cstheme="minorHAnsi"/>
          <w:color w:val="202020"/>
          <w:shd w:val="clear" w:color="auto" w:fill="FFFFFF"/>
        </w:rPr>
        <w:t xml:space="preserve"> </w:t>
      </w:r>
      <w:proofErr w:type="spellStart"/>
      <w:r w:rsidRPr="00996016">
        <w:rPr>
          <w:rFonts w:cstheme="minorHAnsi"/>
          <w:i/>
          <w:iCs/>
          <w:color w:val="202020"/>
          <w:shd w:val="clear" w:color="auto" w:fill="FFFFFF"/>
        </w:rPr>
        <w:t>PLoS</w:t>
      </w:r>
      <w:proofErr w:type="spellEnd"/>
      <w:r w:rsidRPr="00996016">
        <w:rPr>
          <w:rFonts w:cstheme="minorHAnsi"/>
          <w:i/>
          <w:iCs/>
          <w:color w:val="202020"/>
          <w:shd w:val="clear" w:color="auto" w:fill="FFFFFF"/>
        </w:rPr>
        <w:t xml:space="preserve"> ONE</w:t>
      </w:r>
      <w:r w:rsidRPr="00F701DD">
        <w:rPr>
          <w:rFonts w:cstheme="minorHAnsi"/>
          <w:color w:val="202020"/>
          <w:shd w:val="clear" w:color="auto" w:fill="FFFFFF"/>
        </w:rPr>
        <w:t xml:space="preserve"> </w:t>
      </w:r>
      <w:r w:rsidRPr="00F701DD">
        <w:rPr>
          <w:rFonts w:cstheme="minorHAnsi"/>
          <w:i/>
          <w:iCs/>
          <w:color w:val="202020"/>
          <w:shd w:val="clear" w:color="auto" w:fill="FFFFFF"/>
        </w:rPr>
        <w:t>16(12</w:t>
      </w:r>
      <w:r w:rsidRPr="00F701DD">
        <w:rPr>
          <w:rFonts w:cstheme="minorHAnsi"/>
          <w:color w:val="202020"/>
          <w:shd w:val="clear" w:color="auto" w:fill="FFFFFF"/>
        </w:rPr>
        <w:t xml:space="preserve">): e0259799. </w:t>
      </w:r>
      <w:hyperlink r:id="rId247" w:history="1">
        <w:r w:rsidRPr="00F701DD">
          <w:rPr>
            <w:rStyle w:val="Hyperlink"/>
            <w:rFonts w:cstheme="minorHAnsi"/>
            <w:shd w:val="clear" w:color="auto" w:fill="FFFFFF"/>
          </w:rPr>
          <w:t>https://doi.org/10.1371/journal.pone.0259799</w:t>
        </w:r>
      </w:hyperlink>
      <w:r w:rsidRPr="00F701DD">
        <w:rPr>
          <w:rFonts w:cstheme="minorHAnsi"/>
          <w:color w:val="202020"/>
          <w:shd w:val="clear" w:color="auto" w:fill="FFFFFF"/>
        </w:rPr>
        <w:t xml:space="preserve"> </w:t>
      </w:r>
    </w:p>
  </w:footnote>
  <w:footnote w:id="384">
    <w:p w14:paraId="6DD0AD4A" w14:textId="77777777" w:rsidR="001A4CBB" w:rsidRPr="00F701DD" w:rsidRDefault="001A4CBB"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w:t>
      </w:r>
      <w:r w:rsidRPr="00F701DD">
        <w:rPr>
          <w:rFonts w:asciiTheme="minorHAnsi" w:hAnsiTheme="minorHAnsi" w:cstheme="minorHAnsi"/>
          <w:lang w:val="mi-NZ"/>
        </w:rPr>
        <w:t xml:space="preserve">See Manaaki Rangatahi’s petition: </w:t>
      </w:r>
      <w:hyperlink r:id="rId248" w:history="1">
        <w:r w:rsidRPr="00F701DD">
          <w:rPr>
            <w:rStyle w:val="Hyperlink"/>
            <w:rFonts w:asciiTheme="minorHAnsi" w:hAnsiTheme="minorHAnsi" w:cstheme="minorHAnsi"/>
            <w:lang w:val="mi-NZ"/>
          </w:rPr>
          <w:t>https://our.actionstation.org.nz/petitions/end-youth-homelessness?fbclid=IwAR3VoxwG2XTsHxLmG_4hWjoRffcryUX0V0BMZX6NC8-KBWU1sk6a9dGlMB0</w:t>
        </w:r>
      </w:hyperlink>
      <w:r w:rsidRPr="00F701DD">
        <w:rPr>
          <w:rFonts w:asciiTheme="minorHAnsi" w:hAnsiTheme="minorHAnsi" w:cstheme="minorHAnsi"/>
          <w:lang w:val="mi-NZ"/>
        </w:rPr>
        <w:t xml:space="preserve"> </w:t>
      </w:r>
    </w:p>
  </w:footnote>
  <w:footnote w:id="385">
    <w:p w14:paraId="0B870C65" w14:textId="77777777" w:rsidR="00B06566" w:rsidRPr="00F701DD" w:rsidRDefault="00B06566"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w:t>
      </w:r>
      <w:r w:rsidRPr="00F701DD">
        <w:rPr>
          <w:rFonts w:asciiTheme="minorHAnsi" w:hAnsiTheme="minorHAnsi" w:cstheme="minorHAnsi"/>
          <w:color w:val="000000"/>
        </w:rPr>
        <w:t>Food security means access to sufficient diverse foods every day of life (from conception and for the mother) and is essential for a child to grow and develop to their full potential.</w:t>
      </w:r>
    </w:p>
  </w:footnote>
  <w:footnote w:id="386">
    <w:p w14:paraId="6E948FA7" w14:textId="77777777" w:rsidR="001A4CBB" w:rsidRPr="00F701DD" w:rsidRDefault="001A4CBB"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w:t>
      </w:r>
      <w:r w:rsidRPr="00F701DD">
        <w:rPr>
          <w:rFonts w:asciiTheme="minorHAnsi" w:hAnsiTheme="minorHAnsi" w:cstheme="minorHAnsi"/>
          <w:color w:val="000000"/>
        </w:rPr>
        <w:t>2020/21 New Zealand Health Survey</w:t>
      </w:r>
      <w:r>
        <w:rPr>
          <w:rFonts w:asciiTheme="minorHAnsi" w:hAnsiTheme="minorHAnsi" w:cstheme="minorHAnsi"/>
          <w:color w:val="000000"/>
        </w:rPr>
        <w:t>:</w:t>
      </w:r>
      <w:r w:rsidRPr="00F701DD">
        <w:rPr>
          <w:rFonts w:asciiTheme="minorHAnsi" w:hAnsiTheme="minorHAnsi" w:cstheme="minorHAnsi"/>
        </w:rPr>
        <w:t xml:space="preserve"> </w:t>
      </w:r>
      <w:hyperlink r:id="rId249" w:history="1">
        <w:r w:rsidRPr="00F701DD">
          <w:rPr>
            <w:rStyle w:val="Hyperlink"/>
            <w:rFonts w:asciiTheme="minorHAnsi" w:hAnsiTheme="minorHAnsi" w:cstheme="minorHAnsi"/>
          </w:rPr>
          <w:t>https://www.health.govt.nz/publication/annual-update-key-results-2020-21-new-zealand-health-survey</w:t>
        </w:r>
      </w:hyperlink>
      <w:r w:rsidRPr="00F701DD">
        <w:rPr>
          <w:rFonts w:asciiTheme="minorHAnsi" w:hAnsiTheme="minorHAnsi" w:cstheme="minorHAnsi"/>
        </w:rPr>
        <w:t xml:space="preserve"> </w:t>
      </w:r>
    </w:p>
  </w:footnote>
  <w:footnote w:id="387">
    <w:p w14:paraId="5457E63D" w14:textId="77777777" w:rsidR="001A4CBB" w:rsidRPr="00F701DD" w:rsidRDefault="001A4CBB" w:rsidP="00E20FF1">
      <w:pPr>
        <w:spacing w:after="0" w:line="240" w:lineRule="auto"/>
        <w:rPr>
          <w:rFonts w:cstheme="minorHAnsi"/>
        </w:rPr>
      </w:pPr>
      <w:r w:rsidRPr="00F701DD">
        <w:rPr>
          <w:rStyle w:val="FootnoteReference"/>
          <w:rFonts w:cstheme="minorHAnsi"/>
        </w:rPr>
        <w:footnoteRef/>
      </w:r>
      <w:r w:rsidRPr="00F701DD">
        <w:rPr>
          <w:rFonts w:cstheme="minorHAnsi"/>
        </w:rPr>
        <w:t xml:space="preserve"> Sakura </w:t>
      </w:r>
      <w:proofErr w:type="spellStart"/>
      <w:r w:rsidRPr="00F701DD">
        <w:rPr>
          <w:rFonts w:cstheme="minorHAnsi"/>
        </w:rPr>
        <w:t>Oyama</w:t>
      </w:r>
      <w:proofErr w:type="spellEnd"/>
      <w:r w:rsidRPr="00F701DD">
        <w:rPr>
          <w:rFonts w:cstheme="minorHAnsi"/>
        </w:rPr>
        <w:t>, El-</w:t>
      </w:r>
      <w:proofErr w:type="spellStart"/>
      <w:r w:rsidRPr="00F701DD">
        <w:rPr>
          <w:rFonts w:cstheme="minorHAnsi"/>
        </w:rPr>
        <w:t>Shadan</w:t>
      </w:r>
      <w:proofErr w:type="spellEnd"/>
      <w:r w:rsidRPr="00F701DD">
        <w:rPr>
          <w:rFonts w:cstheme="minorHAnsi"/>
        </w:rPr>
        <w:t xml:space="preserve"> </w:t>
      </w:r>
      <w:proofErr w:type="spellStart"/>
      <w:r w:rsidRPr="00F701DD">
        <w:rPr>
          <w:rFonts w:cstheme="minorHAnsi"/>
        </w:rPr>
        <w:t>Tautolo</w:t>
      </w:r>
      <w:proofErr w:type="spellEnd"/>
      <w:r w:rsidRPr="00F701DD">
        <w:rPr>
          <w:rFonts w:cstheme="minorHAnsi"/>
        </w:rPr>
        <w:t xml:space="preserve">, Collin </w:t>
      </w:r>
      <w:proofErr w:type="spellStart"/>
      <w:r w:rsidRPr="00F701DD">
        <w:rPr>
          <w:rFonts w:cstheme="minorHAnsi"/>
        </w:rPr>
        <w:t>Tukuitonga</w:t>
      </w:r>
      <w:proofErr w:type="spellEnd"/>
      <w:r w:rsidRPr="00F701DD">
        <w:rPr>
          <w:rFonts w:cstheme="minorHAnsi"/>
        </w:rPr>
        <w:t xml:space="preserve"> &amp; Elaine C Rush (2021, October) Pacific Islands Families Study: </w:t>
      </w:r>
      <w:r>
        <w:rPr>
          <w:rFonts w:cstheme="minorHAnsi"/>
        </w:rPr>
        <w:t>A</w:t>
      </w:r>
      <w:r w:rsidRPr="00F701DD">
        <w:rPr>
          <w:rFonts w:cstheme="minorHAnsi"/>
        </w:rPr>
        <w:t>dverse impact of food insecurity on child body composition</w:t>
      </w:r>
      <w:r>
        <w:rPr>
          <w:rFonts w:cstheme="minorHAnsi"/>
        </w:rPr>
        <w:t>,</w:t>
      </w:r>
      <w:r w:rsidRPr="00F701DD">
        <w:rPr>
          <w:rFonts w:cstheme="minorHAnsi"/>
        </w:rPr>
        <w:t xml:space="preserve"> </w:t>
      </w:r>
      <w:r w:rsidRPr="00F701DD">
        <w:rPr>
          <w:rFonts w:cstheme="minorHAnsi"/>
          <w:i/>
          <w:iCs/>
        </w:rPr>
        <w:t>NZMJ</w:t>
      </w:r>
      <w:r w:rsidRPr="00F701DD">
        <w:rPr>
          <w:rFonts w:cstheme="minorHAnsi"/>
        </w:rPr>
        <w:t xml:space="preserve"> 8, 134(543) (based on 2015/16 New Zealand Health Survey data).</w:t>
      </w:r>
    </w:p>
  </w:footnote>
  <w:footnote w:id="388">
    <w:p w14:paraId="4B2893A4" w14:textId="77777777" w:rsidR="001A4CBB" w:rsidRPr="00F701DD" w:rsidRDefault="001A4CBB"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Ministry of Health, 2020/2021 New Zealand Health Survey </w:t>
      </w:r>
      <w:hyperlink r:id="rId250" w:history="1">
        <w:r w:rsidRPr="00F701DD">
          <w:rPr>
            <w:rStyle w:val="Hyperlink"/>
            <w:rFonts w:asciiTheme="minorHAnsi" w:hAnsiTheme="minorHAnsi" w:cstheme="minorHAnsi"/>
          </w:rPr>
          <w:t>https://www.health.govt.nz/publication/annual-update-key-results-2020-21-new-zealand-health-survey</w:t>
        </w:r>
      </w:hyperlink>
      <w:r w:rsidRPr="00F701DD">
        <w:rPr>
          <w:rFonts w:asciiTheme="minorHAnsi" w:hAnsiTheme="minorHAnsi" w:cstheme="minorHAnsi"/>
        </w:rPr>
        <w:t xml:space="preserve"> </w:t>
      </w:r>
    </w:p>
  </w:footnote>
  <w:footnote w:id="389">
    <w:p w14:paraId="6EB4E07A" w14:textId="77777777" w:rsidR="001A4CBB" w:rsidRPr="00AD2E6C" w:rsidRDefault="001A4CBB" w:rsidP="00E20FF1">
      <w:pPr>
        <w:pStyle w:val="FootnoteText"/>
        <w:rPr>
          <w:lang w:val="mi-NZ"/>
        </w:rPr>
      </w:pPr>
      <w:r>
        <w:rPr>
          <w:rStyle w:val="FootnoteReference"/>
        </w:rPr>
        <w:footnoteRef/>
      </w:r>
      <w:r>
        <w:t xml:space="preserve"> </w:t>
      </w:r>
      <w:r>
        <w:rPr>
          <w:rFonts w:asciiTheme="minorHAnsi" w:hAnsiTheme="minorHAnsi" w:cstheme="minorHAnsi"/>
          <w:color w:val="000000"/>
        </w:rPr>
        <w:t>F</w:t>
      </w:r>
      <w:r w:rsidRPr="00E7687D">
        <w:rPr>
          <w:rFonts w:asciiTheme="minorHAnsi" w:hAnsiTheme="minorHAnsi" w:cstheme="minorHAnsi"/>
          <w:color w:val="000000"/>
        </w:rPr>
        <w:t xml:space="preserve">at and protein are </w:t>
      </w:r>
      <w:proofErr w:type="gramStart"/>
      <w:r w:rsidRPr="00E7687D">
        <w:rPr>
          <w:rFonts w:asciiTheme="minorHAnsi" w:hAnsiTheme="minorHAnsi" w:cstheme="minorHAnsi"/>
          <w:color w:val="000000"/>
        </w:rPr>
        <w:t>exported</w:t>
      </w:r>
      <w:proofErr w:type="gramEnd"/>
      <w:r w:rsidRPr="00E7687D">
        <w:rPr>
          <w:rFonts w:asciiTheme="minorHAnsi" w:hAnsiTheme="minorHAnsi" w:cstheme="minorHAnsi"/>
          <w:color w:val="000000"/>
        </w:rPr>
        <w:t xml:space="preserve"> and refined carbohydrate (flour and sugar) imported. Not enough legumes and vegetables (especially leafy green vegetables) are grown to meet dietary guidelines or </w:t>
      </w:r>
      <w:r>
        <w:rPr>
          <w:rFonts w:asciiTheme="minorHAnsi" w:hAnsiTheme="minorHAnsi" w:cstheme="minorHAnsi"/>
          <w:color w:val="000000"/>
        </w:rPr>
        <w:t xml:space="preserve">to </w:t>
      </w:r>
      <w:r w:rsidRPr="00E7687D">
        <w:rPr>
          <w:rFonts w:asciiTheme="minorHAnsi" w:hAnsiTheme="minorHAnsi" w:cstheme="minorHAnsi"/>
          <w:color w:val="000000"/>
        </w:rPr>
        <w:t>provide the required nutritional diversity.</w:t>
      </w:r>
    </w:p>
  </w:footnote>
  <w:footnote w:id="390">
    <w:p w14:paraId="2C14A9B9" w14:textId="77777777" w:rsidR="001A4CBB" w:rsidRPr="00F701DD" w:rsidRDefault="001A4CBB" w:rsidP="00E20FF1">
      <w:pPr>
        <w:autoSpaceDE w:val="0"/>
        <w:autoSpaceDN w:val="0"/>
        <w:adjustRightInd w:val="0"/>
        <w:spacing w:after="0" w:line="240" w:lineRule="auto"/>
        <w:rPr>
          <w:rFonts w:cstheme="minorHAnsi"/>
        </w:rPr>
      </w:pPr>
      <w:r w:rsidRPr="00F701DD">
        <w:rPr>
          <w:rStyle w:val="FootnoteReference"/>
          <w:rFonts w:cstheme="minorHAnsi"/>
        </w:rPr>
        <w:footnoteRef/>
      </w:r>
      <w:r w:rsidRPr="00F701DD">
        <w:rPr>
          <w:rFonts w:cstheme="minorHAnsi"/>
        </w:rPr>
        <w:t xml:space="preserve"> </w:t>
      </w:r>
      <w:r w:rsidRPr="00F701DD">
        <w:rPr>
          <w:rFonts w:cstheme="minorHAnsi"/>
          <w:lang w:val="mi-NZ"/>
        </w:rPr>
        <w:t xml:space="preserve">See </w:t>
      </w:r>
      <w:r>
        <w:rPr>
          <w:rFonts w:cstheme="minorHAnsi"/>
          <w:lang w:val="mi-NZ"/>
        </w:rPr>
        <w:t xml:space="preserve">F </w:t>
      </w:r>
      <w:r w:rsidRPr="00F701DD">
        <w:rPr>
          <w:rFonts w:cstheme="minorHAnsi"/>
        </w:rPr>
        <w:t>Curran-</w:t>
      </w:r>
      <w:proofErr w:type="spellStart"/>
      <w:r w:rsidRPr="00F701DD">
        <w:rPr>
          <w:rFonts w:cstheme="minorHAnsi"/>
        </w:rPr>
        <w:t>Cournane</w:t>
      </w:r>
      <w:proofErr w:type="spellEnd"/>
      <w:r>
        <w:rPr>
          <w:rFonts w:cstheme="minorHAnsi"/>
        </w:rPr>
        <w:t xml:space="preserve"> </w:t>
      </w:r>
      <w:r w:rsidRPr="00F701DD">
        <w:rPr>
          <w:rFonts w:cstheme="minorHAnsi"/>
        </w:rPr>
        <w:t xml:space="preserve">&amp; </w:t>
      </w:r>
      <w:r>
        <w:rPr>
          <w:rFonts w:cstheme="minorHAnsi"/>
        </w:rPr>
        <w:t xml:space="preserve">E </w:t>
      </w:r>
      <w:r w:rsidRPr="00F701DD">
        <w:rPr>
          <w:rFonts w:cstheme="minorHAnsi"/>
        </w:rPr>
        <w:t>Rush</w:t>
      </w:r>
      <w:r>
        <w:rPr>
          <w:rFonts w:cstheme="minorHAnsi"/>
        </w:rPr>
        <w:t xml:space="preserve"> (2021)</w:t>
      </w:r>
      <w:r w:rsidRPr="00F701DD">
        <w:rPr>
          <w:rFonts w:cstheme="minorHAnsi"/>
        </w:rPr>
        <w:t xml:space="preserve"> Feeding the New Zealand Family of Five Million, 5+ a Day of Vegetables? </w:t>
      </w:r>
      <w:r w:rsidRPr="00996016">
        <w:rPr>
          <w:rFonts w:cstheme="minorHAnsi"/>
          <w:i/>
          <w:iCs/>
        </w:rPr>
        <w:t>Earth</w:t>
      </w:r>
      <w:r w:rsidRPr="00F701DD">
        <w:rPr>
          <w:rFonts w:cstheme="minorHAnsi"/>
        </w:rPr>
        <w:t xml:space="preserve">, 2, 797–808. </w:t>
      </w:r>
      <w:hyperlink r:id="rId251" w:history="1">
        <w:r w:rsidRPr="00F701DD">
          <w:rPr>
            <w:rStyle w:val="Hyperlink"/>
            <w:rFonts w:cstheme="minorHAnsi"/>
          </w:rPr>
          <w:t>https://doi.org/10.3390/earth2040047</w:t>
        </w:r>
      </w:hyperlink>
      <w:r w:rsidRPr="00F701DD">
        <w:rPr>
          <w:rFonts w:cstheme="minorHAnsi"/>
        </w:rPr>
        <w:t xml:space="preserve"> </w:t>
      </w:r>
    </w:p>
  </w:footnote>
  <w:footnote w:id="391">
    <w:p w14:paraId="2FBFEC5C" w14:textId="77777777" w:rsidR="001A4CBB" w:rsidRPr="00F701DD" w:rsidRDefault="001A4CBB" w:rsidP="00E20FF1">
      <w:pPr>
        <w:autoSpaceDE w:val="0"/>
        <w:autoSpaceDN w:val="0"/>
        <w:adjustRightInd w:val="0"/>
        <w:spacing w:after="0" w:line="240" w:lineRule="auto"/>
        <w:rPr>
          <w:rFonts w:cstheme="minorHAnsi"/>
        </w:rPr>
      </w:pPr>
      <w:r w:rsidRPr="00F701DD">
        <w:rPr>
          <w:rStyle w:val="FootnoteReference"/>
          <w:rFonts w:cstheme="minorHAnsi"/>
        </w:rPr>
        <w:footnoteRef/>
      </w:r>
      <w:r w:rsidRPr="00F701DD">
        <w:rPr>
          <w:rFonts w:cstheme="minorHAnsi"/>
        </w:rPr>
        <w:t xml:space="preserve"> Elaine Rush &amp; Vladimir </w:t>
      </w:r>
      <w:proofErr w:type="spellStart"/>
      <w:r w:rsidRPr="00F701DD">
        <w:rPr>
          <w:rFonts w:cstheme="minorHAnsi"/>
        </w:rPr>
        <w:t>Obolonkin</w:t>
      </w:r>
      <w:proofErr w:type="spellEnd"/>
      <w:r>
        <w:rPr>
          <w:rFonts w:cstheme="minorHAnsi"/>
        </w:rPr>
        <w:t xml:space="preserve"> (2020, January 10) </w:t>
      </w:r>
      <w:r w:rsidRPr="00F701DD">
        <w:rPr>
          <w:rFonts w:cstheme="minorHAnsi"/>
        </w:rPr>
        <w:t>Food exports and imports of New Zealand in relation to the food-based dietary guidelines</w:t>
      </w:r>
      <w:r>
        <w:rPr>
          <w:rFonts w:cstheme="minorHAnsi"/>
        </w:rPr>
        <w:t xml:space="preserve">, </w:t>
      </w:r>
      <w:r w:rsidRPr="00F701DD">
        <w:rPr>
          <w:rFonts w:cstheme="minorHAnsi"/>
          <w:i/>
          <w:iCs/>
        </w:rPr>
        <w:t>European Journal of Clinical Nutrition</w:t>
      </w:r>
      <w:r w:rsidRPr="00F701DD">
        <w:rPr>
          <w:rFonts w:cstheme="minorHAnsi"/>
        </w:rPr>
        <w:t xml:space="preserve"> </w:t>
      </w:r>
      <w:hyperlink r:id="rId252" w:history="1">
        <w:r w:rsidRPr="00F701DD">
          <w:rPr>
            <w:rStyle w:val="Hyperlink"/>
            <w:rFonts w:cstheme="minorHAnsi"/>
          </w:rPr>
          <w:t>https://doi.org/10.1038/s41430-019-0557-z</w:t>
        </w:r>
      </w:hyperlink>
      <w:r w:rsidRPr="00F701DD">
        <w:rPr>
          <w:rFonts w:cstheme="minorHAnsi"/>
        </w:rPr>
        <w:t xml:space="preserve"> </w:t>
      </w:r>
    </w:p>
  </w:footnote>
  <w:footnote w:id="392">
    <w:p w14:paraId="70DB4A34" w14:textId="77777777" w:rsidR="001A4CBB" w:rsidRPr="00F701DD" w:rsidRDefault="001A4CBB"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w:t>
      </w:r>
      <w:r w:rsidRPr="00F701DD">
        <w:rPr>
          <w:rFonts w:asciiTheme="minorHAnsi" w:hAnsiTheme="minorHAnsi" w:cstheme="minorHAnsi"/>
          <w:lang w:val="mi-NZ"/>
        </w:rPr>
        <w:t xml:space="preserve">Children’s Convention Monitoring Group (2021) </w:t>
      </w:r>
      <w:r w:rsidRPr="00F701DD">
        <w:rPr>
          <w:rFonts w:asciiTheme="minorHAnsi" w:hAnsiTheme="minorHAnsi" w:cstheme="minorHAnsi"/>
          <w:i/>
          <w:iCs/>
          <w:lang w:val="mi-NZ"/>
        </w:rPr>
        <w:t>Getting it right: Children’s rights in the COVID-19 response</w:t>
      </w:r>
      <w:r w:rsidRPr="00F701DD">
        <w:rPr>
          <w:rFonts w:asciiTheme="minorHAnsi" w:hAnsiTheme="minorHAnsi" w:cstheme="minorHAnsi"/>
          <w:lang w:val="mi-NZ"/>
        </w:rPr>
        <w:t xml:space="preserve">: </w:t>
      </w:r>
      <w:hyperlink r:id="rId253" w:history="1">
        <w:r w:rsidRPr="00F701DD">
          <w:rPr>
            <w:rStyle w:val="Hyperlink"/>
            <w:rFonts w:asciiTheme="minorHAnsi" w:hAnsiTheme="minorHAnsi" w:cstheme="minorHAnsi"/>
            <w:lang w:val="mi-NZ"/>
          </w:rPr>
          <w:t>https://www.occ.org.nz/publications/reports/childrens-rights-in-covid19/</w:t>
        </w:r>
      </w:hyperlink>
      <w:r w:rsidRPr="00F701DD">
        <w:rPr>
          <w:rFonts w:asciiTheme="minorHAnsi" w:hAnsiTheme="minorHAnsi" w:cstheme="minorHAnsi"/>
          <w:lang w:val="mi-NZ"/>
        </w:rPr>
        <w:t xml:space="preserve"> </w:t>
      </w:r>
    </w:p>
  </w:footnote>
  <w:footnote w:id="393">
    <w:p w14:paraId="11C22794" w14:textId="77777777" w:rsidR="006F4272" w:rsidRPr="003405D8" w:rsidRDefault="006F4272" w:rsidP="00E20FF1">
      <w:pPr>
        <w:pStyle w:val="FootnoteText"/>
        <w:rPr>
          <w:lang w:val="mi-NZ"/>
        </w:rPr>
      </w:pPr>
      <w:r>
        <w:rPr>
          <w:rStyle w:val="FootnoteReference"/>
        </w:rPr>
        <w:footnoteRef/>
      </w:r>
      <w:r>
        <w:t xml:space="preserve"> </w:t>
      </w:r>
      <w:r>
        <w:rPr>
          <w:rFonts w:asciiTheme="minorHAnsi" w:hAnsiTheme="minorHAnsi" w:cstheme="minorHAnsi"/>
          <w:color w:val="000000" w:themeColor="text1"/>
        </w:rPr>
        <w:t>I</w:t>
      </w:r>
      <w:r w:rsidRPr="00A3386E">
        <w:rPr>
          <w:rFonts w:asciiTheme="minorHAnsi" w:hAnsiTheme="minorHAnsi" w:cstheme="minorHAnsi"/>
          <w:color w:val="000000" w:themeColor="text1"/>
        </w:rPr>
        <w:t>ncluding their education rights under Articles 28 and 29 of the CRC, Article 24 of the UNCRPD and Article 14 of UNDRIP.</w:t>
      </w:r>
    </w:p>
  </w:footnote>
  <w:footnote w:id="394">
    <w:p w14:paraId="65A56743" w14:textId="77777777" w:rsidR="006F4272" w:rsidRPr="00F701DD" w:rsidRDefault="006F4272"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w:t>
      </w:r>
      <w:hyperlink r:id="rId254" w:history="1">
        <w:r w:rsidRPr="00F701DD">
          <w:rPr>
            <w:rStyle w:val="Hyperlink"/>
            <w:rFonts w:asciiTheme="minorHAnsi" w:hAnsiTheme="minorHAnsi" w:cstheme="minorHAnsi"/>
          </w:rPr>
          <w:t>https://www.rnz.co.nz/news/national/457156/covid-19-wrap-for-3-december-auckland-lockdown-ends-traffic-light-system-comes-in</w:t>
        </w:r>
      </w:hyperlink>
      <w:r w:rsidRPr="00F701DD">
        <w:rPr>
          <w:rFonts w:asciiTheme="minorHAnsi" w:hAnsiTheme="minorHAnsi" w:cstheme="minorHAnsi"/>
        </w:rPr>
        <w:t xml:space="preserve"> </w:t>
      </w:r>
    </w:p>
  </w:footnote>
  <w:footnote w:id="395">
    <w:p w14:paraId="15776942" w14:textId="1E8C96A3" w:rsidR="006F4272" w:rsidRPr="00F37B7D" w:rsidRDefault="006F4272" w:rsidP="00E20FF1">
      <w:pPr>
        <w:spacing w:after="0" w:line="240" w:lineRule="auto"/>
        <w:rPr>
          <w:rFonts w:cstheme="minorHAnsi"/>
          <w:lang w:val="mi-NZ"/>
        </w:rPr>
      </w:pPr>
      <w:r w:rsidRPr="00F701DD">
        <w:rPr>
          <w:rStyle w:val="FootnoteReference"/>
          <w:rFonts w:cstheme="minorHAnsi"/>
        </w:rPr>
        <w:footnoteRef/>
      </w:r>
      <w:r w:rsidRPr="00F701DD">
        <w:rPr>
          <w:rFonts w:cstheme="minorHAnsi"/>
          <w:color w:val="000000" w:themeColor="text1"/>
        </w:rPr>
        <w:t xml:space="preserve"> See </w:t>
      </w:r>
      <w:r w:rsidR="00F37B7D" w:rsidRPr="00A05D78">
        <w:rPr>
          <w:rFonts w:cstheme="minorHAnsi"/>
          <w:lang w:val="mi-NZ"/>
        </w:rPr>
        <w:t>Basic Health and Welfare Rights of Children 0</w:t>
      </w:r>
      <w:r w:rsidR="007D2EA8">
        <w:rPr>
          <w:rFonts w:cstheme="minorHAnsi"/>
          <w:lang w:val="mi-NZ"/>
        </w:rPr>
        <w:t>-</w:t>
      </w:r>
      <w:r w:rsidR="00F37B7D" w:rsidRPr="00A05D78">
        <w:rPr>
          <w:rFonts w:cstheme="minorHAnsi"/>
          <w:lang w:val="mi-NZ"/>
        </w:rPr>
        <w:t>5 years of age Thematic Report</w:t>
      </w:r>
      <w:r>
        <w:rPr>
          <w:rFonts w:cstheme="minorHAnsi"/>
          <w:color w:val="000000" w:themeColor="text1"/>
        </w:rPr>
        <w:t xml:space="preserve">: </w:t>
      </w:r>
      <w:r w:rsidRPr="00F701DD">
        <w:rPr>
          <w:rFonts w:cstheme="minorHAnsi"/>
          <w:color w:val="000000" w:themeColor="text1"/>
          <w:lang w:val="mi-NZ"/>
        </w:rPr>
        <w:t xml:space="preserve">Children under five years of age were unable to attend their early learning centre during lockdown (for some children in Tamaki Makaurau, this was for more than 100 days) limiting play with other children (especially sole child families) and access to early learning. This also created considerable stress for parents trying to work from home and care for their young children without support. ECE children were largely left out of Government efforts to provide learning materials and sustained engagement with ECEs during lockdowns. </w:t>
      </w:r>
    </w:p>
  </w:footnote>
  <w:footnote w:id="396">
    <w:p w14:paraId="210DBC61" w14:textId="77777777" w:rsidR="006F4272" w:rsidRPr="00F701DD" w:rsidRDefault="006F4272" w:rsidP="00E20FF1">
      <w:pPr>
        <w:spacing w:after="0" w:line="240" w:lineRule="auto"/>
        <w:rPr>
          <w:rFonts w:cstheme="minorHAnsi"/>
          <w:lang w:val="mi-NZ"/>
        </w:rPr>
      </w:pPr>
      <w:r w:rsidRPr="00F701DD">
        <w:rPr>
          <w:rStyle w:val="FootnoteReference"/>
          <w:rFonts w:cstheme="minorHAnsi"/>
        </w:rPr>
        <w:footnoteRef/>
      </w:r>
      <w:r w:rsidRPr="00F701DD">
        <w:rPr>
          <w:rFonts w:cstheme="minorHAnsi"/>
        </w:rPr>
        <w:t xml:space="preserve"> </w:t>
      </w:r>
      <w:hyperlink r:id="rId255" w:history="1">
        <w:r w:rsidRPr="00F701DD">
          <w:rPr>
            <w:rStyle w:val="Hyperlink"/>
            <w:rFonts w:cstheme="minorHAnsi"/>
            <w:lang w:val="mi-NZ"/>
          </w:rPr>
          <w:t>https://ero.govt.nz/our-research/learning-in-a-covid-19-world-the-impact-of-covid-19-on-schools</w:t>
        </w:r>
      </w:hyperlink>
      <w:r w:rsidRPr="00F701DD">
        <w:rPr>
          <w:rFonts w:cstheme="minorHAnsi"/>
          <w:lang w:val="mi-NZ"/>
        </w:rPr>
        <w:t xml:space="preserve"> </w:t>
      </w:r>
    </w:p>
  </w:footnote>
  <w:footnote w:id="397">
    <w:p w14:paraId="27009FF2" w14:textId="77777777" w:rsidR="006F4272" w:rsidRPr="00F701DD" w:rsidRDefault="006F4272"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w:t>
      </w:r>
      <w:hyperlink r:id="rId256" w:history="1">
        <w:r w:rsidRPr="00F701DD">
          <w:rPr>
            <w:rStyle w:val="Hyperlink"/>
            <w:rFonts w:asciiTheme="minorHAnsi" w:hAnsiTheme="minorHAnsi" w:cstheme="minorHAnsi"/>
          </w:rPr>
          <w:t>https://www.rnz.co.nz/national/programmes/ninetonoon/audio/2018811494/students-call-for-more-help</w:t>
        </w:r>
      </w:hyperlink>
      <w:r w:rsidRPr="00F701DD">
        <w:rPr>
          <w:rFonts w:asciiTheme="minorHAnsi" w:hAnsiTheme="minorHAnsi" w:cstheme="minorHAnsi"/>
        </w:rPr>
        <w:t xml:space="preserve"> </w:t>
      </w:r>
    </w:p>
  </w:footnote>
  <w:footnote w:id="398">
    <w:p w14:paraId="4B926660" w14:textId="77777777" w:rsidR="006F4272" w:rsidRPr="00F701DD" w:rsidRDefault="006F4272" w:rsidP="00E20FF1">
      <w:pPr>
        <w:spacing w:after="0" w:line="240" w:lineRule="auto"/>
        <w:rPr>
          <w:rFonts w:cstheme="minorHAnsi"/>
          <w:lang w:val="mi-NZ"/>
        </w:rPr>
      </w:pPr>
      <w:r w:rsidRPr="00F701DD">
        <w:rPr>
          <w:rStyle w:val="FootnoteReference"/>
          <w:rFonts w:cstheme="minorHAnsi"/>
        </w:rPr>
        <w:footnoteRef/>
      </w:r>
      <w:r w:rsidRPr="00F701DD">
        <w:rPr>
          <w:rFonts w:cstheme="minorHAnsi"/>
        </w:rPr>
        <w:t xml:space="preserve"> </w:t>
      </w:r>
      <w:hyperlink r:id="rId257" w:history="1">
        <w:r w:rsidRPr="00F701DD">
          <w:rPr>
            <w:rStyle w:val="Hyperlink"/>
            <w:rFonts w:cstheme="minorHAnsi"/>
            <w:lang w:val="mi-NZ"/>
          </w:rPr>
          <w:t>https://www.educationcounts.govt.nz/publications/schooling/he-whakaaro-how-covid-19-is-affecting-school-attendance</w:t>
        </w:r>
      </w:hyperlink>
      <w:r w:rsidRPr="00F701DD">
        <w:rPr>
          <w:rFonts w:cstheme="minorHAnsi"/>
          <w:lang w:val="mi-NZ"/>
        </w:rPr>
        <w:t xml:space="preserve"> </w:t>
      </w:r>
    </w:p>
  </w:footnote>
  <w:footnote w:id="399">
    <w:p w14:paraId="4A6E3C54" w14:textId="77777777" w:rsidR="006F4272" w:rsidRPr="00F701DD" w:rsidRDefault="006F4272" w:rsidP="00E20FF1">
      <w:pPr>
        <w:spacing w:after="0" w:line="240" w:lineRule="auto"/>
        <w:rPr>
          <w:rFonts w:cstheme="minorHAnsi"/>
          <w:lang w:val="mi-NZ"/>
        </w:rPr>
      </w:pPr>
      <w:r w:rsidRPr="00F701DD">
        <w:rPr>
          <w:rStyle w:val="FootnoteReference"/>
          <w:rFonts w:cstheme="minorHAnsi"/>
        </w:rPr>
        <w:footnoteRef/>
      </w:r>
      <w:r w:rsidRPr="00F701DD">
        <w:rPr>
          <w:rFonts w:cstheme="minorHAnsi"/>
        </w:rPr>
        <w:t xml:space="preserve"> </w:t>
      </w:r>
      <w:hyperlink r:id="rId258" w:history="1">
        <w:r w:rsidRPr="00F701DD">
          <w:rPr>
            <w:rStyle w:val="Hyperlink"/>
            <w:rFonts w:cstheme="minorHAnsi"/>
          </w:rPr>
          <w:t>https://www.theguardian.com/world/2022/jul/06/new-zealand-principals-voice-alarm-as-students-fail-return-to-school-after-covid-lockdowns</w:t>
        </w:r>
      </w:hyperlink>
      <w:r w:rsidRPr="00F701DD">
        <w:rPr>
          <w:rFonts w:cstheme="minorHAnsi"/>
          <w:color w:val="000000"/>
        </w:rPr>
        <w:t xml:space="preserve"> </w:t>
      </w:r>
    </w:p>
  </w:footnote>
  <w:footnote w:id="400">
    <w:p w14:paraId="020D38FD" w14:textId="77777777" w:rsidR="006F4272" w:rsidRPr="00F701DD" w:rsidRDefault="006F4272" w:rsidP="00E20FF1">
      <w:pPr>
        <w:spacing w:after="0" w:line="240" w:lineRule="auto"/>
        <w:rPr>
          <w:rFonts w:cstheme="minorHAnsi"/>
          <w:color w:val="25409A" w:themeColor="hyperlink"/>
          <w:u w:val="single"/>
          <w:lang w:val="mi-NZ"/>
        </w:rPr>
      </w:pPr>
      <w:r w:rsidRPr="00F701DD">
        <w:rPr>
          <w:rStyle w:val="FootnoteReference"/>
          <w:rFonts w:cstheme="minorHAnsi"/>
        </w:rPr>
        <w:footnoteRef/>
      </w:r>
      <w:r w:rsidRPr="00F701DD">
        <w:rPr>
          <w:rFonts w:cstheme="minorHAnsi"/>
        </w:rPr>
        <w:t xml:space="preserve"> </w:t>
      </w:r>
      <w:hyperlink r:id="rId259" w:history="1">
        <w:r w:rsidRPr="00F701DD">
          <w:rPr>
            <w:rStyle w:val="Hyperlink"/>
            <w:rFonts w:cstheme="minorHAnsi"/>
            <w:lang w:val="mi-NZ"/>
          </w:rPr>
          <w:t>https://www.rnz.co.nz/news/national/470824/principals-urge-education-ministry-to-avoid-staff-cuts-despite-student-absences</w:t>
        </w:r>
      </w:hyperlink>
    </w:p>
  </w:footnote>
  <w:footnote w:id="401">
    <w:p w14:paraId="504FE68D" w14:textId="77777777" w:rsidR="006F4272" w:rsidRPr="00F701DD" w:rsidRDefault="006F4272" w:rsidP="00E20FF1">
      <w:pPr>
        <w:spacing w:after="0" w:line="240" w:lineRule="auto"/>
        <w:rPr>
          <w:rFonts w:cstheme="minorHAnsi"/>
        </w:rPr>
      </w:pPr>
      <w:r w:rsidRPr="00F701DD">
        <w:rPr>
          <w:rStyle w:val="FootnoteReference"/>
          <w:rFonts w:cstheme="minorHAnsi"/>
        </w:rPr>
        <w:footnoteRef/>
      </w:r>
      <w:r w:rsidRPr="00F701DD">
        <w:rPr>
          <w:rFonts w:cstheme="minorHAnsi"/>
        </w:rPr>
        <w:t xml:space="preserve"> </w:t>
      </w:r>
      <w:hyperlink r:id="rId260" w:tooltip="https://www.rnz.co.nz/news/national/471826/high-employment-covid-19-see-high-rates-of-teens-leave-school-early-principals" w:history="1">
        <w:r w:rsidRPr="00F701DD">
          <w:rPr>
            <w:rStyle w:val="Hyperlink"/>
            <w:rFonts w:eastAsiaTheme="majorEastAsia" w:cstheme="minorHAnsi"/>
          </w:rPr>
          <w:t>https://www.rnz.co.nz/news/national/471826/high-employment-covid-19-see-high-rates-of-teens-leave-school-early-principals</w:t>
        </w:r>
      </w:hyperlink>
    </w:p>
  </w:footnote>
  <w:footnote w:id="402">
    <w:p w14:paraId="032514DE" w14:textId="77777777" w:rsidR="00F14110" w:rsidRPr="00F701DD" w:rsidRDefault="00F14110"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w:t>
      </w:r>
      <w:hyperlink r:id="rId261" w:history="1">
        <w:r w:rsidRPr="00F701DD">
          <w:rPr>
            <w:rStyle w:val="Hyperlink"/>
            <w:rFonts w:asciiTheme="minorHAnsi" w:hAnsiTheme="minorHAnsi" w:cstheme="minorHAnsi"/>
          </w:rPr>
          <w:t>https://conversation.education.govt.nz/conversations/education-conversation/</w:t>
        </w:r>
      </w:hyperlink>
      <w:r w:rsidRPr="00F701DD">
        <w:rPr>
          <w:rFonts w:asciiTheme="minorHAnsi" w:hAnsiTheme="minorHAnsi" w:cstheme="minorHAnsi"/>
        </w:rPr>
        <w:t xml:space="preserve"> </w:t>
      </w:r>
    </w:p>
  </w:footnote>
  <w:footnote w:id="403">
    <w:p w14:paraId="409E4112" w14:textId="77777777" w:rsidR="00F14110" w:rsidRPr="00F701DD" w:rsidRDefault="00F14110"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w:t>
      </w:r>
      <w:hyperlink r:id="rId262" w:history="1">
        <w:r w:rsidRPr="00F701DD">
          <w:rPr>
            <w:rStyle w:val="Hyperlink"/>
            <w:rFonts w:asciiTheme="minorHAnsi" w:hAnsiTheme="minorHAnsi" w:cstheme="minorHAnsi"/>
          </w:rPr>
          <w:t>https://www.legislation.govt.nz/act/public/2020/0038/latest/LMS170680.html</w:t>
        </w:r>
      </w:hyperlink>
      <w:r w:rsidRPr="00F701DD">
        <w:rPr>
          <w:rFonts w:asciiTheme="minorHAnsi" w:hAnsiTheme="minorHAnsi" w:cstheme="minorHAnsi"/>
        </w:rPr>
        <w:t xml:space="preserve"> </w:t>
      </w:r>
    </w:p>
  </w:footnote>
  <w:footnote w:id="404">
    <w:p w14:paraId="123320C4" w14:textId="77777777" w:rsidR="00F14110" w:rsidRPr="00F701DD" w:rsidRDefault="00F14110"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w:t>
      </w:r>
      <w:r w:rsidRPr="00F701DD">
        <w:rPr>
          <w:rFonts w:asciiTheme="minorHAnsi" w:hAnsiTheme="minorHAnsi" w:cstheme="minorHAnsi"/>
          <w:lang w:val="mi-NZ"/>
        </w:rPr>
        <w:t>Education and Training Act 2020</w:t>
      </w:r>
      <w:r>
        <w:rPr>
          <w:rFonts w:asciiTheme="minorHAnsi" w:hAnsiTheme="minorHAnsi" w:cstheme="minorHAnsi"/>
          <w:lang w:val="mi-NZ"/>
        </w:rPr>
        <w:t>, ss</w:t>
      </w:r>
      <w:r w:rsidRPr="00F701DD">
        <w:rPr>
          <w:rFonts w:asciiTheme="minorHAnsi" w:hAnsiTheme="minorHAnsi" w:cstheme="minorHAnsi"/>
          <w:lang w:val="mi-NZ"/>
        </w:rPr>
        <w:t xml:space="preserve"> 32 and 33.</w:t>
      </w:r>
    </w:p>
  </w:footnote>
  <w:footnote w:id="405">
    <w:p w14:paraId="4E7CC5C9" w14:textId="77777777" w:rsidR="00F14110" w:rsidRPr="00F701DD" w:rsidRDefault="00F14110"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w:t>
      </w:r>
      <w:r>
        <w:rPr>
          <w:rFonts w:asciiTheme="minorHAnsi" w:hAnsiTheme="minorHAnsi" w:cstheme="minorHAnsi"/>
        </w:rPr>
        <w:t>Ibid, s</w:t>
      </w:r>
      <w:r w:rsidRPr="00F701DD">
        <w:rPr>
          <w:rFonts w:asciiTheme="minorHAnsi" w:hAnsiTheme="minorHAnsi" w:cstheme="minorHAnsi"/>
          <w:lang w:val="mi-NZ"/>
        </w:rPr>
        <w:t xml:space="preserve"> 34.</w:t>
      </w:r>
    </w:p>
  </w:footnote>
  <w:footnote w:id="406">
    <w:p w14:paraId="23BC8DE8" w14:textId="580F35AD" w:rsidR="00F14110" w:rsidRPr="00F701DD" w:rsidRDefault="00F14110" w:rsidP="00E20FF1">
      <w:pPr>
        <w:spacing w:after="0" w:line="240" w:lineRule="auto"/>
        <w:rPr>
          <w:rFonts w:cstheme="minorHAnsi"/>
          <w:color w:val="000000"/>
        </w:rPr>
      </w:pPr>
      <w:r w:rsidRPr="00F701DD">
        <w:rPr>
          <w:rStyle w:val="FootnoteReference"/>
          <w:rFonts w:cstheme="minorHAnsi"/>
        </w:rPr>
        <w:footnoteRef/>
      </w:r>
      <w:r w:rsidRPr="00F701DD">
        <w:rPr>
          <w:rFonts w:cstheme="minorHAnsi"/>
        </w:rPr>
        <w:t xml:space="preserve"> </w:t>
      </w:r>
      <w:r w:rsidRPr="00F701DD">
        <w:rPr>
          <w:rFonts w:cstheme="minorHAnsi"/>
          <w:color w:val="000000"/>
        </w:rPr>
        <w:t xml:space="preserve">The Act’s purpose is to establish and regulate the education system so </w:t>
      </w:r>
      <w:proofErr w:type="gramStart"/>
      <w:r w:rsidRPr="00F701DD">
        <w:rPr>
          <w:rFonts w:cstheme="minorHAnsi"/>
          <w:color w:val="000000"/>
        </w:rPr>
        <w:t>it:</w:t>
      </w:r>
      <w:proofErr w:type="gramEnd"/>
      <w:r w:rsidRPr="00F701DD">
        <w:rPr>
          <w:rFonts w:cstheme="minorHAnsi"/>
          <w:color w:val="000000"/>
        </w:rPr>
        <w:t xml:space="preserve"> </w:t>
      </w:r>
      <w:r>
        <w:rPr>
          <w:rFonts w:cstheme="minorHAnsi"/>
          <w:color w:val="000000"/>
        </w:rPr>
        <w:t>p</w:t>
      </w:r>
      <w:r w:rsidRPr="00F701DD">
        <w:rPr>
          <w:rFonts w:cstheme="minorHAnsi"/>
          <w:color w:val="000000"/>
        </w:rPr>
        <w:t xml:space="preserve">rovides students with the skills, knowledge and capabilities to fully participate in the labour market, society and their communities; supports their health, safety and well-being; assures education quality; and honours </w:t>
      </w:r>
      <w:proofErr w:type="spellStart"/>
      <w:r w:rsidR="00E26F7F">
        <w:rPr>
          <w:rFonts w:cstheme="minorHAnsi"/>
          <w:color w:val="000000"/>
        </w:rPr>
        <w:t>T</w:t>
      </w:r>
      <w:r w:rsidRPr="00F701DD">
        <w:rPr>
          <w:rFonts w:cstheme="minorHAnsi"/>
          <w:color w:val="000000"/>
        </w:rPr>
        <w:t>e</w:t>
      </w:r>
      <w:proofErr w:type="spellEnd"/>
      <w:r w:rsidRPr="00F701DD">
        <w:rPr>
          <w:rFonts w:cstheme="minorHAnsi"/>
          <w:color w:val="000000"/>
        </w:rPr>
        <w:t xml:space="preserve"> </w:t>
      </w:r>
      <w:proofErr w:type="spellStart"/>
      <w:r w:rsidRPr="00F701DD">
        <w:rPr>
          <w:rFonts w:cstheme="minorHAnsi"/>
          <w:color w:val="000000"/>
        </w:rPr>
        <w:t>Tiriti</w:t>
      </w:r>
      <w:proofErr w:type="spellEnd"/>
      <w:r w:rsidRPr="00F701DD">
        <w:rPr>
          <w:rFonts w:cstheme="minorHAnsi"/>
          <w:color w:val="000000"/>
        </w:rPr>
        <w:t xml:space="preserve"> o Waitangi and support</w:t>
      </w:r>
      <w:r>
        <w:rPr>
          <w:rFonts w:cstheme="minorHAnsi"/>
          <w:color w:val="000000"/>
        </w:rPr>
        <w:t>s</w:t>
      </w:r>
      <w:r w:rsidRPr="00F701DD">
        <w:rPr>
          <w:rFonts w:cstheme="minorHAnsi"/>
          <w:color w:val="000000"/>
        </w:rPr>
        <w:t xml:space="preserve"> Māori-Crown relations.</w:t>
      </w:r>
    </w:p>
  </w:footnote>
  <w:footnote w:id="407">
    <w:p w14:paraId="139CC79D" w14:textId="77777777" w:rsidR="00F14110" w:rsidRPr="00F701DD" w:rsidRDefault="00F14110" w:rsidP="00E20FF1">
      <w:pPr>
        <w:pStyle w:val="FootnoteText"/>
        <w:rPr>
          <w:rFonts w:asciiTheme="minorHAnsi" w:hAnsiTheme="minorHAnsi" w:cstheme="minorHAnsi"/>
          <w:lang w:val="mi-NZ"/>
        </w:rPr>
      </w:pPr>
      <w:r w:rsidRPr="00F701DD">
        <w:rPr>
          <w:rStyle w:val="FootnoteReference"/>
          <w:rFonts w:asciiTheme="minorHAnsi" w:hAnsiTheme="minorHAnsi" w:cstheme="minorHAnsi"/>
        </w:rPr>
        <w:footnoteRef/>
      </w:r>
      <w:r w:rsidRPr="00F701DD">
        <w:rPr>
          <w:rFonts w:asciiTheme="minorHAnsi" w:hAnsiTheme="minorHAnsi" w:cstheme="minorHAnsi"/>
        </w:rPr>
        <w:t xml:space="preserve"> </w:t>
      </w:r>
      <w:r w:rsidRPr="00F701DD">
        <w:rPr>
          <w:rFonts w:asciiTheme="minorHAnsi" w:hAnsiTheme="minorHAnsi" w:cstheme="minorHAnsi"/>
          <w:lang w:val="mi-NZ"/>
        </w:rPr>
        <w:t xml:space="preserve">Consistent with the United Nations Committee on the Rights of the Child </w:t>
      </w:r>
      <w:r>
        <w:rPr>
          <w:rFonts w:asciiTheme="minorHAnsi" w:hAnsiTheme="minorHAnsi" w:cstheme="minorHAnsi"/>
          <w:lang w:val="mi-NZ"/>
        </w:rPr>
        <w:t>(</w:t>
      </w:r>
      <w:r w:rsidRPr="00F701DD">
        <w:rPr>
          <w:rFonts w:asciiTheme="minorHAnsi" w:hAnsiTheme="minorHAnsi" w:cstheme="minorHAnsi"/>
          <w:lang w:val="mi-NZ"/>
        </w:rPr>
        <w:t>2001). General Comment</w:t>
      </w:r>
      <w:r>
        <w:rPr>
          <w:rFonts w:asciiTheme="minorHAnsi" w:hAnsiTheme="minorHAnsi" w:cstheme="minorHAnsi"/>
          <w:lang w:val="mi-NZ"/>
        </w:rPr>
        <w:t xml:space="preserve"> No.</w:t>
      </w:r>
      <w:r w:rsidRPr="00F701DD">
        <w:rPr>
          <w:rFonts w:asciiTheme="minorHAnsi" w:hAnsiTheme="minorHAnsi" w:cstheme="minorHAnsi"/>
          <w:lang w:val="mi-NZ"/>
        </w:rPr>
        <w:t xml:space="preserve"> 1: The Aims of Education.</w:t>
      </w:r>
    </w:p>
  </w:footnote>
  <w:footnote w:id="408">
    <w:p w14:paraId="00A28CB5" w14:textId="6001C7A6" w:rsidR="00F14110" w:rsidRPr="00A768E2" w:rsidRDefault="00F14110" w:rsidP="00E20FF1">
      <w:pPr>
        <w:pStyle w:val="FootnoteText"/>
        <w:rPr>
          <w:rFonts w:asciiTheme="minorHAnsi" w:hAnsiTheme="minorHAnsi" w:cstheme="minorHAnsi"/>
          <w:lang w:val="mi-NZ"/>
        </w:rPr>
      </w:pPr>
      <w:r w:rsidRPr="00A768E2">
        <w:rPr>
          <w:rStyle w:val="FootnoteReference"/>
          <w:rFonts w:asciiTheme="minorHAnsi" w:hAnsiTheme="minorHAnsi" w:cstheme="minorHAnsi"/>
        </w:rPr>
        <w:footnoteRef/>
      </w:r>
      <w:r w:rsidRPr="00A768E2">
        <w:rPr>
          <w:rFonts w:asciiTheme="minorHAnsi" w:hAnsiTheme="minorHAnsi" w:cstheme="minorHAnsi"/>
        </w:rPr>
        <w:t xml:space="preserve"> </w:t>
      </w:r>
      <w:r w:rsidRPr="00A768E2">
        <w:rPr>
          <w:rFonts w:asciiTheme="minorHAnsi" w:hAnsiTheme="minorHAnsi" w:cstheme="minorHAnsi"/>
          <w:noProof/>
          <w:color w:val="000000" w:themeColor="text1"/>
          <w:lang w:val="mi-NZ"/>
        </w:rPr>
        <w:t>Education Review Office</w:t>
      </w:r>
      <w:r>
        <w:rPr>
          <w:rFonts w:asciiTheme="minorHAnsi" w:hAnsiTheme="minorHAnsi" w:cstheme="minorHAnsi"/>
          <w:noProof/>
          <w:color w:val="000000" w:themeColor="text1"/>
          <w:lang w:val="mi-NZ"/>
        </w:rPr>
        <w:t xml:space="preserve"> (</w:t>
      </w:r>
      <w:r w:rsidRPr="00A768E2">
        <w:rPr>
          <w:rFonts w:asciiTheme="minorHAnsi" w:hAnsiTheme="minorHAnsi" w:cstheme="minorHAnsi"/>
          <w:noProof/>
          <w:color w:val="000000" w:themeColor="text1"/>
          <w:lang w:val="mi-NZ"/>
        </w:rPr>
        <w:t>2021</w:t>
      </w:r>
      <w:r>
        <w:rPr>
          <w:rFonts w:asciiTheme="minorHAnsi" w:hAnsiTheme="minorHAnsi" w:cstheme="minorHAnsi"/>
          <w:noProof/>
          <w:color w:val="000000" w:themeColor="text1"/>
          <w:lang w:val="mi-NZ"/>
        </w:rPr>
        <w:t>)</w:t>
      </w:r>
      <w:r w:rsidRPr="00A768E2">
        <w:rPr>
          <w:rFonts w:asciiTheme="minorHAnsi" w:hAnsiTheme="minorHAnsi" w:cstheme="minorHAnsi"/>
          <w:noProof/>
          <w:color w:val="000000" w:themeColor="text1"/>
          <w:lang w:val="mi-NZ"/>
        </w:rPr>
        <w:t xml:space="preserve">; see </w:t>
      </w:r>
      <w:r w:rsidR="0059405B">
        <w:rPr>
          <w:rFonts w:asciiTheme="minorHAnsi" w:hAnsiTheme="minorHAnsi" w:cstheme="minorHAnsi"/>
          <w:lang w:val="mi-NZ"/>
        </w:rPr>
        <w:t>Children in State care Thematic Report, submitted by VOYCE Whakarongo-Mai</w:t>
      </w:r>
      <w:r w:rsidR="0059405B" w:rsidRPr="00A768E2">
        <w:rPr>
          <w:rFonts w:asciiTheme="minorHAnsi" w:hAnsiTheme="minorHAnsi" w:cstheme="minorHAnsi"/>
          <w:noProof/>
          <w:color w:val="000000" w:themeColor="text1"/>
          <w:lang w:val="mi-NZ"/>
        </w:rPr>
        <w:t xml:space="preserve"> </w:t>
      </w:r>
      <w:r w:rsidRPr="00A768E2">
        <w:rPr>
          <w:rFonts w:asciiTheme="minorHAnsi" w:hAnsiTheme="minorHAnsi" w:cstheme="minorHAnsi"/>
          <w:noProof/>
          <w:color w:val="000000" w:themeColor="text1"/>
          <w:lang w:val="mi-NZ"/>
        </w:rPr>
        <w:t>for further information.</w:t>
      </w:r>
    </w:p>
  </w:footnote>
  <w:footnote w:id="409">
    <w:p w14:paraId="76FCB7D8" w14:textId="77777777" w:rsidR="00F14110" w:rsidRPr="00A768E2" w:rsidRDefault="00F14110" w:rsidP="00E20FF1">
      <w:pPr>
        <w:pStyle w:val="FootnoteText"/>
        <w:rPr>
          <w:rFonts w:asciiTheme="minorHAnsi" w:hAnsiTheme="minorHAnsi" w:cstheme="minorHAnsi"/>
          <w:lang w:val="mi-NZ"/>
        </w:rPr>
      </w:pPr>
      <w:r w:rsidRPr="00A768E2">
        <w:rPr>
          <w:rStyle w:val="FootnoteReference"/>
          <w:rFonts w:asciiTheme="minorHAnsi" w:hAnsiTheme="minorHAnsi" w:cstheme="minorHAnsi"/>
        </w:rPr>
        <w:footnoteRef/>
      </w:r>
      <w:r w:rsidRPr="00A768E2">
        <w:rPr>
          <w:rFonts w:asciiTheme="minorHAnsi" w:hAnsiTheme="minorHAnsi" w:cstheme="minorHAnsi"/>
        </w:rPr>
        <w:t xml:space="preserve"> </w:t>
      </w:r>
      <w:hyperlink r:id="rId263" w:history="1">
        <w:r w:rsidRPr="00A768E2">
          <w:rPr>
            <w:rStyle w:val="Hyperlink"/>
            <w:rFonts w:asciiTheme="minorHAnsi" w:hAnsiTheme="minorHAnsi" w:cstheme="minorHAnsi"/>
          </w:rPr>
          <w:t>https://www.beehive.govt.nz/release/schools-kura-and-early-learning-given-space-build-back-covid-19</w:t>
        </w:r>
      </w:hyperlink>
      <w:r w:rsidRPr="00A768E2">
        <w:rPr>
          <w:rFonts w:asciiTheme="minorHAnsi" w:hAnsiTheme="minorHAnsi" w:cstheme="minorHAnsi"/>
        </w:rPr>
        <w:t xml:space="preserve"> </w:t>
      </w:r>
    </w:p>
  </w:footnote>
  <w:footnote w:id="410">
    <w:p w14:paraId="5825CD3C" w14:textId="77777777" w:rsidR="00F14110" w:rsidRPr="00A768E2" w:rsidRDefault="00F14110" w:rsidP="00E20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A768E2">
        <w:rPr>
          <w:rStyle w:val="FootnoteReference"/>
          <w:rFonts w:cstheme="minorHAnsi"/>
        </w:rPr>
        <w:footnoteRef/>
      </w:r>
      <w:r w:rsidRPr="00A768E2">
        <w:rPr>
          <w:rFonts w:cstheme="minorHAnsi"/>
        </w:rPr>
        <w:t xml:space="preserve"> There is a </w:t>
      </w:r>
      <w:r w:rsidRPr="00A768E2">
        <w:rPr>
          <w:rFonts w:cstheme="minorHAnsi"/>
          <w:lang w:val="mi-NZ"/>
        </w:rPr>
        <w:t xml:space="preserve">call for consent education to be mandatory in schools. Currently </w:t>
      </w:r>
      <w:r>
        <w:rPr>
          <w:rFonts w:cstheme="minorHAnsi"/>
          <w:lang w:val="mi-NZ"/>
        </w:rPr>
        <w:t xml:space="preserve">this </w:t>
      </w:r>
      <w:r w:rsidRPr="00A768E2">
        <w:rPr>
          <w:rFonts w:cstheme="minorHAnsi"/>
          <w:lang w:val="mi-NZ"/>
        </w:rPr>
        <w:t>is advised</w:t>
      </w:r>
      <w:r>
        <w:rPr>
          <w:rFonts w:cstheme="minorHAnsi"/>
          <w:lang w:val="mi-NZ"/>
        </w:rPr>
        <w:t>,</w:t>
      </w:r>
      <w:r w:rsidRPr="00A768E2">
        <w:rPr>
          <w:rFonts w:cstheme="minorHAnsi"/>
          <w:lang w:val="mi-NZ"/>
        </w:rPr>
        <w:t xml:space="preserve"> but not compulsory</w:t>
      </w:r>
      <w:r>
        <w:rPr>
          <w:rFonts w:cstheme="minorHAnsi"/>
          <w:lang w:val="mi-NZ"/>
        </w:rPr>
        <w:t>. T</w:t>
      </w:r>
      <w:r w:rsidRPr="00A768E2">
        <w:rPr>
          <w:rFonts w:cstheme="minorHAnsi"/>
          <w:lang w:val="mi-NZ"/>
        </w:rPr>
        <w:t xml:space="preserve">he review of the health and physical education curriculum will not happen until 2024. </w:t>
      </w:r>
      <w:hyperlink r:id="rId264" w:history="1">
        <w:r w:rsidRPr="00A768E2">
          <w:rPr>
            <w:rFonts w:cstheme="minorHAnsi"/>
            <w:color w:val="094FD1"/>
            <w:u w:val="single" w:color="094FD1"/>
          </w:rPr>
          <w:t>https://www.1news.co.nz/2022/03/06/calls-for-sexual-consent-education-to-be-compulsory-in-nz-schools/</w:t>
        </w:r>
      </w:hyperlink>
      <w:r w:rsidRPr="00A768E2">
        <w:rPr>
          <w:rFonts w:cstheme="minorHAnsi"/>
        </w:rPr>
        <w:t xml:space="preserve"> ;</w:t>
      </w:r>
      <w:r w:rsidRPr="00A768E2">
        <w:rPr>
          <w:rFonts w:cstheme="minorHAnsi"/>
          <w:color w:val="000000"/>
        </w:rPr>
        <w:t xml:space="preserve"> </w:t>
      </w:r>
      <w:hyperlink r:id="rId265" w:history="1">
        <w:r w:rsidRPr="00A768E2">
          <w:rPr>
            <w:rStyle w:val="Hyperlink"/>
            <w:rFonts w:cstheme="minorHAnsi"/>
          </w:rPr>
          <w:t>https://i.stuff.co.nz/national/128338334/calls-to-make-consent-education-compulsory-in-the-classrooms-as-new-sex-education-resources-released</w:t>
        </w:r>
      </w:hyperlink>
    </w:p>
  </w:footnote>
  <w:footnote w:id="411">
    <w:p w14:paraId="3D3F4E3D" w14:textId="77777777" w:rsidR="00F14110" w:rsidRPr="00A768E2" w:rsidRDefault="00F14110" w:rsidP="00E20FF1">
      <w:pPr>
        <w:spacing w:after="0" w:line="240" w:lineRule="auto"/>
        <w:rPr>
          <w:rFonts w:cstheme="minorHAnsi"/>
          <w:lang w:val="mi-NZ"/>
        </w:rPr>
      </w:pPr>
      <w:r w:rsidRPr="00A768E2">
        <w:rPr>
          <w:rStyle w:val="FootnoteReference"/>
          <w:rFonts w:cstheme="minorHAnsi"/>
        </w:rPr>
        <w:footnoteRef/>
      </w:r>
      <w:r w:rsidRPr="00A768E2">
        <w:rPr>
          <w:rFonts w:cstheme="minorHAnsi"/>
        </w:rPr>
        <w:t xml:space="preserve"> </w:t>
      </w:r>
      <w:hyperlink r:id="rId266" w:history="1">
        <w:r w:rsidRPr="00A768E2">
          <w:rPr>
            <w:rStyle w:val="Hyperlink"/>
            <w:rFonts w:cstheme="minorHAnsi"/>
            <w:lang w:val="mi-NZ"/>
          </w:rPr>
          <w:t>https://www.education.govt.nz/school/student-support/youth-advisory-group/</w:t>
        </w:r>
      </w:hyperlink>
      <w:r w:rsidRPr="00A768E2">
        <w:rPr>
          <w:rFonts w:cstheme="minorHAnsi"/>
          <w:lang w:val="mi-NZ"/>
        </w:rPr>
        <w:t xml:space="preserve"> </w:t>
      </w:r>
    </w:p>
  </w:footnote>
  <w:footnote w:id="412">
    <w:p w14:paraId="42B6DA36" w14:textId="23AFB13B" w:rsidR="00F14110" w:rsidRPr="00CA6F8F" w:rsidRDefault="00F14110" w:rsidP="00E20FF1">
      <w:pPr>
        <w:pStyle w:val="FootnoteText"/>
        <w:rPr>
          <w:lang w:val="mi-NZ"/>
        </w:rPr>
      </w:pPr>
      <w:r>
        <w:rPr>
          <w:rStyle w:val="FootnoteReference"/>
        </w:rPr>
        <w:footnoteRef/>
      </w:r>
      <w:r>
        <w:t xml:space="preserve"> </w:t>
      </w:r>
      <w:r w:rsidRPr="00CA6F8F">
        <w:rPr>
          <w:rFonts w:asciiTheme="minorHAnsi" w:hAnsiTheme="minorHAnsi" w:cstheme="minorHAnsi"/>
          <w:lang w:val="mi-NZ"/>
        </w:rPr>
        <w:t xml:space="preserve">Consistent with the CRC, </w:t>
      </w:r>
      <w:r w:rsidR="00E26F7F">
        <w:rPr>
          <w:rFonts w:asciiTheme="minorHAnsi" w:hAnsiTheme="minorHAnsi" w:cstheme="minorHAnsi"/>
          <w:lang w:val="mi-NZ"/>
        </w:rPr>
        <w:t>T</w:t>
      </w:r>
      <w:r w:rsidRPr="00CA6F8F">
        <w:rPr>
          <w:rFonts w:asciiTheme="minorHAnsi" w:hAnsiTheme="minorHAnsi" w:cstheme="minorHAnsi"/>
          <w:lang w:val="mi-NZ"/>
        </w:rPr>
        <w:t>e Tiriti o Waitangi and other relevant international human rights obligations</w:t>
      </w:r>
    </w:p>
  </w:footnote>
  <w:footnote w:id="413">
    <w:p w14:paraId="74C3A44F" w14:textId="77777777" w:rsidR="00F14110" w:rsidRPr="00A768E2" w:rsidRDefault="00F14110" w:rsidP="00E20FF1">
      <w:pPr>
        <w:pStyle w:val="FootnoteText"/>
        <w:rPr>
          <w:rFonts w:asciiTheme="minorHAnsi" w:hAnsiTheme="minorHAnsi" w:cstheme="minorHAnsi"/>
          <w:lang w:val="mi-NZ"/>
        </w:rPr>
      </w:pPr>
      <w:r w:rsidRPr="00A768E2">
        <w:rPr>
          <w:rStyle w:val="FootnoteReference"/>
          <w:rFonts w:asciiTheme="minorHAnsi" w:hAnsiTheme="minorHAnsi" w:cstheme="minorHAnsi"/>
        </w:rPr>
        <w:footnoteRef/>
      </w:r>
      <w:r w:rsidRPr="00A768E2">
        <w:rPr>
          <w:rFonts w:asciiTheme="minorHAnsi" w:hAnsiTheme="minorHAnsi" w:cstheme="minorHAnsi"/>
        </w:rPr>
        <w:t xml:space="preserve"> </w:t>
      </w:r>
      <w:hyperlink r:id="rId267" w:history="1">
        <w:r w:rsidRPr="00A768E2">
          <w:rPr>
            <w:rStyle w:val="Hyperlink"/>
            <w:rFonts w:asciiTheme="minorHAnsi" w:hAnsiTheme="minorHAnsi" w:cstheme="minorHAnsi"/>
          </w:rPr>
          <w:t>https://ihc.org.nz/‘broken’-system-leaves-disabled-students-without-support</w:t>
        </w:r>
      </w:hyperlink>
      <w:r w:rsidRPr="00A768E2">
        <w:rPr>
          <w:rFonts w:asciiTheme="minorHAnsi" w:hAnsiTheme="minorHAnsi" w:cstheme="minorHAnsi"/>
        </w:rPr>
        <w:t xml:space="preserve"> </w:t>
      </w:r>
    </w:p>
  </w:footnote>
  <w:footnote w:id="414">
    <w:p w14:paraId="10836E5A" w14:textId="77777777" w:rsidR="00F14110" w:rsidRPr="00A768E2" w:rsidRDefault="00F14110" w:rsidP="00E20FF1">
      <w:pPr>
        <w:pStyle w:val="FootnoteText"/>
        <w:rPr>
          <w:rFonts w:asciiTheme="minorHAnsi" w:hAnsiTheme="minorHAnsi" w:cstheme="minorHAnsi"/>
          <w:lang w:val="mi-NZ"/>
        </w:rPr>
      </w:pPr>
      <w:r w:rsidRPr="00A768E2">
        <w:rPr>
          <w:rStyle w:val="FootnoteReference"/>
          <w:rFonts w:asciiTheme="minorHAnsi" w:hAnsiTheme="minorHAnsi" w:cstheme="minorHAnsi"/>
        </w:rPr>
        <w:footnoteRef/>
      </w:r>
      <w:r w:rsidRPr="00A768E2">
        <w:rPr>
          <w:rFonts w:asciiTheme="minorHAnsi" w:hAnsiTheme="minorHAnsi" w:cstheme="minorHAnsi"/>
        </w:rPr>
        <w:t xml:space="preserve"> </w:t>
      </w:r>
      <w:hyperlink r:id="rId268" w:history="1">
        <w:r w:rsidRPr="00A768E2">
          <w:rPr>
            <w:rStyle w:val="Hyperlink"/>
            <w:rFonts w:asciiTheme="minorHAnsi" w:hAnsiTheme="minorHAnsi" w:cstheme="minorHAnsi"/>
          </w:rPr>
          <w:t>https://ihc.org.nz/ihcs-education-complaint</w:t>
        </w:r>
      </w:hyperlink>
      <w:r w:rsidRPr="00A768E2">
        <w:rPr>
          <w:rFonts w:asciiTheme="minorHAnsi" w:hAnsiTheme="minorHAnsi" w:cstheme="minorHAnsi"/>
        </w:rPr>
        <w:t xml:space="preserve"> </w:t>
      </w:r>
    </w:p>
  </w:footnote>
  <w:footnote w:id="415">
    <w:p w14:paraId="1D2D2BB8" w14:textId="77777777" w:rsidR="00F14110" w:rsidRPr="00A768E2" w:rsidRDefault="00F14110" w:rsidP="00E20FF1">
      <w:pPr>
        <w:pStyle w:val="FootnoteText"/>
        <w:rPr>
          <w:rFonts w:asciiTheme="minorHAnsi" w:hAnsiTheme="minorHAnsi" w:cstheme="minorHAnsi"/>
          <w:lang w:val="mi-NZ"/>
        </w:rPr>
      </w:pPr>
      <w:r w:rsidRPr="00A768E2">
        <w:rPr>
          <w:rStyle w:val="FootnoteReference"/>
          <w:rFonts w:asciiTheme="minorHAnsi" w:hAnsiTheme="minorHAnsi" w:cstheme="minorHAnsi"/>
        </w:rPr>
        <w:footnoteRef/>
      </w:r>
      <w:r w:rsidRPr="00A768E2">
        <w:rPr>
          <w:rFonts w:asciiTheme="minorHAnsi" w:hAnsiTheme="minorHAnsi" w:cstheme="minorHAnsi"/>
        </w:rPr>
        <w:t xml:space="preserve"> </w:t>
      </w:r>
      <w:hyperlink r:id="rId269" w:history="1">
        <w:r w:rsidRPr="00A768E2">
          <w:rPr>
            <w:rStyle w:val="Hyperlink"/>
            <w:rFonts w:asciiTheme="minorHAnsi" w:hAnsiTheme="minorHAnsi" w:cstheme="minorHAnsi"/>
          </w:rPr>
          <w:t>https://ihc.org.nz/getting-it-right-disabled-students-school</w:t>
        </w:r>
      </w:hyperlink>
      <w:r w:rsidRPr="00A768E2">
        <w:rPr>
          <w:rFonts w:asciiTheme="minorHAnsi" w:hAnsiTheme="minorHAnsi" w:cstheme="minorHAnsi"/>
        </w:rPr>
        <w:t xml:space="preserve"> </w:t>
      </w:r>
    </w:p>
  </w:footnote>
  <w:footnote w:id="416">
    <w:p w14:paraId="68F2EE15" w14:textId="77777777" w:rsidR="00F14110" w:rsidRPr="00A768E2" w:rsidRDefault="00F14110" w:rsidP="00E20FF1">
      <w:pPr>
        <w:pStyle w:val="FootnoteText"/>
        <w:rPr>
          <w:rFonts w:asciiTheme="minorHAnsi" w:hAnsiTheme="minorHAnsi" w:cstheme="minorHAnsi"/>
          <w:lang w:val="mi-NZ"/>
        </w:rPr>
      </w:pPr>
      <w:r w:rsidRPr="00A768E2">
        <w:rPr>
          <w:rStyle w:val="FootnoteReference"/>
          <w:rFonts w:asciiTheme="minorHAnsi" w:hAnsiTheme="minorHAnsi" w:cstheme="minorHAnsi"/>
        </w:rPr>
        <w:footnoteRef/>
      </w:r>
      <w:r w:rsidRPr="00A768E2">
        <w:rPr>
          <w:rFonts w:asciiTheme="minorHAnsi" w:hAnsiTheme="minorHAnsi" w:cstheme="minorHAnsi"/>
        </w:rPr>
        <w:t xml:space="preserve"> </w:t>
      </w:r>
      <w:hyperlink r:id="rId270" w:history="1">
        <w:r w:rsidRPr="00A768E2">
          <w:rPr>
            <w:rStyle w:val="Hyperlink"/>
            <w:rFonts w:asciiTheme="minorHAnsi" w:hAnsiTheme="minorHAnsi" w:cstheme="minorHAnsi"/>
          </w:rPr>
          <w:t>https://ieag.org.nz/news-and-events/an-open-letter-on-the-plans-to-expand-enrolments-in-residential-special-schoolsnew-article-page/</w:t>
        </w:r>
      </w:hyperlink>
      <w:r w:rsidRPr="00A768E2">
        <w:rPr>
          <w:rFonts w:asciiTheme="minorHAnsi" w:hAnsiTheme="minorHAnsi" w:cstheme="minorHAnsi"/>
        </w:rPr>
        <w:t xml:space="preserve"> </w:t>
      </w:r>
    </w:p>
  </w:footnote>
  <w:footnote w:id="417">
    <w:p w14:paraId="696FECDD" w14:textId="540C916F" w:rsidR="00F14110" w:rsidRPr="00A768E2" w:rsidRDefault="00F14110" w:rsidP="00E20FF1">
      <w:pPr>
        <w:pStyle w:val="FootnoteText"/>
        <w:rPr>
          <w:rFonts w:asciiTheme="minorHAnsi" w:hAnsiTheme="minorHAnsi" w:cstheme="minorHAnsi"/>
          <w:lang w:val="mi-NZ"/>
        </w:rPr>
      </w:pPr>
      <w:r w:rsidRPr="00A768E2">
        <w:rPr>
          <w:rStyle w:val="FootnoteReference"/>
          <w:rFonts w:asciiTheme="minorHAnsi" w:hAnsiTheme="minorHAnsi" w:cstheme="minorHAnsi"/>
        </w:rPr>
        <w:footnoteRef/>
      </w:r>
      <w:r w:rsidRPr="00A768E2">
        <w:rPr>
          <w:rFonts w:asciiTheme="minorHAnsi" w:hAnsiTheme="minorHAnsi" w:cstheme="minorHAnsi"/>
        </w:rPr>
        <w:t xml:space="preserve"> </w:t>
      </w:r>
      <w:hyperlink r:id="rId271" w:history="1">
        <w:r w:rsidR="0059405B" w:rsidRPr="00F06804">
          <w:rPr>
            <w:rStyle w:val="Hyperlink"/>
            <w:rFonts w:asciiTheme="minorHAnsi" w:hAnsiTheme="minorHAnsi" w:cstheme="minorHAnsi"/>
          </w:rPr>
          <w:t>https://assets.education.govt.nz/public/Documents/our-work/information-releases/Advice-Seen-by-our-Ministers/September-2021/8.-BN-1266682-Student-engagement-data-2020.pdf</w:t>
        </w:r>
      </w:hyperlink>
      <w:r w:rsidR="0059405B">
        <w:rPr>
          <w:rFonts w:asciiTheme="minorHAnsi" w:hAnsiTheme="minorHAnsi" w:cstheme="minorHAnsi"/>
        </w:rPr>
        <w:t xml:space="preserve"> </w:t>
      </w:r>
    </w:p>
  </w:footnote>
  <w:footnote w:id="418">
    <w:p w14:paraId="05DEBEC5" w14:textId="1BE6C665" w:rsidR="00F14110" w:rsidRPr="00A768E2" w:rsidRDefault="00F14110" w:rsidP="00E20FF1">
      <w:pPr>
        <w:pStyle w:val="FootnoteText"/>
        <w:rPr>
          <w:rFonts w:asciiTheme="minorHAnsi" w:hAnsiTheme="minorHAnsi" w:cstheme="minorHAnsi"/>
          <w:lang w:val="mi-NZ"/>
        </w:rPr>
      </w:pPr>
      <w:r w:rsidRPr="00A768E2">
        <w:rPr>
          <w:rStyle w:val="FootnoteReference"/>
          <w:rFonts w:asciiTheme="minorHAnsi" w:hAnsiTheme="minorHAnsi" w:cstheme="minorHAnsi"/>
        </w:rPr>
        <w:footnoteRef/>
      </w:r>
      <w:r w:rsidRPr="00A768E2">
        <w:rPr>
          <w:rFonts w:asciiTheme="minorHAnsi" w:hAnsiTheme="minorHAnsi" w:cstheme="minorHAnsi"/>
        </w:rPr>
        <w:t xml:space="preserve"> </w:t>
      </w:r>
      <w:hyperlink r:id="rId272" w:history="1">
        <w:r w:rsidR="0059405B" w:rsidRPr="00F06804">
          <w:rPr>
            <w:rStyle w:val="Hyperlink"/>
            <w:rFonts w:asciiTheme="minorHAnsi" w:hAnsiTheme="minorHAnsi" w:cstheme="minorHAnsi"/>
          </w:rPr>
          <w:t>https://assets.education.govt.nz/public/Documents/our-work/information-releases/Advice-Seen-by-our-Ministers/September-2021/8.-BN-1266682-Student-engagement-data-2020.pdf</w:t>
        </w:r>
      </w:hyperlink>
      <w:r w:rsidR="0059405B">
        <w:rPr>
          <w:rFonts w:asciiTheme="minorHAnsi" w:hAnsiTheme="minorHAnsi" w:cstheme="minorHAnsi"/>
        </w:rPr>
        <w:t xml:space="preserve"> </w:t>
      </w:r>
    </w:p>
  </w:footnote>
  <w:footnote w:id="419">
    <w:p w14:paraId="4D492EEF" w14:textId="77777777" w:rsidR="00F14110" w:rsidRPr="00A768E2" w:rsidRDefault="00F14110" w:rsidP="00E20FF1">
      <w:pPr>
        <w:spacing w:after="0" w:line="240" w:lineRule="auto"/>
        <w:rPr>
          <w:rFonts w:cstheme="minorHAnsi"/>
          <w:color w:val="000000"/>
        </w:rPr>
      </w:pPr>
      <w:r w:rsidRPr="00A768E2">
        <w:rPr>
          <w:rStyle w:val="FootnoteReference"/>
          <w:rFonts w:cstheme="minorHAnsi"/>
        </w:rPr>
        <w:footnoteRef/>
      </w:r>
      <w:r w:rsidRPr="00A768E2">
        <w:rPr>
          <w:rFonts w:cstheme="minorHAnsi"/>
        </w:rPr>
        <w:t xml:space="preserve"> </w:t>
      </w:r>
      <w:r>
        <w:rPr>
          <w:rFonts w:cstheme="minorHAnsi"/>
        </w:rPr>
        <w:t xml:space="preserve">N </w:t>
      </w:r>
      <w:r w:rsidRPr="00A768E2">
        <w:rPr>
          <w:rFonts w:cstheme="minorHAnsi"/>
          <w:color w:val="000000"/>
        </w:rPr>
        <w:t>Bowden</w:t>
      </w:r>
      <w:r>
        <w:rPr>
          <w:rFonts w:cstheme="minorHAnsi"/>
          <w:color w:val="000000"/>
        </w:rPr>
        <w:t xml:space="preserve">, S </w:t>
      </w:r>
      <w:r w:rsidRPr="00A768E2">
        <w:rPr>
          <w:rFonts w:cstheme="minorHAnsi"/>
          <w:color w:val="000000"/>
        </w:rPr>
        <w:t xml:space="preserve">Gibb, </w:t>
      </w:r>
      <w:r>
        <w:rPr>
          <w:rFonts w:cstheme="minorHAnsi"/>
          <w:color w:val="000000"/>
        </w:rPr>
        <w:t xml:space="preserve">R </w:t>
      </w:r>
      <w:proofErr w:type="spellStart"/>
      <w:r w:rsidRPr="00A768E2">
        <w:rPr>
          <w:rFonts w:cstheme="minorHAnsi"/>
          <w:color w:val="000000"/>
        </w:rPr>
        <w:t>Audas</w:t>
      </w:r>
      <w:proofErr w:type="spellEnd"/>
      <w:r w:rsidRPr="00A768E2">
        <w:rPr>
          <w:rFonts w:cstheme="minorHAnsi"/>
          <w:color w:val="000000"/>
        </w:rPr>
        <w:t>, et al. (2022</w:t>
      </w:r>
      <w:r>
        <w:rPr>
          <w:rFonts w:cstheme="minorHAnsi"/>
          <w:color w:val="000000"/>
        </w:rPr>
        <w:t>, May 16</w:t>
      </w:r>
      <w:r w:rsidRPr="00A768E2">
        <w:rPr>
          <w:rFonts w:cstheme="minorHAnsi"/>
          <w:color w:val="000000"/>
        </w:rPr>
        <w:t>) Association Between High-Need Education-Based Funding and School Suspension Rates for Autistic Students in New Zealand</w:t>
      </w:r>
      <w:r>
        <w:rPr>
          <w:rFonts w:cstheme="minorHAnsi"/>
          <w:color w:val="000000"/>
        </w:rPr>
        <w:t>,</w:t>
      </w:r>
      <w:r w:rsidRPr="00A768E2">
        <w:rPr>
          <w:rFonts w:cstheme="minorHAnsi"/>
          <w:color w:val="000000"/>
        </w:rPr>
        <w:t xml:space="preserve"> </w:t>
      </w:r>
      <w:r w:rsidRPr="00A768E2">
        <w:rPr>
          <w:rFonts w:cstheme="minorHAnsi"/>
          <w:i/>
          <w:iCs/>
          <w:color w:val="000000"/>
        </w:rPr>
        <w:t xml:space="preserve">JAMA </w:t>
      </w:r>
      <w:proofErr w:type="spellStart"/>
      <w:r w:rsidRPr="00A768E2">
        <w:rPr>
          <w:rFonts w:cstheme="minorHAnsi"/>
          <w:i/>
          <w:iCs/>
          <w:color w:val="000000"/>
        </w:rPr>
        <w:t>Pediatr</w:t>
      </w:r>
      <w:r>
        <w:rPr>
          <w:rFonts w:cstheme="minorHAnsi"/>
          <w:color w:val="000000"/>
        </w:rPr>
        <w:t>ics</w:t>
      </w:r>
      <w:proofErr w:type="spellEnd"/>
      <w:r>
        <w:rPr>
          <w:rFonts w:cstheme="minorHAnsi"/>
          <w:color w:val="000000"/>
        </w:rPr>
        <w:t xml:space="preserve">, </w:t>
      </w:r>
      <w:r w:rsidRPr="00A768E2">
        <w:rPr>
          <w:rFonts w:cstheme="minorHAnsi"/>
          <w:color w:val="000000"/>
        </w:rPr>
        <w:t xml:space="preserve">doi:10.1001/jamapediatrics.2022.1296. </w:t>
      </w:r>
    </w:p>
  </w:footnote>
  <w:footnote w:id="420">
    <w:p w14:paraId="50146951" w14:textId="72312302" w:rsidR="00F14110" w:rsidRPr="00A768E2" w:rsidRDefault="00F14110" w:rsidP="00E20FF1">
      <w:pPr>
        <w:pStyle w:val="FootnoteText"/>
        <w:rPr>
          <w:rFonts w:asciiTheme="minorHAnsi" w:hAnsiTheme="minorHAnsi" w:cstheme="minorHAnsi"/>
          <w:lang w:val="mi-NZ"/>
        </w:rPr>
      </w:pPr>
      <w:r w:rsidRPr="00A768E2">
        <w:rPr>
          <w:rStyle w:val="FootnoteReference"/>
          <w:rFonts w:asciiTheme="minorHAnsi" w:hAnsiTheme="minorHAnsi" w:cstheme="minorHAnsi"/>
        </w:rPr>
        <w:footnoteRef/>
      </w:r>
      <w:r w:rsidRPr="00A768E2">
        <w:rPr>
          <w:rFonts w:asciiTheme="minorHAnsi" w:hAnsiTheme="minorHAnsi" w:cstheme="minorHAnsi"/>
        </w:rPr>
        <w:t xml:space="preserve"> </w:t>
      </w:r>
      <w:r w:rsidRPr="00A768E2">
        <w:rPr>
          <w:rFonts w:asciiTheme="minorHAnsi" w:hAnsiTheme="minorHAnsi" w:cstheme="minorHAnsi"/>
          <w:lang w:val="mi-NZ"/>
        </w:rPr>
        <w:t xml:space="preserve">See paras </w:t>
      </w:r>
      <w:r w:rsidR="001543D4">
        <w:rPr>
          <w:rFonts w:asciiTheme="minorHAnsi" w:hAnsiTheme="minorHAnsi" w:cstheme="minorHAnsi"/>
          <w:lang w:val="mi-NZ"/>
        </w:rPr>
        <w:t>199</w:t>
      </w:r>
      <w:r w:rsidRPr="00A768E2">
        <w:rPr>
          <w:rFonts w:asciiTheme="minorHAnsi" w:hAnsiTheme="minorHAnsi" w:cstheme="minorHAnsi"/>
          <w:lang w:val="mi-NZ"/>
        </w:rPr>
        <w:t xml:space="preserve"> to </w:t>
      </w:r>
      <w:r w:rsidR="00F37B7D">
        <w:rPr>
          <w:rFonts w:asciiTheme="minorHAnsi" w:hAnsiTheme="minorHAnsi" w:cstheme="minorHAnsi"/>
          <w:lang w:val="mi-NZ"/>
        </w:rPr>
        <w:t>20</w:t>
      </w:r>
      <w:r w:rsidR="001543D4">
        <w:rPr>
          <w:rFonts w:asciiTheme="minorHAnsi" w:hAnsiTheme="minorHAnsi" w:cstheme="minorHAnsi"/>
          <w:lang w:val="mi-NZ"/>
        </w:rPr>
        <w:t>3</w:t>
      </w:r>
      <w:r w:rsidRPr="00A768E2">
        <w:rPr>
          <w:rFonts w:asciiTheme="minorHAnsi" w:hAnsiTheme="minorHAnsi" w:cstheme="minorHAnsi"/>
          <w:lang w:val="mi-NZ"/>
        </w:rPr>
        <w:t xml:space="preserve"> above; Information from International Play Association (IPA) Aotearoa.</w:t>
      </w:r>
    </w:p>
  </w:footnote>
  <w:footnote w:id="421">
    <w:p w14:paraId="3A192EA1" w14:textId="77777777" w:rsidR="00F14110" w:rsidRPr="00A768E2" w:rsidRDefault="00F14110" w:rsidP="00E20FF1">
      <w:pPr>
        <w:pStyle w:val="FootnoteText"/>
        <w:rPr>
          <w:rFonts w:asciiTheme="minorHAnsi" w:hAnsiTheme="minorHAnsi" w:cstheme="minorHAnsi"/>
          <w:lang w:val="mi-NZ"/>
        </w:rPr>
      </w:pPr>
      <w:r w:rsidRPr="00A768E2">
        <w:rPr>
          <w:rStyle w:val="FootnoteReference"/>
          <w:rFonts w:asciiTheme="minorHAnsi" w:hAnsiTheme="minorHAnsi" w:cstheme="minorHAnsi"/>
        </w:rPr>
        <w:footnoteRef/>
      </w:r>
      <w:r w:rsidRPr="00A768E2">
        <w:rPr>
          <w:rFonts w:asciiTheme="minorHAnsi" w:hAnsiTheme="minorHAnsi" w:cstheme="minorHAnsi"/>
        </w:rPr>
        <w:t xml:space="preserve"> </w:t>
      </w:r>
      <w:r w:rsidRPr="00A768E2">
        <w:rPr>
          <w:rFonts w:asciiTheme="minorHAnsi" w:hAnsiTheme="minorHAnsi" w:cstheme="minorHAnsi"/>
          <w:lang w:eastAsia="en-NZ"/>
        </w:rPr>
        <w:t xml:space="preserve">For example, policies are needed to ensure that developers protect and enhance accessible natural areas, </w:t>
      </w:r>
      <w:proofErr w:type="gramStart"/>
      <w:r w:rsidRPr="00A768E2">
        <w:rPr>
          <w:rFonts w:asciiTheme="minorHAnsi" w:hAnsiTheme="minorHAnsi" w:cstheme="minorHAnsi"/>
          <w:lang w:eastAsia="en-NZ"/>
        </w:rPr>
        <w:t>waterways</w:t>
      </w:r>
      <w:proofErr w:type="gramEnd"/>
      <w:r w:rsidRPr="00A768E2">
        <w:rPr>
          <w:rFonts w:asciiTheme="minorHAnsi" w:hAnsiTheme="minorHAnsi" w:cstheme="minorHAnsi"/>
          <w:lang w:eastAsia="en-NZ"/>
        </w:rPr>
        <w:t xml:space="preserve"> and open spaces for children to freely play, and </w:t>
      </w:r>
      <w:r>
        <w:rPr>
          <w:rFonts w:asciiTheme="minorHAnsi" w:hAnsiTheme="minorHAnsi" w:cstheme="minorHAnsi"/>
          <w:lang w:eastAsia="en-NZ"/>
        </w:rPr>
        <w:t xml:space="preserve">to </w:t>
      </w:r>
      <w:r w:rsidRPr="00A768E2">
        <w:rPr>
          <w:rFonts w:asciiTheme="minorHAnsi" w:hAnsiTheme="minorHAnsi" w:cstheme="minorHAnsi"/>
          <w:lang w:eastAsia="en-NZ"/>
        </w:rPr>
        <w:t xml:space="preserve">design a network of public accessways and spaces that allow all children, including those with disabilities, to easily access quality spaces to play from their homes. </w:t>
      </w:r>
      <w:r w:rsidRPr="00A768E2">
        <w:rPr>
          <w:rFonts w:asciiTheme="minorHAnsi" w:hAnsiTheme="minorHAnsi" w:cstheme="minorHAnsi"/>
          <w:lang w:val="mi-NZ"/>
        </w:rPr>
        <w:t xml:space="preserve">This is consistent with the Helen Clerk Foundation recommendations about creating friendly streets and neighbourhoods: </w:t>
      </w:r>
      <w:hyperlink r:id="rId273" w:history="1">
        <w:r w:rsidRPr="00A768E2">
          <w:rPr>
            <w:rStyle w:val="Hyperlink"/>
            <w:rFonts w:asciiTheme="minorHAnsi" w:hAnsiTheme="minorHAnsi" w:cstheme="minorHAnsi"/>
            <w:lang w:val="mi-NZ"/>
          </w:rPr>
          <w:t>https://helenclark.foundation/app/uploads/2021/10/HCF_Alone-Together_Walker_June-2020_accessible.pdf</w:t>
        </w:r>
      </w:hyperlink>
      <w:r w:rsidRPr="00A768E2">
        <w:rPr>
          <w:rFonts w:asciiTheme="minorHAnsi" w:hAnsiTheme="minorHAnsi" w:cstheme="minorHAnsi"/>
          <w:lang w:val="mi-NZ"/>
        </w:rPr>
        <w:t xml:space="preserve">   </w:t>
      </w:r>
    </w:p>
  </w:footnote>
  <w:footnote w:id="422">
    <w:p w14:paraId="731EA709" w14:textId="77777777" w:rsidR="00F14110" w:rsidRPr="00A768E2" w:rsidRDefault="00F14110" w:rsidP="00E20FF1">
      <w:pPr>
        <w:pStyle w:val="FootnoteText"/>
        <w:rPr>
          <w:rFonts w:asciiTheme="minorHAnsi" w:hAnsiTheme="minorHAnsi" w:cstheme="minorHAnsi"/>
          <w:lang w:val="mi-NZ"/>
        </w:rPr>
      </w:pPr>
      <w:r w:rsidRPr="00A768E2">
        <w:rPr>
          <w:rStyle w:val="FootnoteReference"/>
          <w:rFonts w:asciiTheme="minorHAnsi" w:hAnsiTheme="minorHAnsi" w:cstheme="minorHAnsi"/>
        </w:rPr>
        <w:footnoteRef/>
      </w:r>
      <w:r w:rsidRPr="00A768E2">
        <w:rPr>
          <w:rFonts w:asciiTheme="minorHAnsi" w:hAnsiTheme="minorHAnsi" w:cstheme="minorHAnsi"/>
        </w:rPr>
        <w:t xml:space="preserve"> </w:t>
      </w:r>
      <w:r w:rsidRPr="00A768E2">
        <w:rPr>
          <w:rFonts w:asciiTheme="minorHAnsi" w:hAnsiTheme="minorHAnsi" w:cstheme="minorHAnsi"/>
          <w:lang w:eastAsia="en-NZ"/>
        </w:rPr>
        <w:t xml:space="preserve">Currently, as little as </w:t>
      </w:r>
      <w:r>
        <w:rPr>
          <w:rFonts w:asciiTheme="minorHAnsi" w:hAnsiTheme="minorHAnsi" w:cstheme="minorHAnsi"/>
          <w:lang w:eastAsia="en-NZ"/>
        </w:rPr>
        <w:t>five</w:t>
      </w:r>
      <w:r w:rsidRPr="00A768E2">
        <w:rPr>
          <w:rFonts w:asciiTheme="minorHAnsi" w:hAnsiTheme="minorHAnsi" w:cstheme="minorHAnsi"/>
          <w:lang w:eastAsia="en-NZ"/>
        </w:rPr>
        <w:t xml:space="preserve"> square metres per child.</w:t>
      </w:r>
    </w:p>
  </w:footnote>
  <w:footnote w:id="423">
    <w:p w14:paraId="0FA39D04" w14:textId="1BD62F92" w:rsidR="00F14110" w:rsidRPr="003E095C" w:rsidRDefault="00F14110" w:rsidP="00E20FF1">
      <w:pPr>
        <w:spacing w:after="0" w:line="240" w:lineRule="auto"/>
        <w:rPr>
          <w:rFonts w:cstheme="minorHAnsi"/>
          <w:lang w:val="mi-NZ"/>
        </w:rPr>
      </w:pPr>
      <w:r>
        <w:rPr>
          <w:rStyle w:val="FootnoteReference"/>
        </w:rPr>
        <w:footnoteRef/>
      </w:r>
      <w:r>
        <w:t xml:space="preserve"> </w:t>
      </w:r>
      <w:r w:rsidRPr="003E095C">
        <w:rPr>
          <w:rFonts w:cstheme="minorHAnsi"/>
          <w:lang w:val="mi-NZ"/>
        </w:rPr>
        <w:t xml:space="preserve">Children’s Rights in </w:t>
      </w:r>
      <w:r w:rsidR="001E728C">
        <w:rPr>
          <w:rFonts w:cstheme="minorHAnsi"/>
          <w:lang w:val="mi-NZ"/>
        </w:rPr>
        <w:t>a Changing Climate</w:t>
      </w:r>
      <w:r w:rsidRPr="003E095C">
        <w:rPr>
          <w:rFonts w:cstheme="minorHAnsi"/>
          <w:lang w:val="mi-NZ"/>
        </w:rPr>
        <w:t xml:space="preserve"> Thematic Report</w:t>
      </w:r>
      <w:r w:rsidR="007D2EA8">
        <w:rPr>
          <w:rFonts w:cstheme="minorHAnsi"/>
          <w:lang w:val="mi-NZ"/>
        </w:rPr>
        <w:t>.</w:t>
      </w:r>
    </w:p>
  </w:footnote>
  <w:footnote w:id="424">
    <w:p w14:paraId="12CB4B98" w14:textId="77777777" w:rsidR="00F14110" w:rsidRPr="00A768E2" w:rsidRDefault="00F14110" w:rsidP="00E20FF1">
      <w:pPr>
        <w:pStyle w:val="FootnoteText"/>
        <w:rPr>
          <w:rFonts w:asciiTheme="minorHAnsi" w:hAnsiTheme="minorHAnsi" w:cstheme="minorHAnsi"/>
          <w:lang w:val="mi-NZ"/>
        </w:rPr>
      </w:pPr>
      <w:r w:rsidRPr="00A768E2">
        <w:rPr>
          <w:rStyle w:val="FootnoteReference"/>
          <w:rFonts w:asciiTheme="minorHAnsi" w:hAnsiTheme="minorHAnsi" w:cstheme="minorHAnsi"/>
        </w:rPr>
        <w:footnoteRef/>
      </w:r>
      <w:r w:rsidRPr="00A768E2">
        <w:rPr>
          <w:rFonts w:asciiTheme="minorHAnsi" w:hAnsiTheme="minorHAnsi" w:cstheme="minorHAnsi"/>
        </w:rPr>
        <w:t xml:space="preserve"> </w:t>
      </w:r>
      <w:hyperlink r:id="rId274" w:history="1">
        <w:r w:rsidRPr="00A768E2">
          <w:rPr>
            <w:rStyle w:val="Hyperlink"/>
            <w:rFonts w:asciiTheme="minorHAnsi" w:hAnsiTheme="minorHAnsi" w:cstheme="minorHAnsi"/>
          </w:rPr>
          <w:t>https://www.beehive.govt.nz/release/government-offers-formal-apology-dawn-raids</w:t>
        </w:r>
      </w:hyperlink>
      <w:r w:rsidRPr="00A768E2">
        <w:rPr>
          <w:rFonts w:asciiTheme="minorHAnsi" w:hAnsiTheme="minorHAnsi" w:cstheme="minorHAnsi"/>
        </w:rPr>
        <w:t xml:space="preserve"> ; </w:t>
      </w:r>
      <w:hyperlink r:id="rId275" w:history="1">
        <w:r w:rsidRPr="00A768E2">
          <w:rPr>
            <w:rStyle w:val="Hyperlink"/>
            <w:rFonts w:asciiTheme="minorHAnsi" w:hAnsiTheme="minorHAnsi" w:cstheme="minorHAnsi"/>
          </w:rPr>
          <w:t>https://www.rnz.co.nz/news/national/448212/recap-government-makes-apology-over-dawn-raids</w:t>
        </w:r>
      </w:hyperlink>
      <w:r w:rsidRPr="00A768E2">
        <w:rPr>
          <w:rFonts w:asciiTheme="minorHAnsi" w:hAnsiTheme="minorHAnsi" w:cstheme="minorHAnsi"/>
        </w:rPr>
        <w:t xml:space="preserve"> </w:t>
      </w:r>
    </w:p>
  </w:footnote>
  <w:footnote w:id="425">
    <w:p w14:paraId="1C1FAEFB" w14:textId="77777777" w:rsidR="00F14110" w:rsidRPr="00A768E2" w:rsidRDefault="00F14110" w:rsidP="00E20FF1">
      <w:pPr>
        <w:spacing w:after="0" w:line="240" w:lineRule="auto"/>
        <w:rPr>
          <w:rFonts w:cstheme="minorHAnsi"/>
        </w:rPr>
      </w:pPr>
      <w:r w:rsidRPr="00A768E2">
        <w:rPr>
          <w:rStyle w:val="FootnoteReference"/>
          <w:rFonts w:cstheme="minorHAnsi"/>
        </w:rPr>
        <w:footnoteRef/>
      </w:r>
      <w:r w:rsidRPr="00A768E2">
        <w:rPr>
          <w:rFonts w:cstheme="minorHAnsi"/>
        </w:rPr>
        <w:t xml:space="preserve"> </w:t>
      </w:r>
      <w:r w:rsidRPr="00A768E2">
        <w:rPr>
          <w:rFonts w:cstheme="minorHAnsi"/>
          <w:color w:val="000000"/>
          <w:shd w:val="clear" w:color="auto" w:fill="FFFFFF"/>
        </w:rPr>
        <w:t>These raids took place at homes, workplaces and even churches, and often led to prosecution and deportation, traumatising the Pacific communities, separating families and putting</w:t>
      </w:r>
      <w:r>
        <w:rPr>
          <w:rFonts w:cstheme="minorHAnsi"/>
          <w:color w:val="000000"/>
          <w:shd w:val="clear" w:color="auto" w:fill="FFFFFF"/>
        </w:rPr>
        <w:t xml:space="preserve"> children in state care homes:</w:t>
      </w:r>
      <w:r w:rsidRPr="00A768E2">
        <w:rPr>
          <w:rFonts w:cstheme="minorHAnsi"/>
          <w:color w:val="000000"/>
          <w:shd w:val="clear" w:color="auto" w:fill="FFFFFF"/>
        </w:rPr>
        <w:t xml:space="preserve"> </w:t>
      </w:r>
      <w:hyperlink r:id="rId276" w:history="1">
        <w:r w:rsidRPr="00A768E2">
          <w:rPr>
            <w:rStyle w:val="Hyperlink"/>
            <w:rFonts w:cstheme="minorHAnsi"/>
            <w:shd w:val="clear" w:color="auto" w:fill="FFFFFF"/>
          </w:rPr>
          <w:t>https://www.stuff.co.nz/national/125849685/dawn-raids-apology-pm-sorry-for-hurt-and-distress-of-racially-targeted-policy</w:t>
        </w:r>
      </w:hyperlink>
      <w:r w:rsidRPr="00A768E2">
        <w:rPr>
          <w:rFonts w:cstheme="minorHAnsi"/>
          <w:color w:val="000000"/>
          <w:shd w:val="clear" w:color="auto" w:fill="FFFFFF"/>
        </w:rPr>
        <w:t xml:space="preserve"> </w:t>
      </w:r>
    </w:p>
  </w:footnote>
  <w:footnote w:id="426">
    <w:p w14:paraId="0688A5D5" w14:textId="18B1B426" w:rsidR="00F14110" w:rsidRPr="00A768E2" w:rsidRDefault="00F14110" w:rsidP="00E20FF1">
      <w:pPr>
        <w:pStyle w:val="FootnoteText"/>
        <w:rPr>
          <w:rFonts w:asciiTheme="minorHAnsi" w:hAnsiTheme="minorHAnsi" w:cstheme="minorHAnsi"/>
          <w:lang w:val="mi-NZ"/>
        </w:rPr>
      </w:pPr>
      <w:r w:rsidRPr="00A768E2">
        <w:rPr>
          <w:rStyle w:val="FootnoteReference"/>
          <w:rFonts w:asciiTheme="minorHAnsi" w:hAnsiTheme="minorHAnsi" w:cstheme="minorHAnsi"/>
        </w:rPr>
        <w:footnoteRef/>
      </w:r>
      <w:r w:rsidRPr="00A768E2">
        <w:rPr>
          <w:rFonts w:asciiTheme="minorHAnsi" w:hAnsiTheme="minorHAnsi" w:cstheme="minorHAnsi"/>
        </w:rPr>
        <w:t xml:space="preserve"> </w:t>
      </w:r>
      <w:hyperlink r:id="rId277" w:history="1">
        <w:r w:rsidRPr="00A768E2">
          <w:rPr>
            <w:rStyle w:val="Hyperlink"/>
            <w:rFonts w:asciiTheme="minorHAnsi" w:hAnsiTheme="minorHAnsi" w:cstheme="minorHAnsi"/>
          </w:rPr>
          <w:t>https://nzhistory.govt.nz/te-akomanga/contexts-activties/government-apologies-to-teach-learn-history</w:t>
        </w:r>
      </w:hyperlink>
      <w:r w:rsidRPr="00A768E2">
        <w:rPr>
          <w:rFonts w:asciiTheme="minorHAnsi" w:hAnsiTheme="minorHAnsi" w:cstheme="minorHAnsi"/>
        </w:rPr>
        <w:t xml:space="preserve"> </w:t>
      </w:r>
    </w:p>
  </w:footnote>
  <w:footnote w:id="427">
    <w:p w14:paraId="57218ABA" w14:textId="77777777" w:rsidR="00EB39D6" w:rsidRPr="00A768E2" w:rsidRDefault="00EB39D6" w:rsidP="00E20FF1">
      <w:pPr>
        <w:pStyle w:val="FootnoteText"/>
        <w:rPr>
          <w:rFonts w:asciiTheme="minorHAnsi" w:hAnsiTheme="minorHAnsi" w:cstheme="minorHAnsi"/>
          <w:lang w:val="mi-NZ"/>
        </w:rPr>
      </w:pPr>
      <w:r w:rsidRPr="00A768E2">
        <w:rPr>
          <w:rStyle w:val="FootnoteReference"/>
          <w:rFonts w:asciiTheme="minorHAnsi" w:hAnsiTheme="minorHAnsi" w:cstheme="minorHAnsi"/>
        </w:rPr>
        <w:footnoteRef/>
      </w:r>
      <w:r w:rsidRPr="00A768E2">
        <w:rPr>
          <w:rFonts w:asciiTheme="minorHAnsi" w:hAnsiTheme="minorHAnsi" w:cstheme="minorHAnsi"/>
        </w:rPr>
        <w:t xml:space="preserve"> </w:t>
      </w:r>
      <w:hyperlink r:id="rId278" w:history="1">
        <w:r w:rsidRPr="00A768E2">
          <w:rPr>
            <w:rStyle w:val="Hyperlink"/>
            <w:rFonts w:asciiTheme="minorHAnsi" w:hAnsiTheme="minorHAnsi" w:cstheme="minorHAnsi"/>
          </w:rPr>
          <w:t>https://christchurchattack.royalcommission.nz/the-report/part-9-social-cohesion-and-embracing-diversity/leadership-and-oversight-in-building-social-cohesion/</w:t>
        </w:r>
      </w:hyperlink>
      <w:r w:rsidRPr="00A768E2">
        <w:rPr>
          <w:rFonts w:asciiTheme="minorHAnsi" w:hAnsiTheme="minorHAnsi" w:cstheme="minorHAnsi"/>
        </w:rPr>
        <w:t>, para 23.</w:t>
      </w:r>
    </w:p>
  </w:footnote>
  <w:footnote w:id="428">
    <w:p w14:paraId="3CD3D69D" w14:textId="53AC9D18" w:rsidR="00EB39D6" w:rsidRPr="00A768E2" w:rsidRDefault="00EB39D6" w:rsidP="00E20FF1">
      <w:pPr>
        <w:pStyle w:val="FootnoteText"/>
        <w:rPr>
          <w:rFonts w:asciiTheme="minorHAnsi" w:hAnsiTheme="minorHAnsi" w:cstheme="minorHAnsi"/>
          <w:lang w:val="mi-NZ"/>
        </w:rPr>
      </w:pPr>
      <w:r w:rsidRPr="00A768E2">
        <w:rPr>
          <w:rStyle w:val="FootnoteReference"/>
          <w:rFonts w:asciiTheme="minorHAnsi" w:hAnsiTheme="minorHAnsi" w:cstheme="minorHAnsi"/>
        </w:rPr>
        <w:footnoteRef/>
      </w:r>
      <w:r w:rsidRPr="00A768E2">
        <w:rPr>
          <w:rFonts w:asciiTheme="minorHAnsi" w:hAnsiTheme="minorHAnsi" w:cstheme="minorHAnsi"/>
        </w:rPr>
        <w:t xml:space="preserve"> </w:t>
      </w:r>
      <w:r w:rsidRPr="00A768E2">
        <w:rPr>
          <w:rFonts w:asciiTheme="minorHAnsi" w:hAnsiTheme="minorHAnsi" w:cstheme="minorHAnsi"/>
          <w:lang w:val="mi-NZ"/>
        </w:rPr>
        <w:t xml:space="preserve">See, for example, </w:t>
      </w:r>
      <w:r w:rsidR="000F5589">
        <w:rPr>
          <w:rFonts w:asciiTheme="minorHAnsi" w:hAnsiTheme="minorHAnsi" w:cstheme="minorHAnsi"/>
          <w:lang w:val="mi-NZ"/>
        </w:rPr>
        <w:t xml:space="preserve">the Royal Commission’s </w:t>
      </w:r>
      <w:r w:rsidRPr="00A768E2">
        <w:rPr>
          <w:rFonts w:asciiTheme="minorHAnsi" w:hAnsiTheme="minorHAnsi" w:cstheme="minorHAnsi"/>
          <w:lang w:val="mi-NZ"/>
        </w:rPr>
        <w:t>recommendations 36</w:t>
      </w:r>
      <w:r>
        <w:rPr>
          <w:rFonts w:asciiTheme="minorHAnsi" w:hAnsiTheme="minorHAnsi" w:cstheme="minorHAnsi"/>
          <w:lang w:val="mi-NZ"/>
        </w:rPr>
        <w:t>-</w:t>
      </w:r>
      <w:r w:rsidRPr="00A768E2">
        <w:rPr>
          <w:rFonts w:asciiTheme="minorHAnsi" w:hAnsiTheme="minorHAnsi" w:cstheme="minorHAnsi"/>
          <w:lang w:val="mi-NZ"/>
        </w:rPr>
        <w:t xml:space="preserve">38. </w:t>
      </w:r>
      <w:hyperlink r:id="rId279" w:history="1">
        <w:r w:rsidRPr="00A768E2">
          <w:rPr>
            <w:rStyle w:val="Hyperlink"/>
            <w:rFonts w:asciiTheme="minorHAnsi" w:hAnsiTheme="minorHAnsi" w:cstheme="minorHAnsi"/>
            <w:lang w:val="mi-NZ"/>
          </w:rPr>
          <w:t>https://christchurchattack.royalcommission.nz/the-report/executive-summary-2/summary-of-recommendations/</w:t>
        </w:r>
      </w:hyperlink>
      <w:r w:rsidRPr="00A768E2">
        <w:rPr>
          <w:rFonts w:asciiTheme="minorHAnsi" w:hAnsiTheme="minorHAnsi" w:cstheme="minorHAnsi"/>
          <w:lang w:val="mi-NZ"/>
        </w:rPr>
        <w:t xml:space="preserve"> </w:t>
      </w:r>
    </w:p>
  </w:footnote>
  <w:footnote w:id="429">
    <w:p w14:paraId="22D8C133" w14:textId="77777777" w:rsidR="00EB39D6" w:rsidRPr="00A768E2" w:rsidRDefault="00EB39D6" w:rsidP="00E20FF1">
      <w:pPr>
        <w:spacing w:after="0" w:line="240" w:lineRule="auto"/>
        <w:rPr>
          <w:rFonts w:cstheme="minorHAnsi"/>
        </w:rPr>
      </w:pPr>
      <w:r w:rsidRPr="00A768E2">
        <w:rPr>
          <w:rStyle w:val="FootnoteReference"/>
          <w:rFonts w:cstheme="minorHAnsi"/>
        </w:rPr>
        <w:footnoteRef/>
      </w:r>
      <w:r w:rsidRPr="00A768E2">
        <w:rPr>
          <w:rFonts w:cstheme="minorHAnsi"/>
        </w:rPr>
        <w:t xml:space="preserve"> </w:t>
      </w:r>
      <w:r w:rsidRPr="00A768E2">
        <w:rPr>
          <w:rFonts w:cstheme="minorHAnsi"/>
          <w:i/>
          <w:iCs/>
        </w:rPr>
        <w:t xml:space="preserve">Hosea Courage, Daniel </w:t>
      </w:r>
      <w:proofErr w:type="gramStart"/>
      <w:r w:rsidRPr="00A768E2">
        <w:rPr>
          <w:rFonts w:cstheme="minorHAnsi"/>
          <w:i/>
          <w:iCs/>
        </w:rPr>
        <w:t>Pilgrim</w:t>
      </w:r>
      <w:proofErr w:type="gramEnd"/>
      <w:r w:rsidRPr="00A768E2">
        <w:rPr>
          <w:rFonts w:cstheme="minorHAnsi"/>
          <w:i/>
          <w:iCs/>
        </w:rPr>
        <w:t xml:space="preserve"> and Levi Courage v The Attorney-General</w:t>
      </w:r>
      <w:r w:rsidRPr="00A768E2">
        <w:rPr>
          <w:rFonts w:cstheme="minorHAnsi"/>
        </w:rPr>
        <w:t xml:space="preserve"> sued on behalf of the Ministry of Business, Innovation and Employment, Labour Inspectorate [2022] NZ Employment Court 77 [10 May 2022].</w:t>
      </w:r>
    </w:p>
  </w:footnote>
  <w:footnote w:id="430">
    <w:p w14:paraId="70788CDD" w14:textId="3E29DE01" w:rsidR="00EB39D6" w:rsidRPr="001B3A91" w:rsidRDefault="00EB39D6" w:rsidP="00E20FF1">
      <w:pPr>
        <w:pStyle w:val="FootnoteText"/>
        <w:rPr>
          <w:rFonts w:asciiTheme="minorHAnsi" w:hAnsiTheme="minorHAnsi" w:cstheme="minorHAnsi"/>
          <w:lang w:val="mi-NZ"/>
        </w:rPr>
      </w:pPr>
      <w:r w:rsidRPr="001B3A91">
        <w:rPr>
          <w:rStyle w:val="FootnoteReference"/>
          <w:rFonts w:asciiTheme="minorHAnsi" w:hAnsiTheme="minorHAnsi" w:cstheme="minorHAnsi"/>
        </w:rPr>
        <w:footnoteRef/>
      </w:r>
      <w:r w:rsidRPr="001B3A91">
        <w:rPr>
          <w:rFonts w:asciiTheme="minorHAnsi" w:hAnsiTheme="minorHAnsi" w:cstheme="minorHAnsi"/>
        </w:rPr>
        <w:t xml:space="preserve"> </w:t>
      </w:r>
      <w:r w:rsidRPr="001B3A91">
        <w:rPr>
          <w:rFonts w:asciiTheme="minorHAnsi" w:hAnsiTheme="minorHAnsi" w:cstheme="minorHAnsi"/>
          <w:lang w:val="mi-NZ"/>
        </w:rPr>
        <w:t>Ibid, para 9</w:t>
      </w:r>
      <w:r w:rsidR="007D2EA8">
        <w:rPr>
          <w:rFonts w:asciiTheme="minorHAnsi" w:hAnsiTheme="minorHAnsi" w:cstheme="minorHAnsi"/>
          <w:lang w:val="mi-NZ"/>
        </w:rPr>
        <w:t>.</w:t>
      </w:r>
    </w:p>
  </w:footnote>
  <w:footnote w:id="431">
    <w:p w14:paraId="5BC0FFD8" w14:textId="77777777" w:rsidR="00EB39D6" w:rsidRPr="00A768E2" w:rsidRDefault="00EB39D6" w:rsidP="00E20FF1">
      <w:pPr>
        <w:pStyle w:val="FootnoteText"/>
        <w:rPr>
          <w:rFonts w:asciiTheme="minorHAnsi" w:hAnsiTheme="minorHAnsi" w:cstheme="minorHAnsi"/>
          <w:lang w:val="mi-NZ"/>
        </w:rPr>
      </w:pPr>
      <w:r w:rsidRPr="00A768E2">
        <w:rPr>
          <w:rStyle w:val="FootnoteReference"/>
          <w:rFonts w:asciiTheme="minorHAnsi" w:hAnsiTheme="minorHAnsi" w:cstheme="minorHAnsi"/>
        </w:rPr>
        <w:footnoteRef/>
      </w:r>
      <w:r w:rsidRPr="00A768E2">
        <w:rPr>
          <w:rFonts w:asciiTheme="minorHAnsi" w:hAnsiTheme="minorHAnsi" w:cstheme="minorHAnsi"/>
        </w:rPr>
        <w:t xml:space="preserve"> </w:t>
      </w:r>
      <w:r w:rsidRPr="00A768E2">
        <w:rPr>
          <w:rFonts w:asciiTheme="minorHAnsi" w:hAnsiTheme="minorHAnsi" w:cstheme="minorHAnsi"/>
          <w:lang w:val="mi-NZ"/>
        </w:rPr>
        <w:t xml:space="preserve">Government </w:t>
      </w:r>
      <w:r>
        <w:rPr>
          <w:rFonts w:asciiTheme="minorHAnsi" w:hAnsiTheme="minorHAnsi" w:cstheme="minorHAnsi"/>
          <w:lang w:val="mi-NZ"/>
        </w:rPr>
        <w:t>R</w:t>
      </w:r>
      <w:r w:rsidRPr="00A768E2">
        <w:rPr>
          <w:rFonts w:asciiTheme="minorHAnsi" w:hAnsiTheme="minorHAnsi" w:cstheme="minorHAnsi"/>
          <w:lang w:val="mi-NZ"/>
        </w:rPr>
        <w:t>eport, para 284.</w:t>
      </w:r>
    </w:p>
  </w:footnote>
  <w:footnote w:id="432">
    <w:p w14:paraId="1623E5F3" w14:textId="77777777" w:rsidR="00EB39D6" w:rsidRPr="00C4752D" w:rsidRDefault="00EB39D6" w:rsidP="00E20FF1">
      <w:pPr>
        <w:pStyle w:val="FootnoteText"/>
        <w:rPr>
          <w:lang w:val="mi-NZ"/>
        </w:rPr>
      </w:pPr>
      <w:r>
        <w:rPr>
          <w:rStyle w:val="FootnoteReference"/>
        </w:rPr>
        <w:footnoteRef/>
      </w:r>
      <w:r>
        <w:t xml:space="preserve"> </w:t>
      </w:r>
      <w:hyperlink r:id="rId280" w:history="1">
        <w:r w:rsidRPr="00C4752D">
          <w:rPr>
            <w:rStyle w:val="Hyperlink"/>
            <w:rFonts w:asciiTheme="minorHAnsi" w:hAnsiTheme="minorHAnsi" w:cstheme="minorHAnsi"/>
          </w:rPr>
          <w:t>https://www.justice.govt.nz/justice-sector-policy/constitutional-issues-and-human-rights/human-rights/international-human-rights/crc/</w:t>
        </w:r>
      </w:hyperlink>
      <w:r>
        <w:t xml:space="preserve"> </w:t>
      </w:r>
    </w:p>
  </w:footnote>
  <w:footnote w:id="433">
    <w:p w14:paraId="7A396501" w14:textId="77777777" w:rsidR="00EB39D6" w:rsidRPr="001E290E" w:rsidRDefault="00EB39D6" w:rsidP="00E20FF1">
      <w:pPr>
        <w:pStyle w:val="NoSpacing"/>
        <w:rPr>
          <w:rFonts w:cstheme="minorHAnsi"/>
        </w:rPr>
      </w:pPr>
      <w:r w:rsidRPr="001E290E">
        <w:rPr>
          <w:rStyle w:val="FootnoteReference"/>
          <w:rFonts w:cstheme="minorHAnsi"/>
        </w:rPr>
        <w:footnoteRef/>
      </w:r>
      <w:r w:rsidRPr="001E290E">
        <w:rPr>
          <w:rFonts w:cstheme="minorHAnsi"/>
        </w:rPr>
        <w:t xml:space="preserve"> D Anderson (2010)</w:t>
      </w:r>
      <w:r w:rsidRPr="001E290E">
        <w:rPr>
          <w:rFonts w:cstheme="minorHAnsi"/>
          <w:color w:val="1B2F73" w:themeColor="text2" w:themeShade="BF"/>
        </w:rPr>
        <w:t xml:space="preserve"> </w:t>
      </w:r>
      <w:hyperlink r:id="rId281" w:history="1">
        <w:r w:rsidRPr="001E290E">
          <w:rPr>
            <w:rStyle w:val="Hyperlink"/>
            <w:rFonts w:cstheme="minorHAnsi"/>
            <w:iCs/>
            <w:color w:val="1B2F73" w:themeColor="text2" w:themeShade="BF"/>
          </w:rPr>
          <w:t>Safe enough? The working lives of New Zealand children</w:t>
        </w:r>
      </w:hyperlink>
      <w:r w:rsidRPr="001E290E">
        <w:rPr>
          <w:rFonts w:cstheme="minorHAnsi"/>
        </w:rPr>
        <w:t>.</w:t>
      </w:r>
    </w:p>
  </w:footnote>
  <w:footnote w:id="434">
    <w:p w14:paraId="06E4CD61" w14:textId="77777777" w:rsidR="00EB39D6" w:rsidRPr="001E290E" w:rsidRDefault="00EB39D6" w:rsidP="00E20FF1">
      <w:pPr>
        <w:pStyle w:val="NoSpacing"/>
        <w:rPr>
          <w:rFonts w:cstheme="minorHAnsi"/>
        </w:rPr>
      </w:pPr>
      <w:r w:rsidRPr="001E290E">
        <w:rPr>
          <w:rStyle w:val="FootnoteReference"/>
          <w:rFonts w:cstheme="minorHAnsi"/>
        </w:rPr>
        <w:footnoteRef/>
      </w:r>
      <w:r w:rsidRPr="001E290E">
        <w:rPr>
          <w:rFonts w:cstheme="minorHAnsi"/>
        </w:rPr>
        <w:t xml:space="preserve"> D O’Neill (2010) </w:t>
      </w:r>
      <w:hyperlink r:id="rId282" w:history="1">
        <w:r w:rsidRPr="001E290E">
          <w:rPr>
            <w:rStyle w:val="Hyperlink"/>
            <w:rFonts w:cstheme="minorHAnsi"/>
            <w:color w:val="1B2F73" w:themeColor="text2" w:themeShade="BF"/>
          </w:rPr>
          <w:t>School Children in Employment: Issues and Considerations</w:t>
        </w:r>
      </w:hyperlink>
      <w:r w:rsidRPr="001E290E">
        <w:rPr>
          <w:rFonts w:cstheme="minorHAnsi"/>
        </w:rPr>
        <w:t xml:space="preserve">. </w:t>
      </w:r>
    </w:p>
  </w:footnote>
  <w:footnote w:id="435">
    <w:p w14:paraId="12A7B904" w14:textId="77777777" w:rsidR="00EB39D6" w:rsidRPr="001E290E" w:rsidRDefault="00EB39D6" w:rsidP="00E20FF1">
      <w:pPr>
        <w:pStyle w:val="FootnoteText"/>
        <w:rPr>
          <w:rFonts w:asciiTheme="minorHAnsi" w:hAnsiTheme="minorHAnsi" w:cstheme="minorHAnsi"/>
          <w:lang w:val="en-US"/>
        </w:rPr>
      </w:pPr>
      <w:r w:rsidRPr="001E290E">
        <w:rPr>
          <w:rStyle w:val="FootnoteReference"/>
          <w:rFonts w:asciiTheme="minorHAnsi" w:hAnsiTheme="minorHAnsi" w:cstheme="minorHAnsi"/>
        </w:rPr>
        <w:footnoteRef/>
      </w:r>
      <w:r w:rsidRPr="001E290E">
        <w:rPr>
          <w:rFonts w:asciiTheme="minorHAnsi" w:hAnsiTheme="minorHAnsi" w:cstheme="minorHAnsi"/>
        </w:rPr>
        <w:t xml:space="preserve"> </w:t>
      </w:r>
      <w:hyperlink r:id="rId283" w:history="1">
        <w:r w:rsidRPr="001E290E">
          <w:rPr>
            <w:rStyle w:val="Hyperlink"/>
            <w:rFonts w:asciiTheme="minorHAnsi" w:hAnsiTheme="minorHAnsi" w:cstheme="minorHAnsi"/>
          </w:rPr>
          <w:t>https://www.stuff.co.nz/national/education/121633328/coronavirus-fears-teens-working-to-support-families-wont-return-to-school</w:t>
        </w:r>
      </w:hyperlink>
      <w:r w:rsidRPr="001E290E">
        <w:rPr>
          <w:rFonts w:asciiTheme="minorHAnsi" w:hAnsiTheme="minorHAnsi" w:cstheme="minorHAnsi"/>
        </w:rPr>
        <w:t xml:space="preserve">; </w:t>
      </w:r>
      <w:hyperlink r:id="rId284" w:history="1">
        <w:r w:rsidRPr="00E16885">
          <w:rPr>
            <w:rFonts w:asciiTheme="minorHAnsi" w:eastAsiaTheme="minorHAnsi" w:hAnsiTheme="minorHAnsi" w:cstheme="minorHAnsi"/>
            <w:color w:val="25409A" w:themeColor="text2"/>
            <w:u w:val="single" w:color="094FD1"/>
            <w:lang w:val="en-GB" w:eastAsia="en-US"/>
          </w:rPr>
          <w:t>https://www.1news.co.nz/2020/08/18/childrens-commissioner-says-too-many-kiwi-kids-leaving-school-to-help-whanau-with-covid-19-financial-burdens/</w:t>
        </w:r>
      </w:hyperlink>
    </w:p>
  </w:footnote>
  <w:footnote w:id="436">
    <w:p w14:paraId="47717976" w14:textId="77777777" w:rsidR="00EB39D6" w:rsidRPr="001E290E" w:rsidRDefault="00EB39D6" w:rsidP="00E20FF1">
      <w:pPr>
        <w:pStyle w:val="FootnoteText"/>
        <w:rPr>
          <w:rFonts w:asciiTheme="minorHAnsi" w:hAnsiTheme="minorHAnsi" w:cstheme="minorHAnsi"/>
          <w:lang w:val="en-US"/>
        </w:rPr>
      </w:pPr>
      <w:r w:rsidRPr="001E290E">
        <w:rPr>
          <w:rStyle w:val="FootnoteReference"/>
          <w:rFonts w:asciiTheme="minorHAnsi" w:hAnsiTheme="minorHAnsi" w:cstheme="minorHAnsi"/>
        </w:rPr>
        <w:footnoteRef/>
      </w:r>
      <w:r w:rsidRPr="001E290E">
        <w:rPr>
          <w:rFonts w:asciiTheme="minorHAnsi" w:hAnsiTheme="minorHAnsi" w:cstheme="minorHAnsi"/>
        </w:rPr>
        <w:t xml:space="preserve"> </w:t>
      </w:r>
      <w:hyperlink r:id="rId285" w:history="1">
        <w:r w:rsidRPr="001E290E">
          <w:rPr>
            <w:rStyle w:val="Hyperlink"/>
            <w:rFonts w:asciiTheme="minorHAnsi" w:hAnsiTheme="minorHAnsi" w:cstheme="minorHAnsi"/>
          </w:rPr>
          <w:t>https://www.stuff.co.nz/pou-tiaki/128908703/the-ticking-timebomb-forcing-students-out-of-school-and-into-work</w:t>
        </w:r>
      </w:hyperlink>
      <w:r w:rsidRPr="001E290E">
        <w:rPr>
          <w:rFonts w:asciiTheme="minorHAnsi" w:hAnsiTheme="minorHAnsi" w:cstheme="minorHAnsi"/>
        </w:rPr>
        <w:t xml:space="preserve"> </w:t>
      </w:r>
    </w:p>
  </w:footnote>
  <w:footnote w:id="437">
    <w:p w14:paraId="674D87BF" w14:textId="3AE37AD5" w:rsidR="00EB39D6" w:rsidRPr="001E290E" w:rsidRDefault="00EB39D6" w:rsidP="00E20FF1">
      <w:pPr>
        <w:pStyle w:val="FootnoteText"/>
        <w:rPr>
          <w:rFonts w:asciiTheme="minorHAnsi" w:hAnsiTheme="minorHAnsi" w:cstheme="minorHAnsi"/>
          <w:lang w:val="en-US"/>
        </w:rPr>
      </w:pPr>
      <w:r w:rsidRPr="001E290E">
        <w:rPr>
          <w:rStyle w:val="FootnoteReference"/>
          <w:rFonts w:asciiTheme="minorHAnsi" w:hAnsiTheme="minorHAnsi" w:cstheme="minorHAnsi"/>
        </w:rPr>
        <w:footnoteRef/>
      </w:r>
      <w:r w:rsidRPr="001E290E">
        <w:rPr>
          <w:rFonts w:asciiTheme="minorHAnsi" w:hAnsiTheme="minorHAnsi" w:cstheme="minorHAnsi"/>
        </w:rPr>
        <w:t xml:space="preserve"> </w:t>
      </w:r>
      <w:r w:rsidR="00206792">
        <w:rPr>
          <w:rFonts w:asciiTheme="minorHAnsi" w:hAnsiTheme="minorHAnsi" w:cstheme="minorHAnsi"/>
        </w:rPr>
        <w:t xml:space="preserve">Ibid. </w:t>
      </w:r>
      <w:r w:rsidRPr="001E290E">
        <w:rPr>
          <w:rFonts w:asciiTheme="minorHAnsi" w:hAnsiTheme="minorHAnsi" w:cstheme="minorHAnsi"/>
          <w:lang w:val="en-US"/>
        </w:rPr>
        <w:t>Onehunga High School Principal Deidre Shea.</w:t>
      </w:r>
    </w:p>
  </w:footnote>
  <w:footnote w:id="438">
    <w:p w14:paraId="245D8919" w14:textId="288E9691" w:rsidR="00EB39D6" w:rsidRPr="001E290E" w:rsidRDefault="00EB39D6" w:rsidP="00E20FF1">
      <w:pPr>
        <w:pStyle w:val="FootnoteText"/>
        <w:rPr>
          <w:rFonts w:asciiTheme="minorHAnsi" w:hAnsiTheme="minorHAnsi" w:cstheme="minorHAnsi"/>
          <w:lang w:val="en-US"/>
        </w:rPr>
      </w:pPr>
      <w:r w:rsidRPr="001E290E">
        <w:rPr>
          <w:rStyle w:val="FootnoteReference"/>
          <w:rFonts w:asciiTheme="minorHAnsi" w:hAnsiTheme="minorHAnsi" w:cstheme="minorHAnsi"/>
        </w:rPr>
        <w:footnoteRef/>
      </w:r>
      <w:r w:rsidR="00206792">
        <w:rPr>
          <w:rFonts w:asciiTheme="minorHAnsi" w:hAnsiTheme="minorHAnsi" w:cstheme="minorHAnsi"/>
        </w:rPr>
        <w:t xml:space="preserve"> F</w:t>
      </w:r>
      <w:r w:rsidR="007D2EA8">
        <w:rPr>
          <w:rFonts w:asciiTheme="minorHAnsi" w:hAnsiTheme="minorHAnsi" w:cstheme="minorHAnsi"/>
        </w:rPr>
        <w:t>ootnote</w:t>
      </w:r>
      <w:r w:rsidR="00206792">
        <w:rPr>
          <w:rFonts w:asciiTheme="minorHAnsi" w:hAnsiTheme="minorHAnsi" w:cstheme="minorHAnsi"/>
        </w:rPr>
        <w:t xml:space="preserve"> 43</w:t>
      </w:r>
      <w:r w:rsidR="000F5589">
        <w:rPr>
          <w:rFonts w:asciiTheme="minorHAnsi" w:hAnsiTheme="minorHAnsi" w:cstheme="minorHAnsi"/>
        </w:rPr>
        <w:t>6</w:t>
      </w:r>
      <w:r w:rsidR="007D2EA8">
        <w:rPr>
          <w:rFonts w:asciiTheme="minorHAnsi" w:hAnsiTheme="minorHAnsi" w:cstheme="minorHAnsi"/>
        </w:rPr>
        <w:t>.</w:t>
      </w:r>
    </w:p>
  </w:footnote>
  <w:footnote w:id="439">
    <w:p w14:paraId="33614E56" w14:textId="254507C0" w:rsidR="00EB39D6" w:rsidRPr="001E290E" w:rsidRDefault="00EB39D6" w:rsidP="00E20FF1">
      <w:pPr>
        <w:spacing w:after="0" w:line="240" w:lineRule="auto"/>
        <w:rPr>
          <w:rFonts w:cstheme="minorHAnsi"/>
        </w:rPr>
      </w:pPr>
      <w:r w:rsidRPr="001E290E">
        <w:rPr>
          <w:rStyle w:val="FootnoteReference"/>
          <w:rFonts w:cstheme="minorHAnsi"/>
        </w:rPr>
        <w:footnoteRef/>
      </w:r>
      <w:r w:rsidRPr="001E290E">
        <w:rPr>
          <w:rFonts w:cstheme="minorHAnsi"/>
        </w:rPr>
        <w:t xml:space="preserve"> </w:t>
      </w:r>
      <w:r w:rsidRPr="001E290E">
        <w:rPr>
          <w:rFonts w:cstheme="minorHAnsi"/>
          <w:lang w:val="mi-NZ"/>
        </w:rPr>
        <w:t xml:space="preserve">See, for example, this case where a 17-year-old worker was left blind in one eye: </w:t>
      </w:r>
      <w:hyperlink r:id="rId286" w:history="1">
        <w:r w:rsidR="00206792" w:rsidRPr="00F06804">
          <w:rPr>
            <w:rStyle w:val="Hyperlink"/>
            <w:rFonts w:cstheme="minorHAnsi"/>
          </w:rPr>
          <w:t>https://www.1news.co.nz/2022/07/18/kaikoura-boss-fined-after-teen-blinded-in-one-eye/</w:t>
        </w:r>
      </w:hyperlink>
      <w:r w:rsidRPr="001E290E">
        <w:rPr>
          <w:rFonts w:cstheme="minorHAnsi"/>
        </w:rPr>
        <w:t xml:space="preserve"> </w:t>
      </w:r>
    </w:p>
  </w:footnote>
  <w:footnote w:id="440">
    <w:p w14:paraId="7584737E" w14:textId="77777777" w:rsidR="00EB39D6" w:rsidRPr="001E290E" w:rsidRDefault="00EB39D6" w:rsidP="00E20FF1">
      <w:pPr>
        <w:spacing w:after="0" w:line="240" w:lineRule="auto"/>
        <w:rPr>
          <w:rFonts w:cstheme="minorHAnsi"/>
          <w:color w:val="000000"/>
        </w:rPr>
      </w:pPr>
      <w:r w:rsidRPr="001E290E">
        <w:rPr>
          <w:rStyle w:val="FootnoteReference"/>
          <w:rFonts w:eastAsia="SimSun" w:cstheme="minorHAnsi"/>
        </w:rPr>
        <w:footnoteRef/>
      </w:r>
      <w:r w:rsidRPr="001E290E">
        <w:rPr>
          <w:rFonts w:cstheme="minorHAnsi"/>
        </w:rPr>
        <w:t xml:space="preserve"> </w:t>
      </w:r>
      <w:r>
        <w:rPr>
          <w:rFonts w:cstheme="minorHAnsi"/>
        </w:rPr>
        <w:t>T</w:t>
      </w:r>
      <w:r w:rsidRPr="001E290E">
        <w:rPr>
          <w:rFonts w:cstheme="minorHAnsi"/>
        </w:rPr>
        <w:t xml:space="preserve">he Australian Capital Territory has </w:t>
      </w:r>
      <w:r>
        <w:rPr>
          <w:rFonts w:cstheme="minorHAnsi"/>
        </w:rPr>
        <w:t>committed to raising</w:t>
      </w:r>
      <w:r w:rsidRPr="001E290E">
        <w:rPr>
          <w:rFonts w:cstheme="minorHAnsi"/>
        </w:rPr>
        <w:t xml:space="preserve"> their age from 10 to 14, Queensland is considering </w:t>
      </w:r>
      <w:r>
        <w:rPr>
          <w:rFonts w:cstheme="minorHAnsi"/>
        </w:rPr>
        <w:t>this</w:t>
      </w:r>
      <w:r w:rsidRPr="001E290E">
        <w:rPr>
          <w:rFonts w:cstheme="minorHAnsi"/>
        </w:rPr>
        <w:t xml:space="preserve">, and there is an Australian Commonwealth </w:t>
      </w:r>
      <w:r>
        <w:rPr>
          <w:rFonts w:cstheme="minorHAnsi"/>
        </w:rPr>
        <w:t>discussion about raising the age which is ongoing</w:t>
      </w:r>
      <w:r w:rsidRPr="001E290E">
        <w:rPr>
          <w:rFonts w:cstheme="minorHAnsi"/>
        </w:rPr>
        <w:t>.</w:t>
      </w:r>
      <w:r w:rsidRPr="001E290E">
        <w:rPr>
          <w:rFonts w:cstheme="minorHAnsi"/>
          <w:color w:val="000000"/>
        </w:rPr>
        <w:t xml:space="preserve"> </w:t>
      </w:r>
    </w:p>
  </w:footnote>
  <w:footnote w:id="441">
    <w:p w14:paraId="78AAC8FA" w14:textId="0E3BE0CC" w:rsidR="00B774D1" w:rsidRPr="00B774D1" w:rsidRDefault="00B774D1" w:rsidP="00E20FF1">
      <w:pPr>
        <w:pStyle w:val="FootnoteText"/>
        <w:rPr>
          <w:lang w:val="mi-NZ"/>
        </w:rPr>
      </w:pPr>
      <w:r>
        <w:rPr>
          <w:rStyle w:val="FootnoteReference"/>
        </w:rPr>
        <w:footnoteRef/>
      </w:r>
      <w:r>
        <w:t xml:space="preserve"> </w:t>
      </w:r>
      <w:hyperlink r:id="rId287" w:history="1">
        <w:r w:rsidR="00D81496" w:rsidRPr="00F06804">
          <w:rPr>
            <w:rStyle w:val="Hyperlink"/>
            <w:rFonts w:asciiTheme="minorHAnsi" w:hAnsiTheme="minorHAnsi"/>
          </w:rPr>
          <w:t>https://www.stuff.co.nz/national/crime/129550765/can-a-10yearold-really-be-a-criminal-advocates-call-for-law-change?cid=app-iPhone</w:t>
        </w:r>
      </w:hyperlink>
      <w:r w:rsidR="00D81496">
        <w:rPr>
          <w:rFonts w:asciiTheme="minorHAnsi" w:hAnsiTheme="minorHAnsi"/>
        </w:rPr>
        <w:t xml:space="preserve"> </w:t>
      </w:r>
    </w:p>
  </w:footnote>
  <w:footnote w:id="442">
    <w:p w14:paraId="754FA201" w14:textId="77777777" w:rsidR="00EB39D6" w:rsidRPr="001E290E" w:rsidRDefault="00EB39D6" w:rsidP="00E20FF1">
      <w:pPr>
        <w:pStyle w:val="FootnoteText"/>
        <w:rPr>
          <w:rFonts w:asciiTheme="minorHAnsi" w:hAnsiTheme="minorHAnsi" w:cstheme="minorHAnsi"/>
        </w:rPr>
      </w:pPr>
      <w:r w:rsidRPr="001E290E">
        <w:rPr>
          <w:rStyle w:val="FootnoteReference"/>
          <w:rFonts w:asciiTheme="minorHAnsi" w:eastAsia="SimSun" w:hAnsiTheme="minorHAnsi" w:cstheme="minorHAnsi"/>
        </w:rPr>
        <w:footnoteRef/>
      </w:r>
      <w:r w:rsidRPr="001E290E">
        <w:rPr>
          <w:rFonts w:asciiTheme="minorHAnsi" w:hAnsiTheme="minorHAnsi" w:cstheme="minorHAnsi"/>
        </w:rPr>
        <w:t xml:space="preserve"> </w:t>
      </w:r>
      <w:r>
        <w:rPr>
          <w:rFonts w:asciiTheme="minorHAnsi" w:hAnsiTheme="minorHAnsi" w:cstheme="minorHAnsi"/>
        </w:rPr>
        <w:t xml:space="preserve">J </w:t>
      </w:r>
      <w:proofErr w:type="spellStart"/>
      <w:r w:rsidRPr="001E290E">
        <w:rPr>
          <w:rFonts w:asciiTheme="minorHAnsi" w:hAnsiTheme="minorHAnsi" w:cstheme="minorHAnsi"/>
        </w:rPr>
        <w:t>Reil</w:t>
      </w:r>
      <w:proofErr w:type="spellEnd"/>
      <w:r w:rsidRPr="001E290E">
        <w:rPr>
          <w:rFonts w:asciiTheme="minorHAnsi" w:hAnsiTheme="minorHAnsi" w:cstheme="minorHAnsi"/>
        </w:rPr>
        <w:t xml:space="preserve">, </w:t>
      </w:r>
      <w:r>
        <w:rPr>
          <w:rFonts w:asciiTheme="minorHAnsi" w:hAnsiTheme="minorHAnsi" w:cstheme="minorHAnsi"/>
        </w:rPr>
        <w:t>I</w:t>
      </w:r>
      <w:r w:rsidRPr="001E290E">
        <w:rPr>
          <w:rFonts w:asciiTheme="minorHAnsi" w:hAnsiTheme="minorHAnsi" w:cstheme="minorHAnsi"/>
        </w:rPr>
        <w:t xml:space="preserve"> Lambie, </w:t>
      </w:r>
      <w:r>
        <w:rPr>
          <w:rFonts w:asciiTheme="minorHAnsi" w:hAnsiTheme="minorHAnsi" w:cstheme="minorHAnsi"/>
        </w:rPr>
        <w:t xml:space="preserve">A </w:t>
      </w:r>
      <w:r w:rsidRPr="001E290E">
        <w:rPr>
          <w:rFonts w:asciiTheme="minorHAnsi" w:hAnsiTheme="minorHAnsi" w:cstheme="minorHAnsi"/>
        </w:rPr>
        <w:t xml:space="preserve">Becroft &amp; </w:t>
      </w:r>
      <w:r>
        <w:rPr>
          <w:rFonts w:asciiTheme="minorHAnsi" w:hAnsiTheme="minorHAnsi" w:cstheme="minorHAnsi"/>
        </w:rPr>
        <w:t xml:space="preserve">R </w:t>
      </w:r>
      <w:r w:rsidRPr="001E290E">
        <w:rPr>
          <w:rFonts w:asciiTheme="minorHAnsi" w:hAnsiTheme="minorHAnsi" w:cstheme="minorHAnsi"/>
        </w:rPr>
        <w:t xml:space="preserve">Allen (2022) </w:t>
      </w:r>
      <w:hyperlink r:id="rId288" w:history="1">
        <w:r w:rsidRPr="001E290E">
          <w:rPr>
            <w:rStyle w:val="Hyperlink"/>
            <w:rFonts w:asciiTheme="minorHAnsi" w:eastAsiaTheme="majorEastAsia" w:hAnsiTheme="minorHAnsi" w:cstheme="minorHAnsi"/>
            <w:i/>
          </w:rPr>
          <w:t>How we fail children who offend and what to do about it: ‘A breakdown across the whole system’</w:t>
        </w:r>
      </w:hyperlink>
      <w:r>
        <w:rPr>
          <w:rFonts w:asciiTheme="minorHAnsi" w:hAnsiTheme="minorHAnsi" w:cstheme="minorHAnsi"/>
        </w:rPr>
        <w:t>,</w:t>
      </w:r>
      <w:r w:rsidRPr="001E290E">
        <w:rPr>
          <w:rFonts w:asciiTheme="minorHAnsi" w:hAnsiTheme="minorHAnsi" w:cstheme="minorHAnsi"/>
        </w:rPr>
        <w:t xml:space="preserve"> Research and recommendations. Michael and Suzanne </w:t>
      </w:r>
      <w:proofErr w:type="spellStart"/>
      <w:r w:rsidRPr="001E290E">
        <w:rPr>
          <w:rFonts w:asciiTheme="minorHAnsi" w:hAnsiTheme="minorHAnsi" w:cstheme="minorHAnsi"/>
        </w:rPr>
        <w:t>Borrin</w:t>
      </w:r>
      <w:proofErr w:type="spellEnd"/>
      <w:r w:rsidRPr="001E290E">
        <w:rPr>
          <w:rFonts w:asciiTheme="minorHAnsi" w:hAnsiTheme="minorHAnsi" w:cstheme="minorHAnsi"/>
        </w:rPr>
        <w:t xml:space="preserve"> Foundation, New Zealand Law Foundation &amp; University of Auckland</w:t>
      </w:r>
      <w:r>
        <w:rPr>
          <w:rFonts w:asciiTheme="minorHAnsi" w:hAnsiTheme="minorHAnsi" w:cstheme="minorHAnsi"/>
        </w:rPr>
        <w:t>.</w:t>
      </w:r>
      <w:r w:rsidRPr="001E290E">
        <w:rPr>
          <w:rFonts w:asciiTheme="minorHAnsi" w:hAnsiTheme="minorHAnsi" w:cstheme="minorHAnsi"/>
        </w:rPr>
        <w:t xml:space="preserve"> This report contains a detailed discussion of how the existing systems fail children who offend</w:t>
      </w:r>
      <w:r>
        <w:rPr>
          <w:rFonts w:asciiTheme="minorHAnsi" w:hAnsiTheme="minorHAnsi" w:cstheme="minorHAnsi"/>
        </w:rPr>
        <w:t xml:space="preserve"> and at p. 4. Says:</w:t>
      </w:r>
      <w:r w:rsidRPr="001E290E">
        <w:rPr>
          <w:rFonts w:asciiTheme="minorHAnsi" w:hAnsiTheme="minorHAnsi" w:cstheme="minorHAnsi"/>
        </w:rPr>
        <w:t xml:space="preserve"> </w:t>
      </w:r>
      <w:r w:rsidRPr="00E7687D">
        <w:rPr>
          <w:rFonts w:asciiTheme="minorHAnsi" w:hAnsiTheme="minorHAnsi" w:cstheme="minorHAnsi"/>
          <w:i/>
        </w:rPr>
        <w:t xml:space="preserve">This research clearly showed that child offending does not occur in a vacuum but, in </w:t>
      </w:r>
      <w:proofErr w:type="gramStart"/>
      <w:r w:rsidRPr="00E7687D">
        <w:rPr>
          <w:rFonts w:asciiTheme="minorHAnsi" w:hAnsiTheme="minorHAnsi" w:cstheme="minorHAnsi"/>
          <w:i/>
        </w:rPr>
        <w:t>the vast majority of</w:t>
      </w:r>
      <w:proofErr w:type="gramEnd"/>
      <w:r w:rsidRPr="00E7687D">
        <w:rPr>
          <w:rFonts w:asciiTheme="minorHAnsi" w:hAnsiTheme="minorHAnsi" w:cstheme="minorHAnsi"/>
          <w:i/>
        </w:rPr>
        <w:t xml:space="preserve"> cases, was preceded by significant child welfare concerns. IDI data showed very high levels of abuse, reports of concern to Oranga Tamariki, out-of-home placements, stand-downs and suspensions from school, and indicators of social deprivation among children who offended. These were significantly worse relative to their non-offending peers.</w:t>
      </w:r>
      <w:r>
        <w:rPr>
          <w:rFonts w:asciiTheme="minorHAnsi" w:hAnsiTheme="minorHAnsi" w:cstheme="minorHAnsi"/>
          <w:i/>
        </w:rPr>
        <w:t xml:space="preserve"> …</w:t>
      </w:r>
      <w:r w:rsidRPr="00E7687D">
        <w:rPr>
          <w:rFonts w:asciiTheme="minorHAnsi" w:hAnsiTheme="minorHAnsi" w:cstheme="minorHAnsi"/>
          <w:i/>
        </w:rPr>
        <w:t xml:space="preserve"> It is therefore critical that efforts to improve systemic responses to child offending are not restricted to interventions focused only on offending behaviour; we must seek to prevent, or at least better address, the welfare concerns of children and their families that underlie the development of offending. … Overall, key stakeholders described a child welfare system that is currently reactive, not proactive, and fails to effectively address the needs of children even though these are often well-known to services.</w:t>
      </w:r>
    </w:p>
  </w:footnote>
  <w:footnote w:id="443">
    <w:p w14:paraId="0B06FCAC" w14:textId="77777777" w:rsidR="00EB39D6" w:rsidRPr="001E290E" w:rsidRDefault="00EB39D6" w:rsidP="00E20FF1">
      <w:pPr>
        <w:pStyle w:val="FootnoteText"/>
        <w:rPr>
          <w:rFonts w:asciiTheme="minorHAnsi" w:hAnsiTheme="minorHAnsi" w:cstheme="minorHAnsi"/>
          <w:lang w:val="en-US"/>
        </w:rPr>
      </w:pPr>
      <w:r w:rsidRPr="001E290E">
        <w:rPr>
          <w:rStyle w:val="FootnoteReference"/>
          <w:rFonts w:asciiTheme="minorHAnsi" w:eastAsia="SimSun" w:hAnsiTheme="minorHAnsi" w:cstheme="minorHAnsi"/>
        </w:rPr>
        <w:footnoteRef/>
      </w:r>
      <w:r w:rsidRPr="001E290E">
        <w:rPr>
          <w:rFonts w:asciiTheme="minorHAnsi" w:hAnsiTheme="minorHAnsi" w:cstheme="minorHAnsi"/>
        </w:rPr>
        <w:t xml:space="preserve"> This recommendation is set out in a summary report with updated recommendations incorporating feedback the authors received from a variety of stakeholders regarding the</w:t>
      </w:r>
      <w:r>
        <w:rPr>
          <w:rFonts w:asciiTheme="minorHAnsi" w:hAnsiTheme="minorHAnsi" w:cstheme="minorHAnsi"/>
        </w:rPr>
        <w:t>ir</w:t>
      </w:r>
      <w:r w:rsidRPr="001E290E">
        <w:rPr>
          <w:rFonts w:asciiTheme="minorHAnsi" w:hAnsiTheme="minorHAnsi" w:cstheme="minorHAnsi"/>
        </w:rPr>
        <w:t xml:space="preserve"> main report: </w:t>
      </w:r>
      <w:r>
        <w:rPr>
          <w:rFonts w:asciiTheme="minorHAnsi" w:hAnsiTheme="minorHAnsi" w:cstheme="minorHAnsi"/>
        </w:rPr>
        <w:t xml:space="preserve">J </w:t>
      </w:r>
      <w:proofErr w:type="spellStart"/>
      <w:r w:rsidRPr="001E290E">
        <w:rPr>
          <w:rFonts w:asciiTheme="minorHAnsi" w:hAnsiTheme="minorHAnsi" w:cstheme="minorHAnsi"/>
        </w:rPr>
        <w:t>Reil</w:t>
      </w:r>
      <w:proofErr w:type="spellEnd"/>
      <w:r w:rsidRPr="001E290E">
        <w:rPr>
          <w:rFonts w:asciiTheme="minorHAnsi" w:hAnsiTheme="minorHAnsi" w:cstheme="minorHAnsi"/>
        </w:rPr>
        <w:t xml:space="preserve">, </w:t>
      </w:r>
      <w:r>
        <w:rPr>
          <w:rFonts w:asciiTheme="minorHAnsi" w:hAnsiTheme="minorHAnsi" w:cstheme="minorHAnsi"/>
        </w:rPr>
        <w:t xml:space="preserve">I </w:t>
      </w:r>
      <w:r w:rsidRPr="001E290E">
        <w:rPr>
          <w:rFonts w:asciiTheme="minorHAnsi" w:hAnsiTheme="minorHAnsi" w:cstheme="minorHAnsi"/>
        </w:rPr>
        <w:t xml:space="preserve">Lambie, </w:t>
      </w:r>
      <w:r>
        <w:rPr>
          <w:rFonts w:asciiTheme="minorHAnsi" w:hAnsiTheme="minorHAnsi" w:cstheme="minorHAnsi"/>
        </w:rPr>
        <w:t xml:space="preserve">A </w:t>
      </w:r>
      <w:r w:rsidRPr="001E290E">
        <w:rPr>
          <w:rFonts w:asciiTheme="minorHAnsi" w:hAnsiTheme="minorHAnsi" w:cstheme="minorHAnsi"/>
        </w:rPr>
        <w:t xml:space="preserve">Becroft &amp; </w:t>
      </w:r>
      <w:r>
        <w:rPr>
          <w:rFonts w:asciiTheme="minorHAnsi" w:hAnsiTheme="minorHAnsi" w:cstheme="minorHAnsi"/>
        </w:rPr>
        <w:t xml:space="preserve">R </w:t>
      </w:r>
      <w:r w:rsidRPr="001E290E">
        <w:rPr>
          <w:rFonts w:asciiTheme="minorHAnsi" w:hAnsiTheme="minorHAnsi" w:cstheme="minorHAnsi"/>
        </w:rPr>
        <w:t xml:space="preserve">Allen (2022) </w:t>
      </w:r>
      <w:hyperlink r:id="rId289" w:history="1">
        <w:r w:rsidRPr="001E290E">
          <w:rPr>
            <w:rStyle w:val="Hyperlink"/>
            <w:rFonts w:asciiTheme="minorHAnsi" w:eastAsiaTheme="majorEastAsia" w:hAnsiTheme="minorHAnsi" w:cstheme="minorHAnsi"/>
            <w:i/>
          </w:rPr>
          <w:t xml:space="preserve">How we fail children who offend and what to do about it: ‘A breakdown across the whole system’. </w:t>
        </w:r>
        <w:proofErr w:type="gramStart"/>
        <w:r w:rsidRPr="001E290E">
          <w:rPr>
            <w:rStyle w:val="Hyperlink"/>
            <w:rFonts w:asciiTheme="minorHAnsi" w:eastAsiaTheme="majorEastAsia" w:hAnsiTheme="minorHAnsi" w:cstheme="minorHAnsi"/>
            <w:i/>
          </w:rPr>
          <w:t>Brief summary</w:t>
        </w:r>
        <w:proofErr w:type="gramEnd"/>
        <w:r w:rsidRPr="001E290E">
          <w:rPr>
            <w:rStyle w:val="Hyperlink"/>
            <w:rFonts w:asciiTheme="minorHAnsi" w:eastAsiaTheme="majorEastAsia" w:hAnsiTheme="minorHAnsi" w:cstheme="minorHAnsi"/>
            <w:i/>
          </w:rPr>
          <w:t xml:space="preserve"> of research</w:t>
        </w:r>
      </w:hyperlink>
      <w:r w:rsidRPr="001E290E">
        <w:rPr>
          <w:rFonts w:asciiTheme="minorHAnsi" w:hAnsiTheme="minorHAnsi" w:cstheme="minorHAnsi"/>
        </w:rPr>
        <w:t>. Updated recommendations</w:t>
      </w:r>
      <w:r>
        <w:rPr>
          <w:rFonts w:asciiTheme="minorHAnsi" w:hAnsiTheme="minorHAnsi" w:cstheme="minorHAnsi"/>
        </w:rPr>
        <w:t>,</w:t>
      </w:r>
      <w:r w:rsidRPr="001E290E">
        <w:rPr>
          <w:rFonts w:asciiTheme="minorHAnsi" w:hAnsiTheme="minorHAnsi" w:cstheme="minorHAnsi"/>
        </w:rPr>
        <w:t xml:space="preserve"> Michael and Suzanne </w:t>
      </w:r>
      <w:proofErr w:type="spellStart"/>
      <w:r w:rsidRPr="001E290E">
        <w:rPr>
          <w:rFonts w:asciiTheme="minorHAnsi" w:hAnsiTheme="minorHAnsi" w:cstheme="minorHAnsi"/>
        </w:rPr>
        <w:t>Borrin</w:t>
      </w:r>
      <w:proofErr w:type="spellEnd"/>
      <w:r w:rsidRPr="001E290E">
        <w:rPr>
          <w:rFonts w:asciiTheme="minorHAnsi" w:hAnsiTheme="minorHAnsi" w:cstheme="minorHAnsi"/>
        </w:rPr>
        <w:t xml:space="preserve"> Foundation, New Zealand Law Foundation &amp;</w:t>
      </w:r>
      <w:r>
        <w:rPr>
          <w:rFonts w:asciiTheme="minorHAnsi" w:hAnsiTheme="minorHAnsi" w:cstheme="minorHAnsi"/>
        </w:rPr>
        <w:t xml:space="preserve"> </w:t>
      </w:r>
      <w:r w:rsidRPr="001E290E">
        <w:rPr>
          <w:rFonts w:asciiTheme="minorHAnsi" w:hAnsiTheme="minorHAnsi" w:cstheme="minorHAnsi"/>
        </w:rPr>
        <w:t>University of Auckland</w:t>
      </w:r>
      <w:r>
        <w:rPr>
          <w:rFonts w:asciiTheme="minorHAnsi" w:hAnsiTheme="minorHAnsi" w:cstheme="minorHAnsi"/>
        </w:rPr>
        <w:t xml:space="preserve">, </w:t>
      </w:r>
      <w:r w:rsidRPr="001E290E">
        <w:rPr>
          <w:rFonts w:asciiTheme="minorHAnsi" w:hAnsiTheme="minorHAnsi" w:cstheme="minorHAnsi"/>
        </w:rPr>
        <w:t>at p</w:t>
      </w:r>
      <w:r>
        <w:rPr>
          <w:rFonts w:asciiTheme="minorHAnsi" w:hAnsiTheme="minorHAnsi" w:cstheme="minorHAnsi"/>
        </w:rPr>
        <w:t>.</w:t>
      </w:r>
      <w:r w:rsidRPr="001E290E">
        <w:rPr>
          <w:rFonts w:asciiTheme="minorHAnsi" w:hAnsiTheme="minorHAnsi" w:cstheme="minorHAnsi"/>
        </w:rPr>
        <w:t xml:space="preserve"> 11. The authors also make a series of more specific recommendations. </w:t>
      </w:r>
    </w:p>
  </w:footnote>
  <w:footnote w:id="444">
    <w:p w14:paraId="26181326" w14:textId="77777777" w:rsidR="00EB39D6" w:rsidRPr="001E290E" w:rsidRDefault="00EB39D6" w:rsidP="00E20FF1">
      <w:pPr>
        <w:pStyle w:val="FootnoteText"/>
        <w:rPr>
          <w:rFonts w:asciiTheme="minorHAnsi" w:hAnsiTheme="minorHAnsi" w:cstheme="minorHAnsi"/>
          <w:lang w:val="en-US"/>
        </w:rPr>
      </w:pPr>
      <w:r w:rsidRPr="001E290E">
        <w:rPr>
          <w:rStyle w:val="FootnoteReference"/>
          <w:rFonts w:asciiTheme="minorHAnsi" w:eastAsia="SimSun" w:hAnsiTheme="minorHAnsi" w:cstheme="minorHAnsi"/>
        </w:rPr>
        <w:footnoteRef/>
      </w:r>
      <w:r w:rsidRPr="001E290E">
        <w:rPr>
          <w:rFonts w:asciiTheme="minorHAnsi" w:hAnsiTheme="minorHAnsi" w:cstheme="minorHAnsi"/>
        </w:rPr>
        <w:t xml:space="preserve"> </w:t>
      </w:r>
      <w:r w:rsidRPr="001E290E">
        <w:rPr>
          <w:rFonts w:asciiTheme="minorHAnsi" w:hAnsiTheme="minorHAnsi" w:cstheme="minorHAnsi"/>
          <w:lang w:val="en-US"/>
        </w:rPr>
        <w:t>Ibid</w:t>
      </w:r>
      <w:r>
        <w:rPr>
          <w:rFonts w:asciiTheme="minorHAnsi" w:hAnsiTheme="minorHAnsi" w:cstheme="minorHAnsi"/>
          <w:lang w:val="en-US"/>
        </w:rPr>
        <w:t>,</w:t>
      </w:r>
      <w:r w:rsidRPr="001E290E">
        <w:rPr>
          <w:rFonts w:asciiTheme="minorHAnsi" w:hAnsiTheme="minorHAnsi" w:cstheme="minorHAnsi"/>
          <w:lang w:val="en-US"/>
        </w:rPr>
        <w:t xml:space="preserve"> at p</w:t>
      </w:r>
      <w:r>
        <w:rPr>
          <w:rFonts w:asciiTheme="minorHAnsi" w:hAnsiTheme="minorHAnsi" w:cstheme="minorHAnsi"/>
          <w:lang w:val="en-US"/>
        </w:rPr>
        <w:t>.</w:t>
      </w:r>
      <w:r w:rsidRPr="001E290E">
        <w:rPr>
          <w:rFonts w:asciiTheme="minorHAnsi" w:hAnsiTheme="minorHAnsi" w:cstheme="minorHAnsi"/>
          <w:lang w:val="en-US"/>
        </w:rPr>
        <w:t xml:space="preserve"> 12. Welfare Expert Advisory Group (2019) </w:t>
      </w:r>
      <w:hyperlink r:id="rId290" w:history="1">
        <w:proofErr w:type="spellStart"/>
        <w:r w:rsidRPr="001E290E">
          <w:rPr>
            <w:rStyle w:val="Hyperlink"/>
            <w:rFonts w:asciiTheme="minorHAnsi" w:eastAsiaTheme="majorEastAsia" w:hAnsiTheme="minorHAnsi" w:cstheme="minorHAnsi"/>
            <w:i/>
            <w:lang w:val="en-US"/>
          </w:rPr>
          <w:t>Whakamana</w:t>
        </w:r>
        <w:proofErr w:type="spellEnd"/>
        <w:r w:rsidRPr="001E290E">
          <w:rPr>
            <w:rStyle w:val="Hyperlink"/>
            <w:rFonts w:asciiTheme="minorHAnsi" w:eastAsiaTheme="majorEastAsia" w:hAnsiTheme="minorHAnsi" w:cstheme="minorHAnsi"/>
            <w:i/>
            <w:lang w:val="en-US"/>
          </w:rPr>
          <w:t xml:space="preserve"> </w:t>
        </w:r>
        <w:proofErr w:type="spellStart"/>
        <w:r w:rsidRPr="001E290E">
          <w:rPr>
            <w:rStyle w:val="Hyperlink"/>
            <w:rFonts w:asciiTheme="minorHAnsi" w:eastAsiaTheme="majorEastAsia" w:hAnsiTheme="minorHAnsi" w:cstheme="minorHAnsi"/>
            <w:i/>
            <w:lang w:val="en-US"/>
          </w:rPr>
          <w:t>Tāngata</w:t>
        </w:r>
        <w:proofErr w:type="spellEnd"/>
        <w:r w:rsidRPr="001E290E">
          <w:rPr>
            <w:rStyle w:val="Hyperlink"/>
            <w:rFonts w:asciiTheme="minorHAnsi" w:eastAsiaTheme="majorEastAsia" w:hAnsiTheme="minorHAnsi" w:cstheme="minorHAnsi"/>
            <w:i/>
            <w:lang w:val="en-US"/>
          </w:rPr>
          <w:t xml:space="preserve"> – Restoring Dignity to Social Security in New Zealand</w:t>
        </w:r>
      </w:hyperlink>
      <w:r w:rsidRPr="001E290E">
        <w:rPr>
          <w:rFonts w:asciiTheme="minorHAnsi" w:hAnsiTheme="minorHAnsi" w:cstheme="minorHAnsi"/>
          <w:lang w:val="en-US"/>
        </w:rPr>
        <w:t>.</w:t>
      </w:r>
    </w:p>
  </w:footnote>
  <w:footnote w:id="445">
    <w:p w14:paraId="542D7D46" w14:textId="77777777" w:rsidR="00EB39D6" w:rsidRPr="001E290E" w:rsidRDefault="00EB39D6" w:rsidP="00E20FF1">
      <w:pPr>
        <w:pStyle w:val="FootnoteText"/>
        <w:rPr>
          <w:rFonts w:asciiTheme="minorHAnsi" w:hAnsiTheme="minorHAnsi" w:cstheme="minorHAnsi"/>
          <w:lang w:val="mi-NZ"/>
        </w:rPr>
      </w:pPr>
      <w:r w:rsidRPr="001E290E">
        <w:rPr>
          <w:rStyle w:val="FootnoteReference"/>
          <w:rFonts w:asciiTheme="minorHAnsi" w:eastAsia="SimSun" w:hAnsiTheme="minorHAnsi" w:cstheme="minorHAnsi"/>
        </w:rPr>
        <w:footnoteRef/>
      </w:r>
      <w:r w:rsidRPr="001E290E">
        <w:rPr>
          <w:rFonts w:asciiTheme="minorHAnsi" w:hAnsiTheme="minorHAnsi" w:cstheme="minorHAnsi"/>
        </w:rPr>
        <w:t xml:space="preserve"> Children, Young </w:t>
      </w:r>
      <w:proofErr w:type="gramStart"/>
      <w:r w:rsidRPr="001E290E">
        <w:rPr>
          <w:rFonts w:asciiTheme="minorHAnsi" w:hAnsiTheme="minorHAnsi" w:cstheme="minorHAnsi"/>
        </w:rPr>
        <w:t>Persons</w:t>
      </w:r>
      <w:proofErr w:type="gramEnd"/>
      <w:r w:rsidRPr="001E290E">
        <w:rPr>
          <w:rFonts w:asciiTheme="minorHAnsi" w:hAnsiTheme="minorHAnsi" w:cstheme="minorHAnsi"/>
        </w:rPr>
        <w:t xml:space="preserve"> and Their Families (Oranga Tamariki) Legislation Act 2017.</w:t>
      </w:r>
    </w:p>
  </w:footnote>
  <w:footnote w:id="446">
    <w:p w14:paraId="702BBF97" w14:textId="77777777" w:rsidR="00EB39D6" w:rsidRPr="001E290E" w:rsidRDefault="00EB39D6" w:rsidP="00E20FF1">
      <w:pPr>
        <w:pStyle w:val="FootnoteText"/>
        <w:rPr>
          <w:rFonts w:asciiTheme="minorHAnsi" w:hAnsiTheme="minorHAnsi" w:cstheme="minorHAnsi"/>
        </w:rPr>
      </w:pPr>
      <w:r w:rsidRPr="001E290E">
        <w:rPr>
          <w:rStyle w:val="FootnoteReference"/>
          <w:rFonts w:asciiTheme="minorHAnsi" w:eastAsiaTheme="majorEastAsia" w:hAnsiTheme="minorHAnsi" w:cstheme="minorHAnsi"/>
        </w:rPr>
        <w:footnoteRef/>
      </w:r>
      <w:r w:rsidRPr="001E290E">
        <w:rPr>
          <w:rFonts w:asciiTheme="minorHAnsi" w:hAnsiTheme="minorHAnsi" w:cstheme="minorHAnsi"/>
        </w:rPr>
        <w:t xml:space="preserve"> </w:t>
      </w:r>
      <w:hyperlink r:id="rId291" w:history="1">
        <w:r w:rsidRPr="001E290E">
          <w:rPr>
            <w:rStyle w:val="Hyperlink"/>
            <w:rFonts w:asciiTheme="minorHAnsi" w:eastAsiaTheme="majorEastAsia" w:hAnsiTheme="minorHAnsi" w:cstheme="minorHAnsi"/>
          </w:rPr>
          <w:t>https://www.beehive.govt.nz/release/lower-risk-17-year-olds-included-youth-jurisdiction</w:t>
        </w:r>
      </w:hyperlink>
      <w:r w:rsidRPr="001E290E">
        <w:rPr>
          <w:rFonts w:asciiTheme="minorHAnsi" w:hAnsiTheme="minorHAnsi" w:cstheme="minorHAnsi"/>
        </w:rPr>
        <w:t xml:space="preserve"> </w:t>
      </w:r>
    </w:p>
  </w:footnote>
  <w:footnote w:id="447">
    <w:p w14:paraId="596209E7" w14:textId="77777777" w:rsidR="00EB39D6" w:rsidRPr="001E290E" w:rsidRDefault="00EB39D6" w:rsidP="00E20FF1">
      <w:pPr>
        <w:pStyle w:val="FootnoteText"/>
        <w:rPr>
          <w:rFonts w:asciiTheme="minorHAnsi" w:hAnsiTheme="minorHAnsi" w:cstheme="minorHAnsi"/>
        </w:rPr>
      </w:pPr>
      <w:r w:rsidRPr="001E290E">
        <w:rPr>
          <w:rStyle w:val="FootnoteReference"/>
          <w:rFonts w:asciiTheme="minorHAnsi" w:eastAsiaTheme="majorEastAsia" w:hAnsiTheme="minorHAnsi" w:cstheme="minorHAnsi"/>
        </w:rPr>
        <w:footnoteRef/>
      </w:r>
      <w:r w:rsidRPr="001E290E">
        <w:rPr>
          <w:rFonts w:asciiTheme="minorHAnsi" w:hAnsiTheme="minorHAnsi" w:cstheme="minorHAnsi"/>
        </w:rPr>
        <w:t xml:space="preserve"> Oranga Tamariki Act 1989, ss 272</w:t>
      </w:r>
      <w:r>
        <w:rPr>
          <w:rFonts w:asciiTheme="minorHAnsi" w:hAnsiTheme="minorHAnsi" w:cstheme="minorHAnsi"/>
        </w:rPr>
        <w:t>-</w:t>
      </w:r>
      <w:r w:rsidRPr="001E290E">
        <w:rPr>
          <w:rFonts w:asciiTheme="minorHAnsi" w:hAnsiTheme="minorHAnsi" w:cstheme="minorHAnsi"/>
        </w:rPr>
        <w:t>273 and</w:t>
      </w:r>
      <w:r>
        <w:rPr>
          <w:rFonts w:asciiTheme="minorHAnsi" w:hAnsiTheme="minorHAnsi" w:cstheme="minorHAnsi"/>
        </w:rPr>
        <w:t xml:space="preserve"> Schedule 1A.</w:t>
      </w:r>
      <w:r w:rsidRPr="001E290E">
        <w:rPr>
          <w:rFonts w:asciiTheme="minorHAnsi" w:hAnsiTheme="minorHAnsi" w:cstheme="minorHAnsi"/>
        </w:rPr>
        <w:t xml:space="preserve"> There are over 60 offences in Schedule 1A including sexual violation, assault with intent to rob, aggravated burglary, wounding with intent to cause grievous bodily harm, arson, and various offences under the Misuse of Drugs Act 1975. </w:t>
      </w:r>
    </w:p>
  </w:footnote>
  <w:footnote w:id="448">
    <w:p w14:paraId="2122BB1C" w14:textId="77777777" w:rsidR="00EB39D6" w:rsidRPr="001E290E" w:rsidRDefault="00EB39D6" w:rsidP="00E20FF1">
      <w:pPr>
        <w:pStyle w:val="FootnoteText"/>
        <w:rPr>
          <w:rFonts w:asciiTheme="minorHAnsi" w:hAnsiTheme="minorHAnsi" w:cstheme="minorHAnsi"/>
        </w:rPr>
      </w:pPr>
      <w:r w:rsidRPr="001E290E">
        <w:rPr>
          <w:rStyle w:val="FootnoteReference"/>
          <w:rFonts w:asciiTheme="minorHAnsi" w:eastAsia="SimSun" w:hAnsiTheme="minorHAnsi" w:cstheme="minorHAnsi"/>
        </w:rPr>
        <w:footnoteRef/>
      </w:r>
      <w:r w:rsidRPr="001E290E">
        <w:rPr>
          <w:rFonts w:asciiTheme="minorHAnsi" w:hAnsiTheme="minorHAnsi" w:cstheme="minorHAnsi"/>
        </w:rPr>
        <w:t xml:space="preserve"> Ministry of Justice, </w:t>
      </w:r>
      <w:hyperlink r:id="rId292" w:history="1">
        <w:r w:rsidRPr="001E290E">
          <w:rPr>
            <w:rStyle w:val="Hyperlink"/>
            <w:rFonts w:asciiTheme="minorHAnsi" w:eastAsiaTheme="majorEastAsia" w:hAnsiTheme="minorHAnsi" w:cstheme="minorHAnsi"/>
            <w:i/>
          </w:rPr>
          <w:t>Regulatory Impact Statement: Including 17 year-olds, and convictable traffic offences not punishable by imprisonment, in the youth justice system.</w:t>
        </w:r>
      </w:hyperlink>
      <w:r w:rsidRPr="001E290E">
        <w:rPr>
          <w:rFonts w:asciiTheme="minorHAnsi" w:hAnsiTheme="minorHAnsi" w:cstheme="minorHAnsi"/>
          <w:i/>
        </w:rPr>
        <w:t xml:space="preserve"> </w:t>
      </w:r>
    </w:p>
  </w:footnote>
  <w:footnote w:id="449">
    <w:p w14:paraId="4C70F2FE" w14:textId="77777777" w:rsidR="00EB39D6" w:rsidRPr="001E290E" w:rsidRDefault="00EB39D6" w:rsidP="00E20FF1">
      <w:pPr>
        <w:pStyle w:val="FootnoteText"/>
        <w:rPr>
          <w:rFonts w:asciiTheme="minorHAnsi" w:hAnsiTheme="minorHAnsi" w:cstheme="minorHAnsi"/>
        </w:rPr>
      </w:pPr>
      <w:r w:rsidRPr="001E290E">
        <w:rPr>
          <w:rStyle w:val="FootnoteReference"/>
          <w:rFonts w:asciiTheme="minorHAnsi" w:eastAsia="SimSun" w:hAnsiTheme="minorHAnsi" w:cstheme="minorHAnsi"/>
        </w:rPr>
        <w:footnoteRef/>
      </w:r>
      <w:r w:rsidRPr="001E290E">
        <w:rPr>
          <w:rFonts w:asciiTheme="minorHAnsi" w:hAnsiTheme="minorHAnsi" w:cstheme="minorHAnsi"/>
        </w:rPr>
        <w:t xml:space="preserve"> This is notable as it was politically generated, rather than driven by evidence or as the result of a policy process.</w:t>
      </w:r>
    </w:p>
  </w:footnote>
  <w:footnote w:id="450">
    <w:p w14:paraId="2426E19A" w14:textId="77777777" w:rsidR="00EB39D6" w:rsidRPr="001E290E" w:rsidRDefault="00EB39D6" w:rsidP="00E20FF1">
      <w:pPr>
        <w:pStyle w:val="FootnoteText"/>
        <w:rPr>
          <w:rFonts w:asciiTheme="minorHAnsi" w:hAnsiTheme="minorHAnsi" w:cstheme="minorHAnsi"/>
        </w:rPr>
      </w:pPr>
      <w:r w:rsidRPr="001E290E">
        <w:rPr>
          <w:rStyle w:val="FootnoteReference"/>
          <w:rFonts w:asciiTheme="minorHAnsi" w:eastAsiaTheme="majorEastAsia" w:hAnsiTheme="minorHAnsi" w:cstheme="minorHAnsi"/>
        </w:rPr>
        <w:footnoteRef/>
      </w:r>
      <w:r w:rsidRPr="001E290E">
        <w:rPr>
          <w:rFonts w:asciiTheme="minorHAnsi" w:hAnsiTheme="minorHAnsi" w:cstheme="minorHAnsi"/>
        </w:rPr>
        <w:t xml:space="preserve"> </w:t>
      </w:r>
      <w:hyperlink r:id="rId293" w:history="1">
        <w:r w:rsidRPr="001E290E">
          <w:rPr>
            <w:rStyle w:val="Hyperlink"/>
            <w:rFonts w:asciiTheme="minorHAnsi" w:eastAsiaTheme="majorEastAsia" w:hAnsiTheme="minorHAnsi" w:cstheme="minorHAnsi"/>
          </w:rPr>
          <w:t>Children and young people charged in court - most serious offence calendar year (stats.govt.nz)</w:t>
        </w:r>
      </w:hyperlink>
      <w:r w:rsidRPr="001E290E">
        <w:rPr>
          <w:rFonts w:asciiTheme="minorHAnsi" w:hAnsiTheme="minorHAnsi" w:cstheme="minorHAnsi"/>
        </w:rPr>
        <w:t xml:space="preserve"> In line with Statistics NZ policies to protect privacy, the figures in this data have been randomly rounded to one of the adjoining multiples of 3.</w:t>
      </w:r>
    </w:p>
  </w:footnote>
  <w:footnote w:id="451">
    <w:p w14:paraId="02A996EF" w14:textId="77777777" w:rsidR="00EB39D6" w:rsidRPr="001E290E" w:rsidRDefault="00EB39D6" w:rsidP="00E20FF1">
      <w:pPr>
        <w:pStyle w:val="FootnoteText"/>
        <w:rPr>
          <w:rFonts w:asciiTheme="minorHAnsi" w:hAnsiTheme="minorHAnsi" w:cstheme="minorHAnsi"/>
        </w:rPr>
      </w:pPr>
      <w:r w:rsidRPr="001E290E">
        <w:rPr>
          <w:rStyle w:val="FootnoteReference"/>
          <w:rFonts w:asciiTheme="minorHAnsi" w:eastAsia="SimSun" w:hAnsiTheme="minorHAnsi" w:cstheme="minorHAnsi"/>
        </w:rPr>
        <w:footnoteRef/>
      </w:r>
      <w:r w:rsidRPr="001E290E">
        <w:rPr>
          <w:rFonts w:asciiTheme="minorHAnsi" w:hAnsiTheme="minorHAnsi" w:cstheme="minorHAnsi"/>
        </w:rPr>
        <w:t xml:space="preserve"> There is also a risk that the data potentially captures 17-year-olds who have been dealt with in the adult jurisdiction for something other than a Schedule 1A offence (for example, a young person charged with murder or manslaughter) and that it may exclude 17-year-olds who have been found not guilty or had their charges dismissed or withdrawn.</w:t>
      </w:r>
    </w:p>
  </w:footnote>
  <w:footnote w:id="452">
    <w:p w14:paraId="3F0FF4F7" w14:textId="381709BD" w:rsidR="00EB39D6" w:rsidRPr="006804B3" w:rsidRDefault="00EB39D6" w:rsidP="00E20FF1">
      <w:pPr>
        <w:pStyle w:val="FootnoteText"/>
        <w:rPr>
          <w:rFonts w:asciiTheme="minorHAnsi" w:hAnsiTheme="minorHAnsi" w:cstheme="minorHAnsi"/>
          <w:lang w:val="mi-NZ"/>
        </w:rPr>
      </w:pPr>
      <w:r w:rsidRPr="006804B3">
        <w:rPr>
          <w:rStyle w:val="FootnoteReference"/>
          <w:rFonts w:asciiTheme="minorHAnsi" w:hAnsiTheme="minorHAnsi" w:cstheme="minorHAnsi"/>
        </w:rPr>
        <w:footnoteRef/>
      </w:r>
      <w:r w:rsidRPr="006804B3">
        <w:rPr>
          <w:rFonts w:asciiTheme="minorHAnsi" w:hAnsiTheme="minorHAnsi" w:cstheme="minorHAnsi"/>
        </w:rPr>
        <w:t xml:space="preserve"> </w:t>
      </w:r>
      <w:r w:rsidRPr="006804B3">
        <w:rPr>
          <w:rFonts w:asciiTheme="minorHAnsi" w:hAnsiTheme="minorHAnsi" w:cstheme="minorHAnsi"/>
          <w:lang w:val="mi-NZ"/>
        </w:rPr>
        <w:t>CRC/C/NZL/CO/5 para 45(b)</w:t>
      </w:r>
      <w:r w:rsidR="007D2EA8">
        <w:rPr>
          <w:rFonts w:asciiTheme="minorHAnsi" w:hAnsiTheme="minorHAnsi" w:cstheme="minorHAnsi"/>
          <w:lang w:val="mi-NZ"/>
        </w:rPr>
        <w:t>.</w:t>
      </w:r>
    </w:p>
  </w:footnote>
  <w:footnote w:id="453">
    <w:p w14:paraId="62356CAA" w14:textId="77777777" w:rsidR="00EB39D6" w:rsidRPr="001E290E" w:rsidRDefault="00EB39D6" w:rsidP="00E20FF1">
      <w:pPr>
        <w:pStyle w:val="FootnoteText"/>
        <w:rPr>
          <w:rFonts w:asciiTheme="minorHAnsi" w:hAnsiTheme="minorHAnsi" w:cstheme="minorHAnsi"/>
          <w:lang w:val="mi-NZ"/>
        </w:rPr>
      </w:pPr>
      <w:r w:rsidRPr="001E290E">
        <w:rPr>
          <w:rStyle w:val="FootnoteReference"/>
          <w:rFonts w:asciiTheme="minorHAnsi" w:eastAsia="SimSun" w:hAnsiTheme="minorHAnsi" w:cstheme="minorHAnsi"/>
        </w:rPr>
        <w:footnoteRef/>
      </w:r>
      <w:r w:rsidRPr="001E290E">
        <w:rPr>
          <w:rFonts w:asciiTheme="minorHAnsi" w:hAnsiTheme="minorHAnsi" w:cstheme="minorHAnsi"/>
        </w:rPr>
        <w:t xml:space="preserve"> </w:t>
      </w:r>
      <w:hyperlink r:id="rId294" w:history="1">
        <w:r w:rsidRPr="001E290E">
          <w:rPr>
            <w:rStyle w:val="Hyperlink"/>
            <w:rFonts w:asciiTheme="minorHAnsi" w:eastAsiaTheme="majorEastAsia" w:hAnsiTheme="minorHAnsi" w:cstheme="minorHAnsi"/>
          </w:rPr>
          <w:t>https://www.youthcourt.govt.nz/about-youth-court/rangatahi-courts-and-pasifika-courts/</w:t>
        </w:r>
      </w:hyperlink>
      <w:r w:rsidRPr="001E290E">
        <w:rPr>
          <w:rFonts w:asciiTheme="minorHAnsi" w:hAnsiTheme="minorHAnsi" w:cstheme="minorHAnsi"/>
        </w:rPr>
        <w:t xml:space="preserve"> </w:t>
      </w:r>
    </w:p>
  </w:footnote>
  <w:footnote w:id="454">
    <w:p w14:paraId="3696AACC" w14:textId="57EBAB72" w:rsidR="00EB39D6" w:rsidRPr="001E290E" w:rsidRDefault="00EB39D6" w:rsidP="00E20FF1">
      <w:pPr>
        <w:pStyle w:val="FootnoteText"/>
        <w:rPr>
          <w:rFonts w:asciiTheme="minorHAnsi" w:hAnsiTheme="minorHAnsi" w:cstheme="minorHAnsi"/>
          <w:lang w:val="mi-NZ"/>
        </w:rPr>
      </w:pPr>
      <w:r w:rsidRPr="001E290E">
        <w:rPr>
          <w:rStyle w:val="FootnoteReference"/>
          <w:rFonts w:asciiTheme="minorHAnsi" w:eastAsia="SimSun" w:hAnsiTheme="minorHAnsi" w:cstheme="minorHAnsi"/>
        </w:rPr>
        <w:footnoteRef/>
      </w:r>
      <w:r w:rsidRPr="001E290E">
        <w:rPr>
          <w:rFonts w:asciiTheme="minorHAnsi" w:hAnsiTheme="minorHAnsi" w:cstheme="minorHAnsi"/>
        </w:rPr>
        <w:t xml:space="preserve"> Ministry of Justice, </w:t>
      </w:r>
      <w:r w:rsidRPr="001E290E">
        <w:rPr>
          <w:rFonts w:asciiTheme="minorHAnsi" w:eastAsiaTheme="majorEastAsia" w:hAnsiTheme="minorHAnsi" w:cstheme="minorHAnsi"/>
          <w:i/>
        </w:rPr>
        <w:t xml:space="preserve">Regulatory Impact Statement: Including </w:t>
      </w:r>
      <w:proofErr w:type="gramStart"/>
      <w:r w:rsidRPr="001E290E">
        <w:rPr>
          <w:rFonts w:asciiTheme="minorHAnsi" w:eastAsiaTheme="majorEastAsia" w:hAnsiTheme="minorHAnsi" w:cstheme="minorHAnsi"/>
          <w:i/>
        </w:rPr>
        <w:t>17 year-olds</w:t>
      </w:r>
      <w:proofErr w:type="gramEnd"/>
      <w:r w:rsidRPr="001E290E">
        <w:rPr>
          <w:rFonts w:asciiTheme="minorHAnsi" w:eastAsiaTheme="majorEastAsia" w:hAnsiTheme="minorHAnsi" w:cstheme="minorHAnsi"/>
          <w:i/>
        </w:rPr>
        <w:t>, and convictable traffic offences not punishable by imprisonment, in the youth justice system</w:t>
      </w:r>
      <w:r w:rsidR="00B73422">
        <w:rPr>
          <w:rFonts w:asciiTheme="minorHAnsi" w:eastAsiaTheme="majorEastAsia" w:hAnsiTheme="minorHAnsi" w:cstheme="minorHAnsi"/>
          <w:iCs/>
        </w:rPr>
        <w:t xml:space="preserve">, </w:t>
      </w:r>
      <w:r w:rsidRPr="001E290E">
        <w:rPr>
          <w:rFonts w:asciiTheme="minorHAnsi" w:hAnsiTheme="minorHAnsi" w:cstheme="minorHAnsi"/>
          <w:lang w:val="mi-NZ"/>
        </w:rPr>
        <w:t xml:space="preserve">at </w:t>
      </w:r>
      <w:r>
        <w:rPr>
          <w:rFonts w:asciiTheme="minorHAnsi" w:hAnsiTheme="minorHAnsi" w:cstheme="minorHAnsi"/>
          <w:lang w:val="mi-NZ"/>
        </w:rPr>
        <w:t xml:space="preserve">p. </w:t>
      </w:r>
      <w:r w:rsidRPr="001E290E">
        <w:rPr>
          <w:rFonts w:asciiTheme="minorHAnsi" w:hAnsiTheme="minorHAnsi" w:cstheme="minorHAnsi"/>
          <w:lang w:val="mi-NZ"/>
        </w:rPr>
        <w:t>11.</w:t>
      </w:r>
    </w:p>
  </w:footnote>
  <w:footnote w:id="455">
    <w:p w14:paraId="1975DE06" w14:textId="77777777" w:rsidR="00B06566" w:rsidRPr="001E290E" w:rsidRDefault="00B06566" w:rsidP="00E20FF1">
      <w:pPr>
        <w:pStyle w:val="FootnoteText"/>
        <w:rPr>
          <w:rFonts w:asciiTheme="minorHAnsi" w:hAnsiTheme="minorHAnsi" w:cstheme="minorHAnsi"/>
          <w:lang w:val="mi-NZ"/>
        </w:rPr>
      </w:pPr>
      <w:r w:rsidRPr="001E290E">
        <w:rPr>
          <w:rStyle w:val="FootnoteReference"/>
          <w:rFonts w:asciiTheme="minorHAnsi" w:hAnsiTheme="minorHAnsi" w:cstheme="minorHAnsi"/>
        </w:rPr>
        <w:footnoteRef/>
      </w:r>
      <w:r w:rsidRPr="001E290E">
        <w:rPr>
          <w:rFonts w:asciiTheme="minorHAnsi" w:hAnsiTheme="minorHAnsi" w:cstheme="minorHAnsi"/>
        </w:rPr>
        <w:t xml:space="preserve"> </w:t>
      </w:r>
      <w:hyperlink r:id="rId295" w:history="1">
        <w:r w:rsidRPr="001E290E">
          <w:rPr>
            <w:rStyle w:val="Hyperlink"/>
            <w:rFonts w:asciiTheme="minorHAnsi" w:eastAsiaTheme="majorEastAsia" w:hAnsiTheme="minorHAnsi" w:cstheme="minorHAnsi"/>
            <w:lang w:val="mi-NZ"/>
          </w:rPr>
          <w:t>https://www.corrections.govt.nz/resources/policy_and_legislation/Prison-Operations-Manual/Movement/M.03-Specified-gender-and-age-movements/M.03.01-Under-20-years-old-male-prisoners</w:t>
        </w:r>
      </w:hyperlink>
    </w:p>
  </w:footnote>
  <w:footnote w:id="456">
    <w:p w14:paraId="59D344AD" w14:textId="77777777" w:rsidR="00B06566" w:rsidRPr="001E290E" w:rsidRDefault="00B06566" w:rsidP="00E20FF1">
      <w:pPr>
        <w:spacing w:after="0" w:line="240" w:lineRule="auto"/>
        <w:rPr>
          <w:rFonts w:cstheme="minorHAnsi"/>
          <w:lang w:val="mi-NZ"/>
        </w:rPr>
      </w:pPr>
      <w:r w:rsidRPr="001E290E">
        <w:rPr>
          <w:rStyle w:val="FootnoteReference"/>
          <w:rFonts w:cstheme="minorHAnsi"/>
        </w:rPr>
        <w:footnoteRef/>
      </w:r>
      <w:r w:rsidRPr="001E290E">
        <w:rPr>
          <w:rFonts w:cstheme="minorHAnsi"/>
        </w:rPr>
        <w:t xml:space="preserve"> </w:t>
      </w:r>
      <w:hyperlink r:id="rId296" w:history="1">
        <w:r w:rsidRPr="001E290E">
          <w:rPr>
            <w:rStyle w:val="Hyperlink"/>
            <w:rFonts w:cstheme="minorHAnsi"/>
            <w:lang w:val="mi-NZ"/>
          </w:rPr>
          <w:t>https://www.stuff.co.nz/national/129456982/rooftop-prison-standoff-by-teen-inmates-likely-a-cry-for-help</w:t>
        </w:r>
      </w:hyperlink>
      <w:r w:rsidRPr="001E290E">
        <w:rPr>
          <w:rFonts w:cstheme="minorHAnsi"/>
          <w:lang w:val="mi-NZ"/>
        </w:rPr>
        <w:t xml:space="preserve"> </w:t>
      </w:r>
    </w:p>
  </w:footnote>
  <w:footnote w:id="457">
    <w:p w14:paraId="2DEED6D0" w14:textId="77777777" w:rsidR="00B06566" w:rsidRPr="001E290E" w:rsidRDefault="00B06566" w:rsidP="00E20FF1">
      <w:pPr>
        <w:pStyle w:val="FootnoteText"/>
        <w:rPr>
          <w:rFonts w:asciiTheme="minorHAnsi" w:hAnsiTheme="minorHAnsi" w:cstheme="minorHAnsi"/>
        </w:rPr>
      </w:pPr>
      <w:r w:rsidRPr="001E290E">
        <w:rPr>
          <w:rStyle w:val="FootnoteReference"/>
          <w:rFonts w:asciiTheme="minorHAnsi" w:eastAsia="SimSun" w:hAnsiTheme="minorHAnsi" w:cstheme="minorHAnsi"/>
        </w:rPr>
        <w:footnoteRef/>
      </w:r>
      <w:r w:rsidRPr="001E290E">
        <w:rPr>
          <w:rFonts w:asciiTheme="minorHAnsi" w:hAnsiTheme="minorHAnsi" w:cstheme="minorHAnsi"/>
        </w:rPr>
        <w:t xml:space="preserve"> </w:t>
      </w:r>
      <w:hyperlink r:id="rId297" w:history="1">
        <w:r w:rsidRPr="001E290E">
          <w:rPr>
            <w:rStyle w:val="Hyperlink"/>
            <w:rFonts w:asciiTheme="minorHAnsi" w:eastAsiaTheme="majorEastAsia" w:hAnsiTheme="minorHAnsi" w:cstheme="minorHAnsi"/>
            <w:i/>
          </w:rPr>
          <w:t>New Zealand Police v HN</w:t>
        </w:r>
      </w:hyperlink>
      <w:r w:rsidRPr="001E290E">
        <w:rPr>
          <w:rFonts w:asciiTheme="minorHAnsi" w:hAnsiTheme="minorHAnsi" w:cstheme="minorHAnsi"/>
        </w:rPr>
        <w:t xml:space="preserve"> [2021] NZYC 364</w:t>
      </w:r>
      <w:r>
        <w:rPr>
          <w:rFonts w:asciiTheme="minorHAnsi" w:hAnsiTheme="minorHAnsi" w:cstheme="minorHAnsi"/>
        </w:rPr>
        <w:t>,</w:t>
      </w:r>
      <w:r w:rsidRPr="001E290E">
        <w:rPr>
          <w:rFonts w:asciiTheme="minorHAnsi" w:hAnsiTheme="minorHAnsi" w:cstheme="minorHAnsi"/>
        </w:rPr>
        <w:t xml:space="preserve"> at [83].</w:t>
      </w:r>
    </w:p>
  </w:footnote>
  <w:footnote w:id="458">
    <w:p w14:paraId="29652ACA" w14:textId="77777777" w:rsidR="00B06566" w:rsidRPr="001E290E" w:rsidRDefault="00B06566" w:rsidP="00E20FF1">
      <w:pPr>
        <w:pStyle w:val="FootnoteText"/>
        <w:rPr>
          <w:rFonts w:asciiTheme="minorHAnsi" w:hAnsiTheme="minorHAnsi" w:cstheme="minorHAnsi"/>
        </w:rPr>
      </w:pPr>
      <w:r w:rsidRPr="001E290E">
        <w:rPr>
          <w:rStyle w:val="FootnoteReference"/>
          <w:rFonts w:asciiTheme="minorHAnsi" w:eastAsia="SimSun" w:hAnsiTheme="minorHAnsi" w:cstheme="minorHAnsi"/>
        </w:rPr>
        <w:footnoteRef/>
      </w:r>
      <w:r w:rsidRPr="001E290E">
        <w:rPr>
          <w:rFonts w:asciiTheme="minorHAnsi" w:hAnsiTheme="minorHAnsi" w:cstheme="minorHAnsi"/>
        </w:rPr>
        <w:t xml:space="preserve"> The full response including data tables is available </w:t>
      </w:r>
      <w:hyperlink r:id="rId298" w:history="1">
        <w:r w:rsidRPr="001E290E">
          <w:rPr>
            <w:rStyle w:val="Hyperlink"/>
            <w:rFonts w:asciiTheme="minorHAnsi" w:eastAsiaTheme="majorEastAsia" w:hAnsiTheme="minorHAnsi" w:cstheme="minorHAnsi"/>
          </w:rPr>
          <w:t>here</w:t>
        </w:r>
      </w:hyperlink>
      <w:r w:rsidRPr="001E290E">
        <w:rPr>
          <w:rFonts w:asciiTheme="minorHAnsi" w:hAnsiTheme="minorHAnsi" w:cstheme="minorHAnsi"/>
        </w:rPr>
        <w:t xml:space="preserve">. The data tables also include ethnicities of all children and young people detained in police cells in the period from May 2015 to 31 March 2021 and the length of time they were detained. See also </w:t>
      </w:r>
      <w:hyperlink r:id="rId299" w:history="1">
        <w:r w:rsidRPr="001E290E">
          <w:rPr>
            <w:rStyle w:val="Hyperlink"/>
            <w:rFonts w:asciiTheme="minorHAnsi" w:eastAsiaTheme="majorEastAsia" w:hAnsiTheme="minorHAnsi" w:cstheme="minorHAnsi"/>
          </w:rPr>
          <w:t>https://www.stuff.co.nz/national/crime/300338000/more-than-110-teenagers-kept-in-cells-for-24-hours-or-longer</w:t>
        </w:r>
      </w:hyperlink>
      <w:r w:rsidRPr="001E290E">
        <w:rPr>
          <w:rFonts w:asciiTheme="minorHAnsi" w:hAnsiTheme="minorHAnsi" w:cstheme="minorHAnsi"/>
        </w:rPr>
        <w:t xml:space="preserve"> </w:t>
      </w:r>
    </w:p>
  </w:footnote>
  <w:footnote w:id="459">
    <w:p w14:paraId="76962D37" w14:textId="77777777" w:rsidR="000409DC" w:rsidRPr="001E290E" w:rsidRDefault="000409DC" w:rsidP="00E20FF1">
      <w:pPr>
        <w:pStyle w:val="FootnoteText"/>
        <w:rPr>
          <w:rFonts w:asciiTheme="minorHAnsi" w:hAnsiTheme="minorHAnsi" w:cstheme="minorHAnsi"/>
          <w:lang w:val="en-US"/>
        </w:rPr>
      </w:pPr>
      <w:r w:rsidRPr="001E290E">
        <w:rPr>
          <w:rStyle w:val="FootnoteReference"/>
          <w:rFonts w:asciiTheme="minorHAnsi" w:eastAsia="SimSun" w:hAnsiTheme="minorHAnsi" w:cstheme="minorHAnsi"/>
        </w:rPr>
        <w:footnoteRef/>
      </w:r>
      <w:r w:rsidRPr="001E290E">
        <w:rPr>
          <w:rFonts w:asciiTheme="minorHAnsi" w:hAnsiTheme="minorHAnsi" w:cstheme="minorHAnsi"/>
        </w:rPr>
        <w:t xml:space="preserve"> </w:t>
      </w:r>
      <w:hyperlink r:id="rId300" w:history="1">
        <w:r w:rsidRPr="001E290E">
          <w:rPr>
            <w:rStyle w:val="Hyperlink"/>
            <w:rFonts w:asciiTheme="minorHAnsi" w:eastAsiaTheme="majorEastAsia" w:hAnsiTheme="minorHAnsi" w:cstheme="minorHAnsi"/>
          </w:rPr>
          <w:t>https://www.occ.org.nz/publications/news/some-stark-injustices-in-our-youth-justice-system-need-fixing-and-heres-how/</w:t>
        </w:r>
      </w:hyperlink>
      <w:r w:rsidRPr="001E290E">
        <w:rPr>
          <w:rFonts w:asciiTheme="minorHAnsi" w:hAnsiTheme="minorHAnsi" w:cstheme="minorHAnsi"/>
        </w:rPr>
        <w:t xml:space="preserve"> Data obtained from New Zealand Police under the Official Information Act records similar figures: see </w:t>
      </w:r>
      <w:hyperlink r:id="rId301" w:history="1">
        <w:r w:rsidRPr="001E290E">
          <w:rPr>
            <w:rStyle w:val="Hyperlink"/>
            <w:rFonts w:asciiTheme="minorHAnsi" w:eastAsiaTheme="majorEastAsia" w:hAnsiTheme="minorHAnsi" w:cstheme="minorHAnsi"/>
          </w:rPr>
          <w:t>here</w:t>
        </w:r>
      </w:hyperlink>
      <w:r w:rsidRPr="001E290E">
        <w:rPr>
          <w:rFonts w:asciiTheme="minorHAnsi" w:hAnsiTheme="minorHAnsi" w:cstheme="minorHAnsi"/>
        </w:rPr>
        <w:t>.</w:t>
      </w:r>
    </w:p>
  </w:footnote>
  <w:footnote w:id="460">
    <w:p w14:paraId="7A519289" w14:textId="77777777" w:rsidR="000409DC" w:rsidRPr="00BD7178" w:rsidRDefault="000409DC" w:rsidP="00E20FF1">
      <w:pPr>
        <w:pStyle w:val="FootnoteText"/>
        <w:rPr>
          <w:rFonts w:asciiTheme="minorHAnsi" w:hAnsiTheme="minorHAnsi" w:cstheme="minorHAnsi"/>
        </w:rPr>
      </w:pPr>
      <w:r w:rsidRPr="00BD7178">
        <w:rPr>
          <w:rStyle w:val="FootnoteReference"/>
          <w:rFonts w:asciiTheme="minorHAnsi" w:eastAsia="SimSun" w:hAnsiTheme="minorHAnsi" w:cstheme="minorHAnsi"/>
        </w:rPr>
        <w:footnoteRef/>
      </w:r>
      <w:r w:rsidRPr="00BD7178">
        <w:rPr>
          <w:rFonts w:asciiTheme="minorHAnsi" w:hAnsiTheme="minorHAnsi" w:cstheme="minorHAnsi"/>
        </w:rPr>
        <w:t xml:space="preserve"> </w:t>
      </w:r>
      <w:hyperlink r:id="rId302" w:history="1">
        <w:r w:rsidRPr="00BD7178">
          <w:rPr>
            <w:rStyle w:val="Hyperlink"/>
            <w:rFonts w:asciiTheme="minorHAnsi" w:eastAsiaTheme="majorEastAsia" w:hAnsiTheme="minorHAnsi" w:cstheme="minorHAnsi"/>
          </w:rPr>
          <w:t>https://www.1news.co.nz/2020/08/03/spit-hoods-police-in-nz-breach-own-policy-on-controversial-restraint/</w:t>
        </w:r>
      </w:hyperlink>
      <w:r w:rsidRPr="00BD7178">
        <w:rPr>
          <w:rFonts w:asciiTheme="minorHAnsi" w:hAnsiTheme="minorHAnsi" w:cstheme="minorHAnsi"/>
        </w:rPr>
        <w:t xml:space="preserve"> </w:t>
      </w:r>
    </w:p>
  </w:footnote>
  <w:footnote w:id="461">
    <w:p w14:paraId="51F7B3D2" w14:textId="77777777" w:rsidR="000409DC" w:rsidRPr="00BD7178" w:rsidRDefault="000409DC" w:rsidP="00E20FF1">
      <w:pPr>
        <w:pStyle w:val="FootnoteText"/>
        <w:rPr>
          <w:rFonts w:asciiTheme="minorHAnsi" w:hAnsiTheme="minorHAnsi" w:cstheme="minorHAnsi"/>
        </w:rPr>
      </w:pPr>
      <w:r w:rsidRPr="00BD7178">
        <w:rPr>
          <w:rStyle w:val="FootnoteReference"/>
          <w:rFonts w:asciiTheme="minorHAnsi" w:eastAsia="SimSun" w:hAnsiTheme="minorHAnsi" w:cstheme="minorHAnsi"/>
        </w:rPr>
        <w:footnoteRef/>
      </w:r>
      <w:r w:rsidRPr="00BD7178">
        <w:rPr>
          <w:rFonts w:asciiTheme="minorHAnsi" w:hAnsiTheme="minorHAnsi" w:cstheme="minorHAnsi"/>
        </w:rPr>
        <w:t xml:space="preserve"> Ministry of Justice </w:t>
      </w:r>
      <w:hyperlink r:id="rId303" w:history="1">
        <w:r w:rsidRPr="00BD7178">
          <w:rPr>
            <w:rStyle w:val="Hyperlink"/>
            <w:rFonts w:asciiTheme="minorHAnsi" w:eastAsiaTheme="majorEastAsia" w:hAnsiTheme="minorHAnsi" w:cstheme="minorHAnsi"/>
            <w:i/>
          </w:rPr>
          <w:t>Youth Justice Indicators Summary Report December 2021</w:t>
        </w:r>
      </w:hyperlink>
      <w:r w:rsidRPr="00BD7178">
        <w:rPr>
          <w:rFonts w:asciiTheme="minorHAnsi" w:hAnsiTheme="minorHAnsi" w:cstheme="minorHAnsi"/>
        </w:rPr>
        <w:t xml:space="preserve"> at p</w:t>
      </w:r>
      <w:r>
        <w:rPr>
          <w:rFonts w:asciiTheme="minorHAnsi" w:hAnsiTheme="minorHAnsi" w:cstheme="minorHAnsi"/>
        </w:rPr>
        <w:t>.</w:t>
      </w:r>
      <w:r w:rsidRPr="00BD7178">
        <w:rPr>
          <w:rFonts w:asciiTheme="minorHAnsi" w:hAnsiTheme="minorHAnsi" w:cstheme="minorHAnsi"/>
        </w:rPr>
        <w:t xml:space="preserve"> 7. </w:t>
      </w:r>
    </w:p>
  </w:footnote>
  <w:footnote w:id="462">
    <w:p w14:paraId="26BA4F77" w14:textId="77777777" w:rsidR="000409DC" w:rsidRPr="00BD7178" w:rsidRDefault="000409DC" w:rsidP="00E20FF1">
      <w:pPr>
        <w:pStyle w:val="FootnoteText"/>
        <w:rPr>
          <w:rFonts w:asciiTheme="minorHAnsi" w:hAnsiTheme="minorHAnsi" w:cstheme="minorHAnsi"/>
        </w:rPr>
      </w:pPr>
      <w:r w:rsidRPr="00BD7178">
        <w:rPr>
          <w:rStyle w:val="FootnoteReference"/>
          <w:rFonts w:asciiTheme="minorHAnsi" w:eastAsia="SimSun" w:hAnsiTheme="minorHAnsi" w:cstheme="minorHAnsi"/>
        </w:rPr>
        <w:footnoteRef/>
      </w:r>
      <w:r w:rsidRPr="00BD7178">
        <w:rPr>
          <w:rFonts w:asciiTheme="minorHAnsi" w:hAnsiTheme="minorHAnsi" w:cstheme="minorHAnsi"/>
        </w:rPr>
        <w:t xml:space="preserve"> </w:t>
      </w:r>
      <w:hyperlink r:id="rId304" w:history="1">
        <w:r w:rsidRPr="00BD7178">
          <w:rPr>
            <w:rStyle w:val="Hyperlink"/>
            <w:rFonts w:asciiTheme="minorHAnsi" w:eastAsiaTheme="majorEastAsia" w:hAnsiTheme="minorHAnsi" w:cstheme="minorHAnsi"/>
            <w:i/>
          </w:rPr>
          <w:t>New Zealand Police/Oranga Tamariki v LV</w:t>
        </w:r>
      </w:hyperlink>
      <w:r w:rsidRPr="00BD7178">
        <w:rPr>
          <w:rFonts w:asciiTheme="minorHAnsi" w:hAnsiTheme="minorHAnsi" w:cstheme="minorHAnsi"/>
        </w:rPr>
        <w:t xml:space="preserve"> [2020] NZYC 117</w:t>
      </w:r>
      <w:r>
        <w:rPr>
          <w:rFonts w:asciiTheme="minorHAnsi" w:hAnsiTheme="minorHAnsi" w:cstheme="minorHAnsi"/>
        </w:rPr>
        <w:t>,</w:t>
      </w:r>
      <w:r w:rsidRPr="00BD7178">
        <w:rPr>
          <w:rFonts w:asciiTheme="minorHAnsi" w:hAnsiTheme="minorHAnsi" w:cstheme="minorHAnsi"/>
        </w:rPr>
        <w:t xml:space="preserve"> at [69(a)]</w:t>
      </w:r>
      <w:r>
        <w:rPr>
          <w:rFonts w:asciiTheme="minorHAnsi" w:hAnsiTheme="minorHAnsi" w:cstheme="minorHAnsi"/>
        </w:rPr>
        <w:t>.</w:t>
      </w:r>
      <w:r w:rsidRPr="00BD7178">
        <w:rPr>
          <w:rFonts w:asciiTheme="minorHAnsi" w:hAnsiTheme="minorHAnsi" w:cstheme="minorHAnsi"/>
        </w:rPr>
        <w:t xml:space="preserve"> </w:t>
      </w:r>
    </w:p>
  </w:footnote>
  <w:footnote w:id="463">
    <w:p w14:paraId="54874958" w14:textId="77777777" w:rsidR="000409DC" w:rsidRPr="00BD7178" w:rsidRDefault="000409DC" w:rsidP="00E20FF1">
      <w:pPr>
        <w:pStyle w:val="FootnoteText"/>
        <w:rPr>
          <w:rFonts w:asciiTheme="minorHAnsi" w:hAnsiTheme="minorHAnsi" w:cstheme="minorHAnsi"/>
        </w:rPr>
      </w:pPr>
      <w:r w:rsidRPr="00BD7178">
        <w:rPr>
          <w:rStyle w:val="FootnoteReference"/>
          <w:rFonts w:asciiTheme="minorHAnsi" w:eastAsia="SimSun" w:hAnsiTheme="minorHAnsi" w:cstheme="minorHAnsi"/>
        </w:rPr>
        <w:footnoteRef/>
      </w:r>
      <w:r w:rsidRPr="00BD7178">
        <w:rPr>
          <w:rFonts w:asciiTheme="minorHAnsi" w:hAnsiTheme="minorHAnsi" w:cstheme="minorHAnsi"/>
        </w:rPr>
        <w:t xml:space="preserve"> </w:t>
      </w:r>
      <w:hyperlink r:id="rId305" w:history="1">
        <w:r w:rsidRPr="00BD7178">
          <w:rPr>
            <w:rStyle w:val="Hyperlink"/>
            <w:rFonts w:asciiTheme="minorHAnsi" w:eastAsiaTheme="majorEastAsia" w:hAnsiTheme="minorHAnsi" w:cstheme="minorHAnsi"/>
            <w:i/>
          </w:rPr>
          <w:t>New Zealand Police/Oranga Tamariki v LV</w:t>
        </w:r>
      </w:hyperlink>
      <w:r w:rsidRPr="00BD7178">
        <w:rPr>
          <w:rFonts w:asciiTheme="minorHAnsi" w:hAnsiTheme="minorHAnsi" w:cstheme="minorHAnsi"/>
        </w:rPr>
        <w:t xml:space="preserve"> [2020] NZYC 117</w:t>
      </w:r>
      <w:r>
        <w:rPr>
          <w:rFonts w:asciiTheme="minorHAnsi" w:hAnsiTheme="minorHAnsi" w:cstheme="minorHAnsi"/>
        </w:rPr>
        <w:t>,</w:t>
      </w:r>
      <w:r w:rsidRPr="00BD7178">
        <w:rPr>
          <w:rFonts w:asciiTheme="minorHAnsi" w:hAnsiTheme="minorHAnsi" w:cstheme="minorHAnsi"/>
        </w:rPr>
        <w:t xml:space="preserve"> at [69]-[70]; </w:t>
      </w:r>
      <w:hyperlink r:id="rId306" w:history="1">
        <w:r w:rsidRPr="00BD7178">
          <w:rPr>
            <w:rStyle w:val="Hyperlink"/>
            <w:rFonts w:asciiTheme="minorHAnsi" w:eastAsiaTheme="majorEastAsia" w:hAnsiTheme="minorHAnsi" w:cstheme="minorHAnsi"/>
            <w:i/>
          </w:rPr>
          <w:t>New Zealand Police v JV</w:t>
        </w:r>
      </w:hyperlink>
      <w:r w:rsidRPr="00BD7178">
        <w:rPr>
          <w:rFonts w:asciiTheme="minorHAnsi" w:hAnsiTheme="minorHAnsi" w:cstheme="minorHAnsi"/>
        </w:rPr>
        <w:t xml:space="preserve"> [2021] NZYC 248</w:t>
      </w:r>
      <w:r>
        <w:rPr>
          <w:rFonts w:asciiTheme="minorHAnsi" w:hAnsiTheme="minorHAnsi" w:cstheme="minorHAnsi"/>
        </w:rPr>
        <w:t>,</w:t>
      </w:r>
      <w:r w:rsidRPr="00BD7178">
        <w:rPr>
          <w:rFonts w:asciiTheme="minorHAnsi" w:hAnsiTheme="minorHAnsi" w:cstheme="minorHAnsi"/>
        </w:rPr>
        <w:t xml:space="preserve"> at [55]-[62].</w:t>
      </w:r>
    </w:p>
  </w:footnote>
  <w:footnote w:id="464">
    <w:p w14:paraId="0BAB6A13" w14:textId="229176AE" w:rsidR="00507650" w:rsidRPr="00507650" w:rsidRDefault="00507650">
      <w:pPr>
        <w:pStyle w:val="FootnoteText"/>
        <w:rPr>
          <w:lang w:val="mi-NZ"/>
        </w:rPr>
      </w:pPr>
      <w:r>
        <w:rPr>
          <w:rStyle w:val="FootnoteReference"/>
        </w:rPr>
        <w:footnoteRef/>
      </w:r>
      <w:r>
        <w:t xml:space="preserve"> </w:t>
      </w:r>
      <w:r w:rsidRPr="00604C34">
        <w:rPr>
          <w:rFonts w:asciiTheme="minorHAnsi" w:hAnsiTheme="minorHAnsi" w:cstheme="minorHAnsi"/>
        </w:rPr>
        <w:t xml:space="preserve">While we recognise </w:t>
      </w:r>
      <w:r w:rsidRPr="00604C34">
        <w:rPr>
          <w:rFonts w:asciiTheme="minorHAnsi" w:hAnsiTheme="minorHAnsi" w:cstheme="minorHAnsi"/>
          <w:lang w:val="mi-NZ"/>
        </w:rPr>
        <w:t>the UN Committee’s use of the term “child justice”, in this report we have used the term “youth justice” as this is the terminology currently used in Aotearoa.</w:t>
      </w:r>
    </w:p>
  </w:footnote>
  <w:footnote w:id="465">
    <w:p w14:paraId="77D22CF1" w14:textId="7CDA1EE8" w:rsidR="000409DC" w:rsidRPr="00913290" w:rsidRDefault="000409DC" w:rsidP="00E20FF1">
      <w:pPr>
        <w:pStyle w:val="FootnoteText"/>
        <w:rPr>
          <w:rFonts w:asciiTheme="minorHAnsi" w:hAnsiTheme="minorHAnsi" w:cstheme="minorHAnsi"/>
          <w:lang w:val="mi-NZ"/>
        </w:rPr>
      </w:pPr>
      <w:r w:rsidRPr="00913290">
        <w:rPr>
          <w:rStyle w:val="FootnoteReference"/>
          <w:rFonts w:asciiTheme="minorHAnsi" w:eastAsiaTheme="majorEastAsia" w:hAnsiTheme="minorHAnsi" w:cstheme="minorHAnsi"/>
        </w:rPr>
        <w:footnoteRef/>
      </w:r>
      <w:r w:rsidRPr="00913290">
        <w:rPr>
          <w:rFonts w:asciiTheme="minorHAnsi" w:hAnsiTheme="minorHAnsi" w:cstheme="minorHAnsi"/>
        </w:rPr>
        <w:t xml:space="preserve"> </w:t>
      </w:r>
      <w:r w:rsidR="00206792" w:rsidRPr="00206792">
        <w:rPr>
          <w:rStyle w:val="CommentReference"/>
          <w:rFonts w:asciiTheme="minorHAnsi" w:hAnsiTheme="minorHAnsi" w:cstheme="minorHAnsi"/>
          <w:sz w:val="20"/>
          <w:szCs w:val="20"/>
        </w:rPr>
        <w:t>Sexual Exploitation of Children.</w:t>
      </w:r>
      <w:r w:rsidRPr="00913290">
        <w:rPr>
          <w:rFonts w:asciiTheme="minorHAnsi" w:eastAsiaTheme="majorEastAsia" w:hAnsiTheme="minorHAnsi" w:cstheme="minorHAnsi"/>
          <w:color w:val="242424"/>
          <w:lang w:val="en-GB"/>
        </w:rPr>
        <w:t xml:space="preserve"> </w:t>
      </w:r>
    </w:p>
  </w:footnote>
  <w:footnote w:id="466">
    <w:p w14:paraId="551305F9" w14:textId="0BFBD49B" w:rsidR="000409DC" w:rsidRPr="00206792" w:rsidRDefault="000409DC" w:rsidP="00E20FF1">
      <w:pPr>
        <w:spacing w:after="0" w:line="240" w:lineRule="auto"/>
        <w:rPr>
          <w:rFonts w:cstheme="minorHAnsi"/>
        </w:rPr>
      </w:pPr>
      <w:r w:rsidRPr="00913290">
        <w:rPr>
          <w:rStyle w:val="FootnoteReference"/>
          <w:rFonts w:eastAsiaTheme="majorEastAsia" w:cstheme="minorHAnsi"/>
        </w:rPr>
        <w:footnoteRef/>
      </w:r>
      <w:r w:rsidRPr="00913290">
        <w:rPr>
          <w:rFonts w:cstheme="minorHAnsi"/>
        </w:rPr>
        <w:t xml:space="preserve"> See </w:t>
      </w:r>
      <w:r w:rsidR="00206792" w:rsidRPr="00771335">
        <w:rPr>
          <w:rFonts w:cstheme="minorHAnsi"/>
          <w:lang w:val="en-US"/>
        </w:rPr>
        <w:t>Optional Protocol for Child Trafficking, Prostitution and Pornography</w:t>
      </w:r>
      <w:r w:rsidR="00206792">
        <w:rPr>
          <w:rFonts w:cstheme="minorHAnsi"/>
          <w:lang w:val="en-US"/>
        </w:rPr>
        <w:t xml:space="preserve"> Thematic Report, submitted by </w:t>
      </w:r>
      <w:r w:rsidR="00206792" w:rsidRPr="00771335">
        <w:rPr>
          <w:rFonts w:cstheme="minorHAnsi"/>
        </w:rPr>
        <w:t xml:space="preserve">ECPAT </w:t>
      </w:r>
      <w:r w:rsidR="00206792">
        <w:rPr>
          <w:rFonts w:cstheme="minorHAnsi"/>
        </w:rPr>
        <w:t>NZ Child Alert.</w:t>
      </w:r>
    </w:p>
  </w:footnote>
  <w:footnote w:id="467">
    <w:p w14:paraId="55D8F500" w14:textId="77777777" w:rsidR="000409DC" w:rsidRPr="00913290" w:rsidRDefault="000409DC" w:rsidP="00E20FF1">
      <w:pPr>
        <w:pStyle w:val="FootnoteText"/>
        <w:rPr>
          <w:rFonts w:asciiTheme="minorHAnsi" w:hAnsiTheme="minorHAnsi" w:cstheme="minorHAnsi"/>
          <w:lang w:val="mi-NZ"/>
        </w:rPr>
      </w:pPr>
      <w:r w:rsidRPr="00913290">
        <w:rPr>
          <w:rStyle w:val="FootnoteReference"/>
          <w:rFonts w:asciiTheme="minorHAnsi" w:eastAsiaTheme="majorEastAsia" w:hAnsiTheme="minorHAnsi" w:cstheme="minorHAnsi"/>
        </w:rPr>
        <w:footnoteRef/>
      </w:r>
      <w:r w:rsidRPr="00913290">
        <w:rPr>
          <w:rFonts w:asciiTheme="minorHAnsi" w:hAnsiTheme="minorHAnsi" w:cstheme="minorHAnsi"/>
        </w:rPr>
        <w:t xml:space="preserve"> US Department of State (2022) Trafficking in Persons Report, New Zealand.</w:t>
      </w:r>
    </w:p>
  </w:footnote>
  <w:footnote w:id="468">
    <w:p w14:paraId="7F3BEF24" w14:textId="77777777" w:rsidR="000409DC" w:rsidRPr="00913290" w:rsidRDefault="000409DC" w:rsidP="00E20FF1">
      <w:pPr>
        <w:pStyle w:val="FootnoteText"/>
        <w:rPr>
          <w:rFonts w:asciiTheme="minorHAnsi" w:hAnsiTheme="minorHAnsi" w:cstheme="minorHAnsi"/>
          <w:lang w:val="mi-NZ"/>
        </w:rPr>
      </w:pPr>
      <w:r w:rsidRPr="00913290">
        <w:rPr>
          <w:rStyle w:val="FootnoteReference"/>
          <w:rFonts w:asciiTheme="minorHAnsi" w:eastAsiaTheme="majorEastAsia" w:hAnsiTheme="minorHAnsi" w:cstheme="minorHAnsi"/>
        </w:rPr>
        <w:footnoteRef/>
      </w:r>
      <w:r w:rsidRPr="00913290">
        <w:rPr>
          <w:rFonts w:asciiTheme="minorHAnsi" w:hAnsiTheme="minorHAnsi" w:cstheme="minorHAnsi"/>
        </w:rPr>
        <w:t xml:space="preserve"> </w:t>
      </w:r>
      <w:r>
        <w:rPr>
          <w:rFonts w:asciiTheme="minorHAnsi" w:hAnsiTheme="minorHAnsi" w:cstheme="minorHAnsi"/>
        </w:rPr>
        <w:t xml:space="preserve">K </w:t>
      </w:r>
      <w:r w:rsidRPr="00913290">
        <w:rPr>
          <w:rFonts w:asciiTheme="minorHAnsi" w:hAnsiTheme="minorHAnsi" w:cstheme="minorHAnsi"/>
        </w:rPr>
        <w:t xml:space="preserve">Haines (2022) </w:t>
      </w:r>
      <w:r w:rsidRPr="00913290">
        <w:rPr>
          <w:rFonts w:asciiTheme="minorHAnsi" w:hAnsiTheme="minorHAnsi" w:cstheme="minorHAnsi"/>
          <w:i/>
          <w:iCs/>
        </w:rPr>
        <w:t>Domestic Sex Trafficking in Aotearoa New Zealand: Law Enforcement Experiences and Identification</w:t>
      </w:r>
      <w:r w:rsidRPr="00913290">
        <w:rPr>
          <w:rFonts w:asciiTheme="minorHAnsi" w:hAnsiTheme="minorHAnsi" w:cstheme="minorHAnsi"/>
        </w:rPr>
        <w:t>.</w:t>
      </w:r>
    </w:p>
  </w:footnote>
  <w:footnote w:id="469">
    <w:p w14:paraId="395238BB" w14:textId="77777777" w:rsidR="000409DC" w:rsidRPr="00913290" w:rsidRDefault="000409DC" w:rsidP="00E20FF1">
      <w:pPr>
        <w:pStyle w:val="FootnoteText"/>
        <w:rPr>
          <w:rFonts w:asciiTheme="minorHAnsi" w:hAnsiTheme="minorHAnsi" w:cstheme="minorHAnsi"/>
          <w:lang w:val="mi-NZ"/>
        </w:rPr>
      </w:pPr>
      <w:r w:rsidRPr="00913290">
        <w:rPr>
          <w:rStyle w:val="FootnoteReference"/>
          <w:rFonts w:asciiTheme="minorHAnsi" w:eastAsiaTheme="majorEastAsia" w:hAnsiTheme="minorHAnsi" w:cstheme="minorHAnsi"/>
        </w:rPr>
        <w:footnoteRef/>
      </w:r>
      <w:r w:rsidRPr="00913290">
        <w:rPr>
          <w:rFonts w:asciiTheme="minorHAnsi" w:hAnsiTheme="minorHAnsi" w:cstheme="minorHAnsi"/>
        </w:rPr>
        <w:t xml:space="preserve"> </w:t>
      </w:r>
      <w:r w:rsidRPr="00913290">
        <w:rPr>
          <w:rFonts w:asciiTheme="minorHAnsi" w:eastAsiaTheme="majorEastAsia" w:hAnsiTheme="minorHAnsi" w:cstheme="minorHAnsi"/>
          <w:lang w:val="en-GB"/>
        </w:rPr>
        <w:t>Ibid, p. 52.</w:t>
      </w:r>
    </w:p>
  </w:footnote>
  <w:footnote w:id="470">
    <w:p w14:paraId="22573321" w14:textId="77777777" w:rsidR="000409DC" w:rsidRPr="00913290" w:rsidRDefault="000409DC" w:rsidP="00E20FF1">
      <w:pPr>
        <w:pStyle w:val="FootnoteText"/>
        <w:rPr>
          <w:rFonts w:asciiTheme="minorHAnsi" w:hAnsiTheme="minorHAnsi" w:cstheme="minorHAnsi"/>
          <w:lang w:val="mi-NZ"/>
        </w:rPr>
      </w:pPr>
      <w:r w:rsidRPr="00913290">
        <w:rPr>
          <w:rStyle w:val="FootnoteReference"/>
          <w:rFonts w:asciiTheme="minorHAnsi" w:eastAsiaTheme="majorEastAsia" w:hAnsiTheme="minorHAnsi" w:cstheme="minorHAnsi"/>
        </w:rPr>
        <w:footnoteRef/>
      </w:r>
      <w:r w:rsidRPr="00913290">
        <w:rPr>
          <w:rFonts w:asciiTheme="minorHAnsi" w:hAnsiTheme="minorHAnsi" w:cstheme="minorHAnsi"/>
        </w:rPr>
        <w:t xml:space="preserve"> N Thorburn &amp; L </w:t>
      </w:r>
      <w:proofErr w:type="spellStart"/>
      <w:r w:rsidRPr="00913290">
        <w:rPr>
          <w:rFonts w:asciiTheme="minorHAnsi" w:hAnsiTheme="minorHAnsi" w:cstheme="minorHAnsi"/>
        </w:rPr>
        <w:t>Beddoe</w:t>
      </w:r>
      <w:proofErr w:type="spellEnd"/>
      <w:r w:rsidRPr="00913290">
        <w:rPr>
          <w:rFonts w:asciiTheme="minorHAnsi" w:hAnsiTheme="minorHAnsi" w:cstheme="minorHAnsi"/>
        </w:rPr>
        <w:t xml:space="preserve"> (2021) Capital Accrual and Constraints: Domestic Sex Trafficking Victims’ Negotiation of Vicarious and Feminized Capital. </w:t>
      </w:r>
      <w:proofErr w:type="spellStart"/>
      <w:r w:rsidRPr="00913290">
        <w:rPr>
          <w:rFonts w:asciiTheme="minorHAnsi" w:hAnsiTheme="minorHAnsi" w:cstheme="minorHAnsi"/>
          <w:i/>
          <w:iCs/>
        </w:rPr>
        <w:t>Affilia</w:t>
      </w:r>
      <w:proofErr w:type="spellEnd"/>
      <w:r w:rsidRPr="00913290">
        <w:rPr>
          <w:rFonts w:asciiTheme="minorHAnsi" w:hAnsiTheme="minorHAnsi" w:cstheme="minorHAnsi"/>
        </w:rPr>
        <w:t xml:space="preserve">, </w:t>
      </w:r>
      <w:r w:rsidRPr="00913290">
        <w:rPr>
          <w:rFonts w:asciiTheme="minorHAnsi" w:hAnsiTheme="minorHAnsi" w:cstheme="minorHAnsi"/>
          <w:i/>
          <w:iCs/>
        </w:rPr>
        <w:t>36(1),</w:t>
      </w:r>
      <w:r w:rsidRPr="00913290">
        <w:rPr>
          <w:rFonts w:asciiTheme="minorHAnsi" w:hAnsiTheme="minorHAnsi" w:cstheme="minorHAnsi"/>
        </w:rPr>
        <w:t xml:space="preserve"> 62–79. </w:t>
      </w:r>
    </w:p>
  </w:footnote>
  <w:footnote w:id="471">
    <w:p w14:paraId="065140A0" w14:textId="77777777" w:rsidR="000409DC" w:rsidRPr="00913290" w:rsidRDefault="000409DC" w:rsidP="00E20FF1">
      <w:pPr>
        <w:pStyle w:val="FootnoteText"/>
        <w:rPr>
          <w:rFonts w:asciiTheme="minorHAnsi" w:hAnsiTheme="minorHAnsi" w:cstheme="minorHAnsi"/>
          <w:lang w:val="mi-NZ"/>
        </w:rPr>
      </w:pPr>
      <w:r w:rsidRPr="00913290">
        <w:rPr>
          <w:rStyle w:val="FootnoteReference"/>
          <w:rFonts w:asciiTheme="minorHAnsi" w:eastAsiaTheme="majorEastAsia" w:hAnsiTheme="minorHAnsi" w:cstheme="minorHAnsi"/>
        </w:rPr>
        <w:footnoteRef/>
      </w:r>
      <w:r w:rsidRPr="00913290">
        <w:rPr>
          <w:rFonts w:asciiTheme="minorHAnsi" w:hAnsiTheme="minorHAnsi" w:cstheme="minorHAnsi"/>
        </w:rPr>
        <w:t xml:space="preserve"> Ibid.</w:t>
      </w:r>
    </w:p>
  </w:footnote>
  <w:footnote w:id="472">
    <w:p w14:paraId="7628E01C" w14:textId="77777777" w:rsidR="000409DC" w:rsidRPr="00913290" w:rsidRDefault="000409DC" w:rsidP="00E20FF1">
      <w:pPr>
        <w:pStyle w:val="FootnoteText"/>
        <w:rPr>
          <w:rFonts w:asciiTheme="minorHAnsi" w:hAnsiTheme="minorHAnsi" w:cstheme="minorHAnsi"/>
          <w:lang w:val="mi-NZ"/>
        </w:rPr>
      </w:pPr>
      <w:r w:rsidRPr="00913290">
        <w:rPr>
          <w:rStyle w:val="FootnoteReference"/>
          <w:rFonts w:asciiTheme="minorHAnsi" w:eastAsiaTheme="majorEastAsia" w:hAnsiTheme="minorHAnsi" w:cstheme="minorHAnsi"/>
        </w:rPr>
        <w:footnoteRef/>
      </w:r>
      <w:r w:rsidRPr="00913290">
        <w:rPr>
          <w:rFonts w:asciiTheme="minorHAnsi" w:hAnsiTheme="minorHAnsi" w:cstheme="minorHAnsi"/>
        </w:rPr>
        <w:t xml:space="preserve"> </w:t>
      </w:r>
      <w:proofErr w:type="spellStart"/>
      <w:r w:rsidRPr="00913290">
        <w:rPr>
          <w:rFonts w:asciiTheme="minorHAnsi" w:hAnsiTheme="minorHAnsi" w:cstheme="minorHAnsi"/>
          <w:lang w:val="en-GB"/>
        </w:rPr>
        <w:t>Te</w:t>
      </w:r>
      <w:proofErr w:type="spellEnd"/>
      <w:r w:rsidRPr="00913290">
        <w:rPr>
          <w:rFonts w:asciiTheme="minorHAnsi" w:hAnsiTheme="minorHAnsi" w:cstheme="minorHAnsi"/>
          <w:lang w:val="en-GB"/>
        </w:rPr>
        <w:t xml:space="preserve"> </w:t>
      </w:r>
      <w:proofErr w:type="spellStart"/>
      <w:r w:rsidRPr="00913290">
        <w:rPr>
          <w:rFonts w:asciiTheme="minorHAnsi" w:hAnsiTheme="minorHAnsi" w:cstheme="minorHAnsi"/>
          <w:lang w:val="en-GB"/>
        </w:rPr>
        <w:t>Whāriki</w:t>
      </w:r>
      <w:proofErr w:type="spellEnd"/>
      <w:r w:rsidRPr="00913290">
        <w:rPr>
          <w:rFonts w:asciiTheme="minorHAnsi" w:hAnsiTheme="minorHAnsi" w:cstheme="minorHAnsi"/>
          <w:lang w:val="en-GB"/>
        </w:rPr>
        <w:t xml:space="preserve"> </w:t>
      </w:r>
      <w:proofErr w:type="spellStart"/>
      <w:r w:rsidRPr="00913290">
        <w:rPr>
          <w:rFonts w:asciiTheme="minorHAnsi" w:hAnsiTheme="minorHAnsi" w:cstheme="minorHAnsi"/>
          <w:lang w:val="en-GB"/>
        </w:rPr>
        <w:t>Whakaaro</w:t>
      </w:r>
      <w:proofErr w:type="spellEnd"/>
      <w:r w:rsidRPr="00913290">
        <w:rPr>
          <w:rFonts w:asciiTheme="minorHAnsi" w:hAnsiTheme="minorHAnsi" w:cstheme="minorHAnsi"/>
          <w:lang w:val="en-GB"/>
        </w:rPr>
        <w:t xml:space="preserve"> o </w:t>
      </w:r>
      <w:proofErr w:type="spellStart"/>
      <w:r w:rsidRPr="00913290">
        <w:rPr>
          <w:rFonts w:asciiTheme="minorHAnsi" w:hAnsiTheme="minorHAnsi" w:cstheme="minorHAnsi"/>
          <w:lang w:val="en-GB"/>
        </w:rPr>
        <w:t>ngā</w:t>
      </w:r>
      <w:proofErr w:type="spellEnd"/>
      <w:r w:rsidRPr="00913290">
        <w:rPr>
          <w:rFonts w:asciiTheme="minorHAnsi" w:hAnsiTheme="minorHAnsi" w:cstheme="minorHAnsi"/>
          <w:lang w:val="en-GB"/>
        </w:rPr>
        <w:t xml:space="preserve"> </w:t>
      </w:r>
      <w:proofErr w:type="spellStart"/>
      <w:r w:rsidRPr="00913290">
        <w:rPr>
          <w:rFonts w:asciiTheme="minorHAnsi" w:hAnsiTheme="minorHAnsi" w:cstheme="minorHAnsi"/>
          <w:lang w:val="en-GB"/>
        </w:rPr>
        <w:t>Kaimahi</w:t>
      </w:r>
      <w:proofErr w:type="spellEnd"/>
      <w:r w:rsidRPr="00913290">
        <w:rPr>
          <w:rFonts w:asciiTheme="minorHAnsi" w:hAnsiTheme="minorHAnsi" w:cstheme="minorHAnsi"/>
          <w:lang w:val="en-GB"/>
        </w:rPr>
        <w:t xml:space="preserve"> </w:t>
      </w:r>
      <w:proofErr w:type="spellStart"/>
      <w:r w:rsidRPr="00913290">
        <w:rPr>
          <w:rFonts w:asciiTheme="minorHAnsi" w:hAnsiTheme="minorHAnsi" w:cstheme="minorHAnsi"/>
          <w:lang w:val="en-GB"/>
        </w:rPr>
        <w:t>Taiohi</w:t>
      </w:r>
      <w:proofErr w:type="spellEnd"/>
      <w:r w:rsidRPr="00913290">
        <w:rPr>
          <w:rFonts w:asciiTheme="minorHAnsi" w:hAnsiTheme="minorHAnsi" w:cstheme="minorHAnsi"/>
          <w:lang w:val="en-GB"/>
        </w:rPr>
        <w:t xml:space="preserve"> – New Zealand CSEC Community of Practice.</w:t>
      </w:r>
    </w:p>
  </w:footnote>
  <w:footnote w:id="473">
    <w:p w14:paraId="192A95E6" w14:textId="77777777" w:rsidR="000409DC" w:rsidRPr="00913290" w:rsidRDefault="000409DC" w:rsidP="00E20FF1">
      <w:pPr>
        <w:pStyle w:val="FootnoteText"/>
        <w:rPr>
          <w:rFonts w:asciiTheme="minorHAnsi" w:hAnsiTheme="minorHAnsi" w:cstheme="minorHAnsi"/>
          <w:lang w:val="mi-NZ"/>
        </w:rPr>
      </w:pPr>
      <w:r w:rsidRPr="00913290">
        <w:rPr>
          <w:rStyle w:val="FootnoteReference"/>
          <w:rFonts w:asciiTheme="minorHAnsi" w:eastAsiaTheme="majorEastAsia" w:hAnsiTheme="minorHAnsi" w:cstheme="minorHAnsi"/>
        </w:rPr>
        <w:footnoteRef/>
      </w:r>
      <w:r w:rsidRPr="00913290">
        <w:rPr>
          <w:rFonts w:asciiTheme="minorHAnsi" w:hAnsiTheme="minorHAnsi" w:cstheme="minorHAnsi"/>
        </w:rPr>
        <w:t xml:space="preserve"> </w:t>
      </w:r>
      <w:r>
        <w:rPr>
          <w:rFonts w:asciiTheme="minorHAnsi" w:hAnsiTheme="minorHAnsi" w:cstheme="minorHAnsi"/>
        </w:rPr>
        <w:t xml:space="preserve">K </w:t>
      </w:r>
      <w:r w:rsidRPr="00913290">
        <w:rPr>
          <w:rFonts w:asciiTheme="minorHAnsi" w:hAnsiTheme="minorHAnsi" w:cstheme="minorHAnsi"/>
          <w:lang w:val="en-GB"/>
        </w:rPr>
        <w:t>Haines (2022) at p. 56.</w:t>
      </w:r>
    </w:p>
  </w:footnote>
  <w:footnote w:id="474">
    <w:p w14:paraId="11C5589F" w14:textId="77777777" w:rsidR="000409DC" w:rsidRPr="00913290" w:rsidRDefault="000409DC" w:rsidP="00E20FF1">
      <w:pPr>
        <w:pStyle w:val="FootnoteText"/>
        <w:rPr>
          <w:rFonts w:asciiTheme="minorHAnsi" w:hAnsiTheme="minorHAnsi" w:cstheme="minorHAnsi"/>
          <w:lang w:val="mi-NZ"/>
        </w:rPr>
      </w:pPr>
      <w:r w:rsidRPr="00913290">
        <w:rPr>
          <w:rStyle w:val="FootnoteReference"/>
          <w:rFonts w:asciiTheme="minorHAnsi" w:eastAsiaTheme="majorEastAsia" w:hAnsiTheme="minorHAnsi" w:cstheme="minorHAnsi"/>
        </w:rPr>
        <w:footnoteRef/>
      </w:r>
      <w:r w:rsidRPr="00913290">
        <w:rPr>
          <w:rFonts w:asciiTheme="minorHAnsi" w:hAnsiTheme="minorHAnsi" w:cstheme="minorHAnsi"/>
        </w:rPr>
        <w:t xml:space="preserve"> Ibid.</w:t>
      </w:r>
    </w:p>
  </w:footnote>
  <w:footnote w:id="475">
    <w:p w14:paraId="5AE58ADA" w14:textId="77777777" w:rsidR="000409DC" w:rsidRPr="00913290" w:rsidRDefault="000409DC" w:rsidP="00E20FF1">
      <w:pPr>
        <w:pStyle w:val="FootnoteText"/>
        <w:rPr>
          <w:rFonts w:asciiTheme="minorHAnsi" w:hAnsiTheme="minorHAnsi" w:cstheme="minorHAnsi"/>
          <w:lang w:val="mi-NZ"/>
        </w:rPr>
      </w:pPr>
      <w:r w:rsidRPr="00913290">
        <w:rPr>
          <w:rStyle w:val="FootnoteReference"/>
          <w:rFonts w:asciiTheme="minorHAnsi" w:eastAsiaTheme="majorEastAsia" w:hAnsiTheme="minorHAnsi" w:cstheme="minorHAnsi"/>
        </w:rPr>
        <w:footnoteRef/>
      </w:r>
      <w:r w:rsidRPr="00913290">
        <w:rPr>
          <w:rFonts w:asciiTheme="minorHAnsi" w:hAnsiTheme="minorHAnsi" w:cstheme="minorHAnsi"/>
        </w:rPr>
        <w:t xml:space="preserve"> </w:t>
      </w:r>
      <w:proofErr w:type="spellStart"/>
      <w:r w:rsidRPr="00913290">
        <w:rPr>
          <w:rFonts w:asciiTheme="minorHAnsi" w:hAnsiTheme="minorHAnsi" w:cstheme="minorHAnsi"/>
          <w:lang w:val="en-GB"/>
        </w:rPr>
        <w:t>CommonProtect</w:t>
      </w:r>
      <w:proofErr w:type="spellEnd"/>
      <w:r w:rsidRPr="00913290">
        <w:rPr>
          <w:rFonts w:asciiTheme="minorHAnsi" w:hAnsiTheme="minorHAnsi" w:cstheme="minorHAnsi"/>
          <w:lang w:val="en-GB"/>
        </w:rPr>
        <w:t xml:space="preserve"> (2022, March 2)</w:t>
      </w:r>
      <w:r w:rsidRPr="00913290">
        <w:rPr>
          <w:rFonts w:asciiTheme="minorHAnsi" w:hAnsiTheme="minorHAnsi" w:cstheme="minorHAnsi"/>
          <w:color w:val="FF0000"/>
          <w:lang w:val="en-GB"/>
        </w:rPr>
        <w:t xml:space="preserve"> </w:t>
      </w:r>
      <w:r w:rsidRPr="00913290">
        <w:rPr>
          <w:rFonts w:asciiTheme="minorHAnsi" w:hAnsiTheme="minorHAnsi" w:cstheme="minorHAnsi"/>
          <w:lang w:val="en-GB"/>
        </w:rPr>
        <w:t xml:space="preserve">Child sex abuse operation: Level of offending much higher than before - investigator: </w:t>
      </w:r>
      <w:hyperlink r:id="rId307" w:tgtFrame="_blank" w:history="1">
        <w:r w:rsidRPr="00E16885">
          <w:rPr>
            <w:rFonts w:asciiTheme="minorHAnsi" w:hAnsiTheme="minorHAnsi" w:cstheme="minorHAnsi"/>
            <w:color w:val="25409A" w:themeColor="text2"/>
            <w:u w:val="single"/>
            <w:lang w:val="en-GB"/>
          </w:rPr>
          <w:t>https://www.rnz.co.nz/news/national/462608/child-sex-abuse-operation-level-of-offending-much-higher-than-before-investigator</w:t>
        </w:r>
      </w:hyperlink>
      <w:r w:rsidRPr="00913290">
        <w:rPr>
          <w:rFonts w:asciiTheme="minorHAnsi" w:hAnsiTheme="minorHAnsi" w:cstheme="minorHAnsi"/>
          <w:lang w:val="en-GB"/>
        </w:rPr>
        <w:t>.</w:t>
      </w:r>
    </w:p>
  </w:footnote>
  <w:footnote w:id="476">
    <w:p w14:paraId="1B0424D8" w14:textId="77777777" w:rsidR="000409DC" w:rsidRPr="00913290" w:rsidRDefault="000409DC" w:rsidP="00E20FF1">
      <w:pPr>
        <w:pStyle w:val="FootnoteText"/>
        <w:rPr>
          <w:rFonts w:asciiTheme="minorHAnsi" w:hAnsiTheme="minorHAnsi" w:cstheme="minorHAnsi"/>
          <w:lang w:val="mi-NZ"/>
        </w:rPr>
      </w:pPr>
      <w:r w:rsidRPr="00913290">
        <w:rPr>
          <w:rStyle w:val="FootnoteReference"/>
          <w:rFonts w:asciiTheme="minorHAnsi" w:eastAsiaTheme="majorEastAsia" w:hAnsiTheme="minorHAnsi" w:cstheme="minorHAnsi"/>
        </w:rPr>
        <w:footnoteRef/>
      </w:r>
      <w:r w:rsidRPr="00913290">
        <w:rPr>
          <w:rFonts w:asciiTheme="minorHAnsi" w:hAnsiTheme="minorHAnsi" w:cstheme="minorHAnsi"/>
        </w:rPr>
        <w:t xml:space="preserve"> </w:t>
      </w:r>
      <w:r w:rsidRPr="00913290">
        <w:rPr>
          <w:rFonts w:asciiTheme="minorHAnsi" w:eastAsiaTheme="majorEastAsia" w:hAnsiTheme="minorHAnsi" w:cstheme="minorHAnsi"/>
          <w:lang w:val="en-US"/>
        </w:rPr>
        <w:t>Crimes Act 1961, s 98D.</w:t>
      </w:r>
    </w:p>
  </w:footnote>
  <w:footnote w:id="477">
    <w:p w14:paraId="09062FFD" w14:textId="77777777" w:rsidR="000409DC" w:rsidRPr="00913290" w:rsidRDefault="000409DC" w:rsidP="00E20FF1">
      <w:pPr>
        <w:pStyle w:val="FootnoteText"/>
        <w:rPr>
          <w:rFonts w:asciiTheme="minorHAnsi" w:hAnsiTheme="minorHAnsi" w:cstheme="minorHAnsi"/>
          <w:lang w:val="mi-NZ"/>
        </w:rPr>
      </w:pPr>
      <w:r w:rsidRPr="00913290">
        <w:rPr>
          <w:rStyle w:val="FootnoteReference"/>
          <w:rFonts w:asciiTheme="minorHAnsi" w:eastAsiaTheme="majorEastAsia" w:hAnsiTheme="minorHAnsi" w:cstheme="minorHAnsi"/>
        </w:rPr>
        <w:footnoteRef/>
      </w:r>
      <w:r w:rsidRPr="00913290">
        <w:rPr>
          <w:rFonts w:asciiTheme="minorHAnsi" w:hAnsiTheme="minorHAnsi" w:cstheme="minorHAnsi"/>
        </w:rPr>
        <w:t xml:space="preserve"> </w:t>
      </w:r>
      <w:bookmarkStart w:id="78" w:name="_Hlk110335526"/>
      <w:r w:rsidRPr="00913290">
        <w:rPr>
          <w:rFonts w:asciiTheme="minorHAnsi" w:hAnsiTheme="minorHAnsi" w:cstheme="minorHAnsi"/>
        </w:rPr>
        <w:t xml:space="preserve">US Department of State (2022) </w:t>
      </w:r>
      <w:r w:rsidRPr="00913290">
        <w:rPr>
          <w:rFonts w:asciiTheme="minorHAnsi" w:hAnsiTheme="minorHAnsi" w:cstheme="minorHAnsi"/>
          <w:lang w:val="en-US"/>
        </w:rPr>
        <w:t>Trafficking in Persons Report, New Zealand.</w:t>
      </w:r>
      <w:bookmarkEnd w:id="78"/>
    </w:p>
  </w:footnote>
  <w:footnote w:id="478">
    <w:p w14:paraId="4D6BB541" w14:textId="77777777" w:rsidR="000409DC" w:rsidRPr="00913290" w:rsidRDefault="000409DC" w:rsidP="00E20FF1">
      <w:pPr>
        <w:pStyle w:val="FootnoteText"/>
        <w:rPr>
          <w:rFonts w:asciiTheme="minorHAnsi" w:hAnsiTheme="minorHAnsi" w:cstheme="minorHAnsi"/>
          <w:lang w:val="en-GB"/>
        </w:rPr>
      </w:pPr>
      <w:r w:rsidRPr="00913290">
        <w:rPr>
          <w:rStyle w:val="FootnoteReference"/>
          <w:rFonts w:asciiTheme="minorHAnsi" w:eastAsiaTheme="majorEastAsia" w:hAnsiTheme="minorHAnsi" w:cstheme="minorHAnsi"/>
        </w:rPr>
        <w:footnoteRef/>
      </w:r>
      <w:r w:rsidRPr="00913290">
        <w:rPr>
          <w:rFonts w:asciiTheme="minorHAnsi" w:hAnsiTheme="minorHAnsi" w:cstheme="minorHAnsi"/>
        </w:rPr>
        <w:t xml:space="preserve"> </w:t>
      </w:r>
      <w:hyperlink r:id="rId308" w:anchor="DLM197815" w:tgtFrame="_blank" w:history="1">
        <w:r w:rsidRPr="00913290">
          <w:rPr>
            <w:rStyle w:val="Hyperlink"/>
            <w:rFonts w:asciiTheme="minorHAnsi" w:eastAsiaTheme="majorEastAsia" w:hAnsiTheme="minorHAnsi" w:cstheme="minorHAnsi"/>
            <w:lang w:val="en-GB"/>
          </w:rPr>
          <w:t>Prostitution Reform Act (2003)</w:t>
        </w:r>
      </w:hyperlink>
      <w:r w:rsidRPr="00913290">
        <w:rPr>
          <w:rFonts w:asciiTheme="minorHAnsi" w:hAnsiTheme="minorHAnsi" w:cstheme="minorHAnsi"/>
          <w:lang w:val="en-GB"/>
        </w:rPr>
        <w:t>.</w:t>
      </w:r>
    </w:p>
  </w:footnote>
  <w:footnote w:id="479">
    <w:p w14:paraId="38156F3B" w14:textId="77777777" w:rsidR="000409DC" w:rsidRPr="00B152E2" w:rsidRDefault="000409DC" w:rsidP="00E20FF1">
      <w:pPr>
        <w:spacing w:after="0" w:line="240" w:lineRule="auto"/>
      </w:pPr>
      <w:r w:rsidRPr="00913290">
        <w:rPr>
          <w:rStyle w:val="FootnoteReference"/>
          <w:rFonts w:eastAsiaTheme="majorEastAsia" w:cstheme="minorHAnsi"/>
        </w:rPr>
        <w:footnoteRef/>
      </w:r>
      <w:r w:rsidRPr="00B152E2">
        <w:rPr>
          <w:rFonts w:cstheme="minorHAnsi"/>
        </w:rPr>
        <w:t xml:space="preserve"> </w:t>
      </w:r>
      <w:hyperlink r:id="rId309" w:tooltip="https://thespinoff.co.nz/society/09-05-2022/whos-your-daddy-the-rise-of-sugar-dating" w:history="1">
        <w:r w:rsidRPr="00E16885">
          <w:rPr>
            <w:rStyle w:val="Hyperlink"/>
            <w:rFonts w:eastAsiaTheme="majorEastAsia" w:cstheme="minorHAnsi"/>
            <w:lang w:eastAsia="en-GB"/>
          </w:rPr>
          <w:t>https://thespinoff.co.nz/society/09-05-2022/whos-your-daddy-the-rise-of-sugar-dating</w:t>
        </w:r>
      </w:hyperlink>
    </w:p>
  </w:footnote>
  <w:footnote w:id="480">
    <w:p w14:paraId="29590480" w14:textId="77777777" w:rsidR="000409DC" w:rsidRPr="008950AF" w:rsidRDefault="000409DC" w:rsidP="00E20FF1">
      <w:pPr>
        <w:pStyle w:val="EndnoteText"/>
        <w:rPr>
          <w:rFonts w:cstheme="minorHAnsi"/>
        </w:rPr>
      </w:pPr>
      <w:r w:rsidRPr="00913290">
        <w:rPr>
          <w:rStyle w:val="FootnoteReference"/>
          <w:rFonts w:cstheme="minorHAnsi"/>
        </w:rPr>
        <w:footnoteRef/>
      </w:r>
      <w:r w:rsidRPr="00913290">
        <w:rPr>
          <w:rFonts w:cstheme="minorHAnsi"/>
        </w:rPr>
        <w:t xml:space="preserve"> Plan of Action Implementation Reports, updated December 2021, accessed August 2022: </w:t>
      </w:r>
      <w:hyperlink r:id="rId310" w:history="1">
        <w:r w:rsidRPr="00913290">
          <w:rPr>
            <w:rStyle w:val="Hyperlink"/>
            <w:rFonts w:cstheme="minorHAnsi"/>
          </w:rPr>
          <w:t>https://www.mbie.govt.nz/business-and-employment/employment-and-skills/plan-of-action-against-forced-labour-people-trafficking-and-slavery/implementation-report/</w:t>
        </w:r>
      </w:hyperlink>
      <w:r w:rsidRPr="00913290">
        <w:rPr>
          <w:rFonts w:cstheme="minorHAnsi"/>
        </w:rPr>
        <w:t xml:space="preserve"> </w:t>
      </w:r>
    </w:p>
  </w:footnote>
  <w:footnote w:id="481">
    <w:p w14:paraId="570E62B6" w14:textId="77777777" w:rsidR="000409DC" w:rsidRPr="00913290" w:rsidRDefault="000409DC" w:rsidP="00E20FF1">
      <w:pPr>
        <w:pStyle w:val="FootnoteText"/>
        <w:rPr>
          <w:rFonts w:asciiTheme="minorHAnsi" w:hAnsiTheme="minorHAnsi" w:cstheme="minorHAnsi"/>
          <w:lang w:val="mi-NZ"/>
        </w:rPr>
      </w:pPr>
      <w:r w:rsidRPr="00913290">
        <w:rPr>
          <w:rStyle w:val="FootnoteReference"/>
          <w:rFonts w:asciiTheme="minorHAnsi" w:eastAsiaTheme="majorEastAsia" w:hAnsiTheme="minorHAnsi" w:cstheme="minorHAnsi"/>
        </w:rPr>
        <w:footnoteRef/>
      </w:r>
      <w:r w:rsidRPr="00913290">
        <w:rPr>
          <w:rFonts w:asciiTheme="minorHAnsi" w:hAnsiTheme="minorHAnsi" w:cstheme="minorHAnsi"/>
        </w:rPr>
        <w:t xml:space="preserve"> MBIE (2020) </w:t>
      </w:r>
      <w:r w:rsidRPr="00913290">
        <w:rPr>
          <w:rFonts w:asciiTheme="minorHAnsi" w:hAnsiTheme="minorHAnsi" w:cstheme="minorHAnsi"/>
          <w:i/>
          <w:iCs/>
        </w:rPr>
        <w:t>Combatting Modern Slavery: Plan of action against forced labour, people trafficking and slavery</w:t>
      </w:r>
      <w:r w:rsidRPr="00913290">
        <w:rPr>
          <w:rFonts w:asciiTheme="minorHAnsi" w:hAnsiTheme="minorHAnsi" w:cstheme="minorHAnsi"/>
        </w:rPr>
        <w:t>.</w:t>
      </w:r>
    </w:p>
  </w:footnote>
  <w:footnote w:id="482">
    <w:p w14:paraId="5FB14F17" w14:textId="7BC5DBBF"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mi-NZ"/>
        </w:rPr>
        <w:t xml:space="preserve">Children’s Rights Alliance Aotearoa New Zealand </w:t>
      </w:r>
      <w:hyperlink r:id="rId311" w:history="1">
        <w:r>
          <w:rPr>
            <w:rStyle w:val="Hyperlink"/>
            <w:rFonts w:asciiTheme="minorHAnsi" w:hAnsiTheme="minorHAnsi" w:cstheme="minorHAnsi"/>
            <w:i/>
            <w:iCs/>
            <w:lang w:val="mi-NZ"/>
          </w:rPr>
          <w:t xml:space="preserve">Written Input into the List of Issues Prior to Reporting </w:t>
        </w:r>
      </w:hyperlink>
      <w:r>
        <w:rPr>
          <w:rFonts w:asciiTheme="minorHAnsi" w:hAnsiTheme="minorHAnsi" w:cstheme="minorHAnsi"/>
          <w:lang w:val="mi-NZ"/>
        </w:rPr>
        <w:t xml:space="preserve">(March 2020). </w:t>
      </w:r>
    </w:p>
  </w:footnote>
  <w:footnote w:id="483">
    <w:p w14:paraId="30340FFB"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Sandi Beatie </w:t>
      </w:r>
      <w:r>
        <w:rPr>
          <w:rFonts w:asciiTheme="minorHAnsi" w:hAnsiTheme="minorHAnsi" w:cstheme="minorHAnsi"/>
          <w:i/>
          <w:iCs/>
        </w:rPr>
        <w:t xml:space="preserve">Strengthening independent oversight of the Oranga Tamariki system and of children’s issues in New Zealand Ko </w:t>
      </w:r>
      <w:proofErr w:type="spellStart"/>
      <w:r>
        <w:rPr>
          <w:rFonts w:asciiTheme="minorHAnsi" w:hAnsiTheme="minorHAnsi" w:cstheme="minorHAnsi"/>
          <w:i/>
          <w:iCs/>
        </w:rPr>
        <w:t>te</w:t>
      </w:r>
      <w:proofErr w:type="spellEnd"/>
      <w:r>
        <w:rPr>
          <w:rFonts w:asciiTheme="minorHAnsi" w:hAnsiTheme="minorHAnsi" w:cstheme="minorHAnsi"/>
          <w:i/>
          <w:iCs/>
        </w:rPr>
        <w:t xml:space="preserve"> </w:t>
      </w:r>
      <w:proofErr w:type="spellStart"/>
      <w:r>
        <w:rPr>
          <w:rFonts w:asciiTheme="minorHAnsi" w:hAnsiTheme="minorHAnsi" w:cstheme="minorHAnsi"/>
          <w:i/>
          <w:iCs/>
        </w:rPr>
        <w:t>whakakaha</w:t>
      </w:r>
      <w:proofErr w:type="spellEnd"/>
      <w:r>
        <w:rPr>
          <w:rFonts w:asciiTheme="minorHAnsi" w:hAnsiTheme="minorHAnsi" w:cstheme="minorHAnsi"/>
          <w:i/>
          <w:iCs/>
        </w:rPr>
        <w:t xml:space="preserve"> </w:t>
      </w:r>
      <w:proofErr w:type="spellStart"/>
      <w:r>
        <w:rPr>
          <w:rFonts w:asciiTheme="minorHAnsi" w:hAnsiTheme="minorHAnsi" w:cstheme="minorHAnsi"/>
          <w:i/>
          <w:iCs/>
        </w:rPr>
        <w:t>i</w:t>
      </w:r>
      <w:proofErr w:type="spellEnd"/>
      <w:r>
        <w:rPr>
          <w:rFonts w:asciiTheme="minorHAnsi" w:hAnsiTheme="minorHAnsi" w:cstheme="minorHAnsi"/>
          <w:i/>
          <w:iCs/>
        </w:rPr>
        <w:t xml:space="preserve"> </w:t>
      </w:r>
      <w:proofErr w:type="spellStart"/>
      <w:r>
        <w:rPr>
          <w:rFonts w:asciiTheme="minorHAnsi" w:hAnsiTheme="minorHAnsi" w:cstheme="minorHAnsi"/>
          <w:i/>
          <w:iCs/>
        </w:rPr>
        <w:t>te</w:t>
      </w:r>
      <w:proofErr w:type="spellEnd"/>
      <w:r>
        <w:rPr>
          <w:rFonts w:asciiTheme="minorHAnsi" w:hAnsiTheme="minorHAnsi" w:cstheme="minorHAnsi"/>
          <w:i/>
          <w:iCs/>
        </w:rPr>
        <w:t xml:space="preserve"> </w:t>
      </w:r>
      <w:proofErr w:type="spellStart"/>
      <w:r>
        <w:rPr>
          <w:rFonts w:asciiTheme="minorHAnsi" w:hAnsiTheme="minorHAnsi" w:cstheme="minorHAnsi"/>
          <w:i/>
          <w:iCs/>
        </w:rPr>
        <w:t>tirohanga</w:t>
      </w:r>
      <w:proofErr w:type="spellEnd"/>
      <w:r>
        <w:rPr>
          <w:rFonts w:asciiTheme="minorHAnsi" w:hAnsiTheme="minorHAnsi" w:cstheme="minorHAnsi"/>
          <w:i/>
          <w:iCs/>
        </w:rPr>
        <w:t xml:space="preserve"> Motuhake ki </w:t>
      </w:r>
      <w:proofErr w:type="spellStart"/>
      <w:r>
        <w:rPr>
          <w:rFonts w:asciiTheme="minorHAnsi" w:hAnsiTheme="minorHAnsi" w:cstheme="minorHAnsi"/>
          <w:i/>
          <w:iCs/>
        </w:rPr>
        <w:t>te</w:t>
      </w:r>
      <w:proofErr w:type="spellEnd"/>
      <w:r>
        <w:rPr>
          <w:rFonts w:asciiTheme="minorHAnsi" w:hAnsiTheme="minorHAnsi" w:cstheme="minorHAnsi"/>
          <w:i/>
          <w:iCs/>
        </w:rPr>
        <w:t xml:space="preserve"> </w:t>
      </w:r>
      <w:proofErr w:type="spellStart"/>
      <w:r>
        <w:rPr>
          <w:rFonts w:asciiTheme="minorHAnsi" w:hAnsiTheme="minorHAnsi" w:cstheme="minorHAnsi"/>
          <w:i/>
          <w:iCs/>
        </w:rPr>
        <w:t>pūnaha</w:t>
      </w:r>
      <w:proofErr w:type="spellEnd"/>
      <w:r>
        <w:rPr>
          <w:rFonts w:asciiTheme="minorHAnsi" w:hAnsiTheme="minorHAnsi" w:cstheme="minorHAnsi"/>
          <w:i/>
          <w:iCs/>
        </w:rPr>
        <w:t xml:space="preserve"> a Oranga Tamariki me </w:t>
      </w:r>
      <w:proofErr w:type="spellStart"/>
      <w:r>
        <w:rPr>
          <w:rFonts w:asciiTheme="minorHAnsi" w:hAnsiTheme="minorHAnsi" w:cstheme="minorHAnsi"/>
          <w:i/>
          <w:iCs/>
        </w:rPr>
        <w:t>ngā</w:t>
      </w:r>
      <w:proofErr w:type="spellEnd"/>
      <w:r>
        <w:rPr>
          <w:rFonts w:asciiTheme="minorHAnsi" w:hAnsiTheme="minorHAnsi" w:cstheme="minorHAnsi"/>
          <w:i/>
          <w:iCs/>
        </w:rPr>
        <w:t xml:space="preserve"> take </w:t>
      </w:r>
      <w:proofErr w:type="spellStart"/>
      <w:r>
        <w:rPr>
          <w:rFonts w:asciiTheme="minorHAnsi" w:hAnsiTheme="minorHAnsi" w:cstheme="minorHAnsi"/>
          <w:i/>
          <w:iCs/>
        </w:rPr>
        <w:t>tamariki</w:t>
      </w:r>
      <w:proofErr w:type="spellEnd"/>
      <w:r>
        <w:rPr>
          <w:rFonts w:asciiTheme="minorHAnsi" w:hAnsiTheme="minorHAnsi" w:cstheme="minorHAnsi"/>
          <w:i/>
          <w:iCs/>
        </w:rPr>
        <w:t xml:space="preserve"> I Aotearoa: Post Consultation Report </w:t>
      </w:r>
      <w:r>
        <w:rPr>
          <w:rFonts w:asciiTheme="minorHAnsi" w:hAnsiTheme="minorHAnsi" w:cstheme="minorHAnsi"/>
        </w:rPr>
        <w:t xml:space="preserve">(August 2018). </w:t>
      </w:r>
      <w:hyperlink r:id="rId312" w:history="1">
        <w:r>
          <w:rPr>
            <w:rStyle w:val="Hyperlink"/>
            <w:rFonts w:asciiTheme="minorHAnsi" w:hAnsiTheme="minorHAnsi" w:cstheme="minorHAnsi"/>
          </w:rPr>
          <w:t>https://www.msd.govt.nz/about-msd-and-our-work/work-programmes/policy-development/oversight-for-children/index.html</w:t>
        </w:r>
      </w:hyperlink>
      <w:r>
        <w:rPr>
          <w:rFonts w:asciiTheme="minorHAnsi" w:hAnsiTheme="minorHAnsi" w:cstheme="minorHAnsi"/>
        </w:rPr>
        <w:t xml:space="preserve"> </w:t>
      </w:r>
    </w:p>
  </w:footnote>
  <w:footnote w:id="484">
    <w:p w14:paraId="5855D5DE"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w:t>
      </w:r>
      <w:hyperlink r:id="rId313" w:history="1">
        <w:r>
          <w:rPr>
            <w:rStyle w:val="Hyperlink"/>
            <w:rFonts w:asciiTheme="minorHAnsi" w:hAnsiTheme="minorHAnsi" w:cstheme="minorHAnsi"/>
          </w:rPr>
          <w:t>https://www.parliament.nz/en/pb/bills-and-laws/bills-proposed-laws/document/BILL_116701/oversight-of-oranga-tamariki-system-and-children-and-young</w:t>
        </w:r>
      </w:hyperlink>
    </w:p>
  </w:footnote>
  <w:footnote w:id="485">
    <w:p w14:paraId="6FFA7CA3" w14:textId="77777777" w:rsidR="00286439" w:rsidRPr="00E16885" w:rsidRDefault="00286439" w:rsidP="00E20FF1">
      <w:pPr>
        <w:spacing w:after="0" w:line="240" w:lineRule="auto"/>
        <w:rPr>
          <w:rFonts w:cstheme="minorHAnsi"/>
          <w:color w:val="25409A" w:themeColor="text2"/>
          <w:lang w:val="en-US"/>
        </w:rPr>
      </w:pPr>
      <w:r>
        <w:rPr>
          <w:rStyle w:val="FootnoteReference"/>
          <w:rFonts w:cstheme="minorHAnsi"/>
        </w:rPr>
        <w:footnoteRef/>
      </w:r>
      <w:r>
        <w:rPr>
          <w:rFonts w:cstheme="minorHAnsi"/>
        </w:rPr>
        <w:t xml:space="preserve"> </w:t>
      </w:r>
      <w:r>
        <w:rPr>
          <w:rFonts w:cstheme="minorHAnsi"/>
          <w:lang w:val="en-US"/>
        </w:rPr>
        <w:t>The ‘</w:t>
      </w:r>
      <w:proofErr w:type="spellStart"/>
      <w:r>
        <w:rPr>
          <w:rFonts w:cstheme="minorHAnsi"/>
          <w:lang w:val="en-US"/>
        </w:rPr>
        <w:t>Oranga</w:t>
      </w:r>
      <w:proofErr w:type="spellEnd"/>
      <w:r>
        <w:rPr>
          <w:rFonts w:cstheme="minorHAnsi"/>
          <w:lang w:val="en-US"/>
        </w:rPr>
        <w:t xml:space="preserve"> Tamariki system’ is defined (in clause 9 of the Bill) as the system responsible for delivering services and supports under ‘or in connection with’ the </w:t>
      </w:r>
      <w:proofErr w:type="spellStart"/>
      <w:r>
        <w:rPr>
          <w:rFonts w:cstheme="minorHAnsi"/>
          <w:lang w:val="en-US"/>
        </w:rPr>
        <w:t>Oranga</w:t>
      </w:r>
      <w:proofErr w:type="spellEnd"/>
      <w:r>
        <w:rPr>
          <w:rFonts w:cstheme="minorHAnsi"/>
          <w:lang w:val="en-US"/>
        </w:rPr>
        <w:t xml:space="preserve"> Tamariki Act 1989; and applying to those providing services and supports (agencies, or contracted partners within the system) including health, education, </w:t>
      </w:r>
      <w:proofErr w:type="gramStart"/>
      <w:r>
        <w:rPr>
          <w:rFonts w:cstheme="minorHAnsi"/>
          <w:lang w:val="en-US"/>
        </w:rPr>
        <w:t>disability</w:t>
      </w:r>
      <w:proofErr w:type="gramEnd"/>
      <w:r>
        <w:rPr>
          <w:rFonts w:cstheme="minorHAnsi"/>
          <w:lang w:val="en-US"/>
        </w:rPr>
        <w:t xml:space="preserve"> and other services.</w:t>
      </w:r>
    </w:p>
  </w:footnote>
  <w:footnote w:id="486">
    <w:p w14:paraId="778C74FE" w14:textId="77777777" w:rsidR="00286439" w:rsidRDefault="00286439" w:rsidP="00E20FF1">
      <w:pPr>
        <w:pStyle w:val="NoSpacing"/>
        <w:rPr>
          <w:rFonts w:cstheme="minorHAnsi"/>
        </w:rPr>
      </w:pPr>
      <w:r w:rsidRPr="00E16885">
        <w:rPr>
          <w:rStyle w:val="FootnoteReference"/>
          <w:rFonts w:cstheme="minorHAnsi"/>
          <w:color w:val="25409A" w:themeColor="text2"/>
        </w:rPr>
        <w:footnoteRef/>
      </w:r>
      <w:r w:rsidRPr="00E16885">
        <w:rPr>
          <w:rFonts w:cstheme="minorHAnsi"/>
          <w:color w:val="25409A" w:themeColor="text2"/>
        </w:rPr>
        <w:t xml:space="preserve"> </w:t>
      </w:r>
      <w:hyperlink r:id="rId314" w:anchor="LMS56030" w:history="1">
        <w:r w:rsidRPr="00E16885">
          <w:rPr>
            <w:rStyle w:val="Hyperlink"/>
            <w:rFonts w:cstheme="minorHAnsi"/>
            <w:color w:val="25409A" w:themeColor="text2"/>
          </w:rPr>
          <w:t>https://www.legislation.govt.nz/regulation/public/2018/0111/latest/whole.html#LMS56030</w:t>
        </w:r>
      </w:hyperlink>
    </w:p>
  </w:footnote>
  <w:footnote w:id="487">
    <w:p w14:paraId="6271372C" w14:textId="77777777" w:rsidR="00286439" w:rsidRDefault="00286439" w:rsidP="00E20FF1">
      <w:pPr>
        <w:pStyle w:val="FootnoteText"/>
        <w:rPr>
          <w:rFonts w:asciiTheme="minorHAnsi" w:hAnsiTheme="minorHAnsi" w:cstheme="minorHAnsi"/>
          <w:lang w:val="en-US"/>
        </w:rPr>
      </w:pPr>
      <w:r>
        <w:rPr>
          <w:rStyle w:val="FootnoteReference"/>
          <w:rFonts w:asciiTheme="minorHAnsi" w:hAnsiTheme="minorHAnsi" w:cstheme="minorHAnsi"/>
        </w:rPr>
        <w:footnoteRef/>
      </w:r>
      <w:r>
        <w:rPr>
          <w:rFonts w:asciiTheme="minorHAnsi" w:hAnsiTheme="minorHAnsi" w:cstheme="minorHAnsi"/>
        </w:rPr>
        <w:t xml:space="preserve"> </w:t>
      </w:r>
      <w:hyperlink r:id="rId315" w:history="1">
        <w:r>
          <w:rPr>
            <w:rStyle w:val="Hyperlink"/>
            <w:rFonts w:asciiTheme="minorHAnsi" w:hAnsiTheme="minorHAnsi" w:cstheme="minorHAnsi"/>
          </w:rPr>
          <w:t>https://ero.govt.nz</w:t>
        </w:r>
      </w:hyperlink>
      <w:r>
        <w:rPr>
          <w:rFonts w:asciiTheme="minorHAnsi" w:hAnsiTheme="minorHAnsi" w:cstheme="minorHAnsi"/>
        </w:rPr>
        <w:t xml:space="preserve"> ERO evaluates and reports on the education and care of learners in schools, </w:t>
      </w:r>
      <w:proofErr w:type="spellStart"/>
      <w:r>
        <w:rPr>
          <w:rFonts w:asciiTheme="minorHAnsi" w:hAnsiTheme="minorHAnsi" w:cstheme="minorHAnsi"/>
        </w:rPr>
        <w:t>kura</w:t>
      </w:r>
      <w:proofErr w:type="spellEnd"/>
      <w:r>
        <w:rPr>
          <w:rFonts w:asciiTheme="minorHAnsi" w:hAnsiTheme="minorHAnsi" w:cstheme="minorHAnsi"/>
        </w:rPr>
        <w:t xml:space="preserve">, kohanga reo, </w:t>
      </w:r>
      <w:proofErr w:type="spellStart"/>
      <w:r>
        <w:rPr>
          <w:rFonts w:asciiTheme="minorHAnsi" w:hAnsiTheme="minorHAnsi" w:cstheme="minorHAnsi"/>
        </w:rPr>
        <w:t>puna</w:t>
      </w:r>
      <w:proofErr w:type="spellEnd"/>
      <w:r>
        <w:rPr>
          <w:rFonts w:asciiTheme="minorHAnsi" w:hAnsiTheme="minorHAnsi" w:cstheme="minorHAnsi"/>
        </w:rPr>
        <w:t xml:space="preserve"> reo and early childhood services.</w:t>
      </w:r>
    </w:p>
  </w:footnote>
  <w:footnote w:id="488">
    <w:p w14:paraId="2C5E796A"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w:t>
      </w:r>
      <w:hyperlink r:id="rId316" w:history="1">
        <w:r>
          <w:rPr>
            <w:rStyle w:val="Hyperlink"/>
            <w:rFonts w:asciiTheme="minorHAnsi" w:hAnsiTheme="minorHAnsi" w:cstheme="minorHAnsi"/>
          </w:rPr>
          <w:t>https://www.beehive.govt.nz/release/long-term-home-independent-children’s-monitor-identified</w:t>
        </w:r>
      </w:hyperlink>
      <w:r>
        <w:rPr>
          <w:rFonts w:asciiTheme="minorHAnsi" w:hAnsiTheme="minorHAnsi" w:cstheme="minorHAnsi"/>
        </w:rPr>
        <w:t xml:space="preserve"> </w:t>
      </w:r>
    </w:p>
  </w:footnote>
  <w:footnote w:id="489">
    <w:p w14:paraId="3F649699"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lang w:val="mi-NZ"/>
        </w:rPr>
        <w:t xml:space="preserve">He Purapura Ora, he Māra Tipu: From Redress to Puretumu Torowhānui </w:t>
      </w:r>
      <w:r>
        <w:rPr>
          <w:rFonts w:asciiTheme="minorHAnsi" w:hAnsiTheme="minorHAnsi" w:cstheme="minorHAnsi"/>
          <w:lang w:val="mi-NZ"/>
        </w:rPr>
        <w:t xml:space="preserve">(Royal Commission of Inquiry </w:t>
      </w:r>
      <w:r>
        <w:rPr>
          <w:rFonts w:asciiTheme="minorHAnsi" w:hAnsiTheme="minorHAnsi" w:cstheme="minorHAnsi"/>
        </w:rPr>
        <w:t>into Historical Abuse in State Care and in the Care of Faith-based Institutions</w:t>
      </w:r>
      <w:r>
        <w:rPr>
          <w:rFonts w:asciiTheme="minorHAnsi" w:hAnsiTheme="minorHAnsi" w:cstheme="minorHAnsi"/>
          <w:lang w:val="mi-NZ"/>
        </w:rPr>
        <w:t>, Wellington, 2021).</w:t>
      </w:r>
    </w:p>
  </w:footnote>
  <w:footnote w:id="490">
    <w:p w14:paraId="10F2432D"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mi-NZ"/>
        </w:rPr>
        <w:t>The Children’s Commissioner remains a designated National Preventive Mechanism under OPCAT.</w:t>
      </w:r>
    </w:p>
  </w:footnote>
  <w:footnote w:id="491">
    <w:p w14:paraId="3907D5C9"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For an analysis of the policy process underpinning the Bill see: </w:t>
      </w:r>
      <w:r>
        <w:rPr>
          <w:rFonts w:asciiTheme="minorHAnsi" w:hAnsiTheme="minorHAnsi" w:cstheme="minorHAnsi"/>
          <w:lang w:val="mi-NZ"/>
        </w:rPr>
        <w:t xml:space="preserve">David King and Jonathon Boston </w:t>
      </w:r>
      <w:r>
        <w:rPr>
          <w:rFonts w:asciiTheme="minorHAnsi" w:hAnsiTheme="minorHAnsi" w:cstheme="minorHAnsi"/>
          <w:i/>
          <w:iCs/>
          <w:lang w:val="mi-NZ"/>
        </w:rPr>
        <w:t>Improving a system when young lives are at stake: A public policy analysis of the Oversight of Oranga Tamariki System and Children and Young People’s Commission Bill</w:t>
      </w:r>
      <w:r>
        <w:rPr>
          <w:rFonts w:asciiTheme="minorHAnsi" w:hAnsiTheme="minorHAnsi" w:cstheme="minorHAnsi"/>
          <w:lang w:val="mi-NZ"/>
        </w:rPr>
        <w:t xml:space="preserve"> (27 July 2022): </w:t>
      </w:r>
      <w:hyperlink r:id="rId317" w:history="1">
        <w:r>
          <w:rPr>
            <w:rStyle w:val="Hyperlink"/>
            <w:rFonts w:asciiTheme="minorHAnsi" w:hAnsiTheme="minorHAnsi" w:cstheme="minorHAnsi"/>
            <w:lang w:val="mi-NZ"/>
          </w:rPr>
          <w:t>https://drive.google.com/file/d/1hh6jq9HGa1-oyva6EHV3vRBwvjtXVJvV/view</w:t>
        </w:r>
      </w:hyperlink>
      <w:r>
        <w:rPr>
          <w:rFonts w:asciiTheme="minorHAnsi" w:hAnsiTheme="minorHAnsi" w:cstheme="minorHAnsi"/>
          <w:lang w:val="mi-NZ"/>
        </w:rPr>
        <w:t xml:space="preserve"> </w:t>
      </w:r>
    </w:p>
  </w:footnote>
  <w:footnote w:id="492">
    <w:p w14:paraId="7CA161F3"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Beatie Report (n 2).</w:t>
      </w:r>
    </w:p>
  </w:footnote>
  <w:footnote w:id="493">
    <w:p w14:paraId="563790A0" w14:textId="77777777" w:rsidR="00286439" w:rsidRDefault="00286439" w:rsidP="00E20FF1">
      <w:pPr>
        <w:pStyle w:val="NoSpacing"/>
        <w:rPr>
          <w:rFonts w:cstheme="minorHAnsi"/>
        </w:rPr>
      </w:pPr>
      <w:r>
        <w:rPr>
          <w:rStyle w:val="FootnoteReference"/>
          <w:rFonts w:cstheme="minorHAnsi"/>
        </w:rPr>
        <w:footnoteRef/>
      </w:r>
      <w:r>
        <w:rPr>
          <w:rFonts w:cstheme="minorHAnsi"/>
        </w:rPr>
        <w:t xml:space="preserve"> Such an approach was consistent with the previous ‘vulnerable children’ model, whereby children identified as vulnerable due to involvement in the State care, protection or youth justice systems were referred to Vulnerable Children’s Teams. These teams are now called Children’s Teams and have been transitioned to community providers. </w:t>
      </w:r>
      <w:hyperlink r:id="rId318" w:history="1">
        <w:r>
          <w:rPr>
            <w:rStyle w:val="Hyperlink"/>
            <w:rFonts w:cstheme="minorHAnsi"/>
          </w:rPr>
          <w:t>https://www.orangatamariki.govt.nz/support-for-families/how-we-support-whanau/</w:t>
        </w:r>
      </w:hyperlink>
      <w:r>
        <w:rPr>
          <w:rFonts w:cstheme="minorHAnsi"/>
        </w:rPr>
        <w:t xml:space="preserve"> </w:t>
      </w:r>
    </w:p>
  </w:footnote>
  <w:footnote w:id="494">
    <w:p w14:paraId="2CB432F4"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mi-NZ"/>
        </w:rPr>
        <w:t xml:space="preserve">Office of the Minister for Social Development and Employment </w:t>
      </w:r>
      <w:r>
        <w:rPr>
          <w:rFonts w:asciiTheme="minorHAnsi" w:hAnsiTheme="minorHAnsi" w:cstheme="minorHAnsi"/>
          <w:i/>
          <w:iCs/>
          <w:lang w:val="mi-NZ"/>
        </w:rPr>
        <w:t>Cabinet Paper</w:t>
      </w:r>
      <w:r>
        <w:rPr>
          <w:rFonts w:asciiTheme="minorHAnsi" w:hAnsiTheme="minorHAnsi" w:cstheme="minorHAnsi"/>
          <w:lang w:val="mi-NZ"/>
        </w:rPr>
        <w:t xml:space="preserve"> - </w:t>
      </w:r>
      <w:r>
        <w:rPr>
          <w:rFonts w:asciiTheme="minorHAnsi" w:hAnsiTheme="minorHAnsi" w:cstheme="minorHAnsi"/>
          <w:i/>
          <w:iCs/>
          <w:lang w:val="mi-NZ"/>
        </w:rPr>
        <w:t xml:space="preserve">Oversight of the Oranga Tamariki System and Children and Young People’s Commission Bill – Further Policy Decisions </w:t>
      </w:r>
      <w:r>
        <w:rPr>
          <w:rFonts w:asciiTheme="minorHAnsi" w:hAnsiTheme="minorHAnsi" w:cstheme="minorHAnsi"/>
          <w:lang w:val="mi-NZ"/>
        </w:rPr>
        <w:t xml:space="preserve">(May 2021): </w:t>
      </w:r>
      <w:hyperlink r:id="rId319" w:history="1">
        <w:r>
          <w:rPr>
            <w:rStyle w:val="Hyperlink"/>
            <w:rFonts w:asciiTheme="minorHAnsi" w:hAnsiTheme="minorHAnsi" w:cstheme="minorHAnsi"/>
            <w:lang w:val="mi-NZ"/>
          </w:rPr>
          <w:t>https://www.msd.govt.nz/about-msd-and-our-work/publications-resources/information-releases/cabinet-papers/2021/oversight-of-the-oranga-tamariki-system-and-children-and-young-peoples-commission-bill.html</w:t>
        </w:r>
      </w:hyperlink>
      <w:r>
        <w:rPr>
          <w:rFonts w:asciiTheme="minorHAnsi" w:hAnsiTheme="minorHAnsi" w:cstheme="minorHAnsi"/>
          <w:lang w:val="mi-NZ"/>
        </w:rPr>
        <w:t xml:space="preserve"> </w:t>
      </w:r>
    </w:p>
  </w:footnote>
  <w:footnote w:id="495">
    <w:p w14:paraId="1813728A" w14:textId="77777777" w:rsidR="00286439" w:rsidRDefault="00286439" w:rsidP="00E20FF1">
      <w:pPr>
        <w:spacing w:after="0" w:line="240" w:lineRule="auto"/>
        <w:rPr>
          <w:rFonts w:cstheme="minorHAnsi"/>
          <w:lang w:val="en-NZ" w:eastAsia="en-GB"/>
        </w:rPr>
      </w:pPr>
      <w:r>
        <w:rPr>
          <w:rStyle w:val="FootnoteReference"/>
          <w:rFonts w:cstheme="minorHAnsi"/>
        </w:rPr>
        <w:footnoteRef/>
      </w:r>
      <w:r>
        <w:rPr>
          <w:rFonts w:cstheme="minorHAnsi"/>
        </w:rPr>
        <w:t xml:space="preserve"> </w:t>
      </w:r>
      <w:proofErr w:type="spellStart"/>
      <w:r>
        <w:rPr>
          <w:rFonts w:cstheme="minorHAnsi"/>
          <w:i/>
          <w:iCs/>
          <w:lang w:eastAsia="en-GB"/>
        </w:rPr>
        <w:t>Oranga</w:t>
      </w:r>
      <w:proofErr w:type="spellEnd"/>
      <w:r>
        <w:rPr>
          <w:rFonts w:cstheme="minorHAnsi"/>
          <w:i/>
          <w:iCs/>
          <w:lang w:eastAsia="en-GB"/>
        </w:rPr>
        <w:t xml:space="preserve"> Tamariki Action Plan</w:t>
      </w:r>
      <w:r>
        <w:rPr>
          <w:rFonts w:cstheme="minorHAnsi"/>
          <w:lang w:eastAsia="en-GB"/>
        </w:rPr>
        <w:t xml:space="preserve"> (OT, Wellington, July 2022). </w:t>
      </w:r>
      <w:hyperlink r:id="rId320" w:history="1">
        <w:r>
          <w:rPr>
            <w:rStyle w:val="Hyperlink"/>
            <w:rFonts w:cstheme="minorHAnsi"/>
          </w:rPr>
          <w:t>https://www.orangatamariki.govt.nz/assets/Uploads/About-us/New-ways-of-working/OTAP/Oranga-Tamariki-Action-Plan.pdf</w:t>
        </w:r>
      </w:hyperlink>
    </w:p>
  </w:footnote>
  <w:footnote w:id="496">
    <w:p w14:paraId="3D1DDEF1" w14:textId="77777777" w:rsidR="00286439" w:rsidRDefault="00286439" w:rsidP="00E20FF1">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See Children’s Act 2014, ss 4-5 and ss 7D-13. </w:t>
      </w:r>
    </w:p>
  </w:footnote>
  <w:footnote w:id="497">
    <w:p w14:paraId="3DFE8FFA" w14:textId="77777777" w:rsidR="00286439" w:rsidRDefault="00286439" w:rsidP="00E20FF1">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Oranga Tamariki Action Plan </w:t>
      </w:r>
      <w:r>
        <w:rPr>
          <w:rFonts w:asciiTheme="minorHAnsi" w:hAnsiTheme="minorHAnsi" w:cstheme="minorHAnsi"/>
        </w:rPr>
        <w:t>(n 14)</w:t>
      </w:r>
      <w:r>
        <w:rPr>
          <w:rFonts w:asciiTheme="minorHAnsi" w:hAnsiTheme="minorHAnsi" w:cstheme="minorHAnsi"/>
          <w:i/>
          <w:iCs/>
        </w:rPr>
        <w:t xml:space="preserve">, </w:t>
      </w:r>
      <w:r>
        <w:rPr>
          <w:rFonts w:asciiTheme="minorHAnsi" w:hAnsiTheme="minorHAnsi" w:cstheme="minorHAnsi"/>
        </w:rPr>
        <w:t>title page.</w:t>
      </w:r>
    </w:p>
  </w:footnote>
  <w:footnote w:id="498">
    <w:p w14:paraId="69E64E26" w14:textId="77777777" w:rsidR="00286439" w:rsidRDefault="00286439" w:rsidP="00E20FF1">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Children’s Act 2014, ss 7D.</w:t>
      </w:r>
    </w:p>
  </w:footnote>
  <w:footnote w:id="499">
    <w:p w14:paraId="4350E9F6"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Oranga Tamariki Action Plan </w:t>
      </w:r>
      <w:r>
        <w:rPr>
          <w:rFonts w:asciiTheme="minorHAnsi" w:hAnsiTheme="minorHAnsi" w:cstheme="minorHAnsi"/>
        </w:rPr>
        <w:t>(n 14),</w:t>
      </w:r>
      <w:r>
        <w:rPr>
          <w:rFonts w:asciiTheme="minorHAnsi" w:hAnsiTheme="minorHAnsi" w:cstheme="minorHAnsi"/>
          <w:i/>
          <w:iCs/>
        </w:rPr>
        <w:t xml:space="preserve"> </w:t>
      </w:r>
      <w:r>
        <w:rPr>
          <w:rFonts w:asciiTheme="minorHAnsi" w:hAnsiTheme="minorHAnsi" w:cstheme="minorHAnsi"/>
        </w:rPr>
        <w:t>p. 4.</w:t>
      </w:r>
    </w:p>
  </w:footnote>
  <w:footnote w:id="500">
    <w:p w14:paraId="122C5A43" w14:textId="77777777" w:rsidR="00286439" w:rsidRDefault="00286439" w:rsidP="00E20FF1">
      <w:pPr>
        <w:pStyle w:val="FootnoteText"/>
        <w:rPr>
          <w:rFonts w:asciiTheme="minorHAnsi" w:hAnsiTheme="minorHAnsi" w:cstheme="minorHAnsi"/>
          <w:lang w:val="en-US"/>
        </w:rPr>
      </w:pPr>
      <w:r>
        <w:rPr>
          <w:rStyle w:val="FootnoteReference"/>
          <w:rFonts w:asciiTheme="minorHAnsi" w:hAnsiTheme="minorHAnsi" w:cstheme="minorHAnsi"/>
        </w:rPr>
        <w:footnoteRef/>
      </w:r>
      <w:r>
        <w:rPr>
          <w:rFonts w:asciiTheme="minorHAnsi" w:hAnsiTheme="minorHAnsi" w:cstheme="minorHAnsi"/>
        </w:rPr>
        <w:t xml:space="preserve"> Modernising Child, Youth and Family Expert Panel </w:t>
      </w:r>
      <w:r>
        <w:rPr>
          <w:rFonts w:asciiTheme="minorHAnsi" w:hAnsiTheme="minorHAnsi" w:cstheme="minorHAnsi"/>
          <w:i/>
          <w:iCs/>
        </w:rPr>
        <w:t>Expert Panel Final Report: Investing in New Zealand’s children and their families</w:t>
      </w:r>
      <w:r>
        <w:rPr>
          <w:rFonts w:asciiTheme="minorHAnsi" w:hAnsiTheme="minorHAnsi" w:cstheme="minorHAnsi"/>
        </w:rPr>
        <w:t xml:space="preserve"> (Ministry of Social Development, Wellington, 2015).</w:t>
      </w:r>
    </w:p>
  </w:footnote>
  <w:footnote w:id="501">
    <w:p w14:paraId="4A8F724A"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I </w:t>
      </w:r>
      <w:proofErr w:type="spellStart"/>
      <w:r>
        <w:rPr>
          <w:rFonts w:asciiTheme="minorHAnsi" w:eastAsiaTheme="minorHAnsi" w:hAnsiTheme="minorHAnsi" w:cstheme="minorHAnsi"/>
          <w:color w:val="000000"/>
          <w:lang w:val="en-GB" w:eastAsia="en-US"/>
        </w:rPr>
        <w:t>Hyslop</w:t>
      </w:r>
      <w:proofErr w:type="spellEnd"/>
      <w:r>
        <w:rPr>
          <w:rFonts w:asciiTheme="minorHAnsi" w:eastAsiaTheme="minorHAnsi" w:hAnsiTheme="minorHAnsi" w:cstheme="minorHAnsi"/>
          <w:color w:val="000000"/>
          <w:lang w:val="en-GB" w:eastAsia="en-US"/>
        </w:rPr>
        <w:t xml:space="preserve"> &amp; E </w:t>
      </w:r>
      <w:proofErr w:type="spellStart"/>
      <w:r>
        <w:rPr>
          <w:rFonts w:asciiTheme="minorHAnsi" w:eastAsiaTheme="minorHAnsi" w:hAnsiTheme="minorHAnsi" w:cstheme="minorHAnsi"/>
          <w:color w:val="000000"/>
          <w:lang w:val="en-GB" w:eastAsia="en-US"/>
        </w:rPr>
        <w:t>Keddell</w:t>
      </w:r>
      <w:proofErr w:type="spellEnd"/>
      <w:r>
        <w:rPr>
          <w:rFonts w:asciiTheme="minorHAnsi" w:eastAsiaTheme="minorHAnsi" w:hAnsiTheme="minorHAnsi" w:cstheme="minorHAnsi"/>
          <w:color w:val="000000"/>
          <w:lang w:val="en-GB" w:eastAsia="en-US"/>
        </w:rPr>
        <w:t xml:space="preserve"> (2019) Child protection under National: Reorienting towards genuine social investment or continuing social neglect? </w:t>
      </w:r>
      <w:r>
        <w:rPr>
          <w:rFonts w:asciiTheme="minorHAnsi" w:eastAsiaTheme="minorHAnsi" w:hAnsiTheme="minorHAnsi" w:cstheme="minorHAnsi"/>
          <w:i/>
          <w:iCs/>
          <w:color w:val="000000"/>
          <w:lang w:val="en-GB" w:eastAsia="en-US"/>
        </w:rPr>
        <w:t>New Zealand Sociology, 34</w:t>
      </w:r>
      <w:r>
        <w:rPr>
          <w:rFonts w:asciiTheme="minorHAnsi" w:eastAsiaTheme="minorHAnsi" w:hAnsiTheme="minorHAnsi" w:cstheme="minorHAnsi"/>
          <w:color w:val="000000"/>
          <w:lang w:val="en-GB" w:eastAsia="en-US"/>
        </w:rPr>
        <w:t xml:space="preserve">(2), 93-22. </w:t>
      </w:r>
      <w:hyperlink r:id="rId321" w:history="1">
        <w:r w:rsidRPr="00E16885">
          <w:rPr>
            <w:rStyle w:val="Hyperlink"/>
            <w:rFonts w:asciiTheme="minorHAnsi" w:eastAsiaTheme="minorHAnsi" w:hAnsiTheme="minorHAnsi" w:cstheme="minorHAnsi"/>
            <w:color w:val="25409A" w:themeColor="text2"/>
            <w:lang w:val="en-GB" w:eastAsia="en-US"/>
          </w:rPr>
          <w:t>https://search.ebscohost.com/login.aspx?direct=true&amp;db=anh&amp;AN=140355429&amp;site=ehost-live&amp;scope=site</w:t>
        </w:r>
      </w:hyperlink>
    </w:p>
  </w:footnote>
  <w:footnote w:id="502">
    <w:p w14:paraId="7C205254"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mi-NZ"/>
        </w:rPr>
        <w:t>Government Report, para 14 of consultation draft.</w:t>
      </w:r>
    </w:p>
  </w:footnote>
  <w:footnote w:id="503">
    <w:p w14:paraId="7F034B5C"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mi-NZ"/>
        </w:rPr>
        <w:t>Oranga Tamariki Act 1989, ss 14, 14A and 15.</w:t>
      </w:r>
    </w:p>
  </w:footnote>
  <w:footnote w:id="504">
    <w:p w14:paraId="3C6F0986"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Children, Young Persons, and Their Families Act 1989, s5(a).</w:t>
      </w:r>
    </w:p>
  </w:footnote>
  <w:footnote w:id="505">
    <w:p w14:paraId="0ACD3253" w14:textId="77777777" w:rsidR="00286439" w:rsidRDefault="00286439" w:rsidP="00E20FF1">
      <w:pPr>
        <w:pStyle w:val="FootnoteText"/>
        <w:jc w:val="both"/>
        <w:rPr>
          <w:rFonts w:asciiTheme="minorHAnsi" w:hAnsiTheme="minorHAnsi" w:cstheme="minorHAnsi"/>
          <w:lang w:val="en-NZ"/>
        </w:rPr>
      </w:pPr>
      <w:r>
        <w:rPr>
          <w:rStyle w:val="FootnoteReference"/>
          <w:rFonts w:asciiTheme="minorHAnsi" w:hAnsiTheme="minorHAnsi" w:cstheme="minorHAnsi"/>
        </w:rPr>
        <w:footnoteRef/>
      </w:r>
      <w:r>
        <w:rPr>
          <w:rFonts w:asciiTheme="minorHAnsi" w:hAnsiTheme="minorHAnsi" w:cstheme="minorHAnsi"/>
        </w:rPr>
        <w:t xml:space="preserve"> Māori Perspective Advisory Committee </w:t>
      </w:r>
      <w:proofErr w:type="spellStart"/>
      <w:r>
        <w:rPr>
          <w:rFonts w:asciiTheme="minorHAnsi" w:hAnsiTheme="minorHAnsi" w:cstheme="minorHAnsi"/>
          <w:i/>
        </w:rPr>
        <w:t>Puao</w:t>
      </w:r>
      <w:proofErr w:type="spellEnd"/>
      <w:r>
        <w:rPr>
          <w:rFonts w:asciiTheme="minorHAnsi" w:hAnsiTheme="minorHAnsi" w:cstheme="minorHAnsi"/>
          <w:i/>
        </w:rPr>
        <w:t>-</w:t>
      </w:r>
      <w:proofErr w:type="spellStart"/>
      <w:r>
        <w:rPr>
          <w:rFonts w:asciiTheme="minorHAnsi" w:hAnsiTheme="minorHAnsi" w:cstheme="minorHAnsi"/>
          <w:i/>
        </w:rPr>
        <w:t>Te</w:t>
      </w:r>
      <w:proofErr w:type="spellEnd"/>
      <w:r>
        <w:rPr>
          <w:rFonts w:asciiTheme="minorHAnsi" w:hAnsiTheme="minorHAnsi" w:cstheme="minorHAnsi"/>
          <w:i/>
        </w:rPr>
        <w:t xml:space="preserve">-Ata-Tu </w:t>
      </w:r>
      <w:r>
        <w:rPr>
          <w:rFonts w:asciiTheme="minorHAnsi" w:hAnsiTheme="minorHAnsi" w:cstheme="minorHAnsi"/>
        </w:rPr>
        <w:t xml:space="preserve">(Department of Social Welfare, Wellington, 1988). </w:t>
      </w:r>
    </w:p>
  </w:footnote>
  <w:footnote w:id="506">
    <w:p w14:paraId="7D10490E"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color w:val="000000"/>
          <w:shd w:val="clear" w:color="auto" w:fill="FFFFFF"/>
        </w:rPr>
        <w:t>Wellbeing includes ‘welfare’ but is not otherwise defined, suggesting it is more than welfare – protection from abuse and neglect.</w:t>
      </w:r>
    </w:p>
  </w:footnote>
  <w:footnote w:id="507">
    <w:p w14:paraId="74CF930C" w14:textId="77777777" w:rsidR="00286439" w:rsidRDefault="00286439" w:rsidP="00E20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Pr>
          <w:rStyle w:val="FootnoteReference"/>
          <w:rFonts w:cstheme="minorHAnsi"/>
        </w:rPr>
        <w:footnoteRef/>
      </w:r>
      <w:r>
        <w:rPr>
          <w:rFonts w:cstheme="minorHAnsi"/>
        </w:rPr>
        <w:t xml:space="preserve"> </w:t>
      </w:r>
      <w:r>
        <w:rPr>
          <w:rFonts w:cstheme="minorHAnsi"/>
          <w:lang w:val="en-US"/>
        </w:rPr>
        <w:t xml:space="preserve">See </w:t>
      </w:r>
      <w:hyperlink r:id="rId322" w:history="1">
        <w:r>
          <w:rPr>
            <w:rStyle w:val="Hyperlink"/>
            <w:rFonts w:cstheme="minorHAnsi"/>
            <w:lang w:val="en-US"/>
          </w:rPr>
          <w:t>https://www.orangatamariki.govt.nz/assets/Uploads/About-us/Research/Data-analytics-and-insights/Babies-Entering-Oranga-Tamariki-Care.pdf</w:t>
        </w:r>
      </w:hyperlink>
      <w:r>
        <w:rPr>
          <w:rFonts w:cstheme="minorHAnsi"/>
          <w:lang w:val="en-US"/>
        </w:rPr>
        <w:t xml:space="preserve">; E </w:t>
      </w:r>
      <w:proofErr w:type="spellStart"/>
      <w:r>
        <w:rPr>
          <w:rFonts w:cstheme="minorHAnsi"/>
          <w:color w:val="000000"/>
        </w:rPr>
        <w:t>Keddell</w:t>
      </w:r>
      <w:proofErr w:type="spellEnd"/>
      <w:r>
        <w:rPr>
          <w:rFonts w:cstheme="minorHAnsi"/>
          <w:color w:val="000000"/>
        </w:rPr>
        <w:t xml:space="preserve"> (2019) Harm, care and babies: An inequalities and policy discourse perspective on recent child protection trends in Aotearoa New Zealand, </w:t>
      </w:r>
      <w:r>
        <w:rPr>
          <w:rFonts w:cstheme="minorHAnsi"/>
          <w:i/>
          <w:iCs/>
          <w:color w:val="000000"/>
        </w:rPr>
        <w:t>Aotearoa New Zealand Social Work</w:t>
      </w:r>
      <w:r>
        <w:rPr>
          <w:rFonts w:cstheme="minorHAnsi"/>
          <w:color w:val="000000"/>
        </w:rPr>
        <w:t xml:space="preserve">, </w:t>
      </w:r>
      <w:r>
        <w:rPr>
          <w:rFonts w:cstheme="minorHAnsi"/>
          <w:i/>
          <w:iCs/>
          <w:color w:val="000000"/>
        </w:rPr>
        <w:t>31</w:t>
      </w:r>
      <w:r>
        <w:rPr>
          <w:rFonts w:cstheme="minorHAnsi"/>
          <w:color w:val="000000"/>
        </w:rPr>
        <w:t xml:space="preserve">(4), 17. </w:t>
      </w:r>
      <w:hyperlink r:id="rId323" w:history="1">
        <w:r w:rsidRPr="00E16885">
          <w:rPr>
            <w:rStyle w:val="Hyperlink"/>
            <w:rFonts w:cstheme="minorHAnsi"/>
            <w:color w:val="25409A" w:themeColor="text2"/>
          </w:rPr>
          <w:t>https://doi.org/10.11157/anzswj-vol31iss4id668</w:t>
        </w:r>
      </w:hyperlink>
    </w:p>
  </w:footnote>
  <w:footnote w:id="508">
    <w:p w14:paraId="5A492207"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E </w:t>
      </w:r>
      <w:proofErr w:type="spellStart"/>
      <w:r>
        <w:rPr>
          <w:rFonts w:asciiTheme="minorHAnsi" w:eastAsiaTheme="minorHAnsi" w:hAnsiTheme="minorHAnsi" w:cstheme="minorHAnsi"/>
          <w:color w:val="000000"/>
          <w:lang w:val="en-GB" w:eastAsia="en-US"/>
        </w:rPr>
        <w:t>Keddell</w:t>
      </w:r>
      <w:proofErr w:type="spellEnd"/>
      <w:r>
        <w:rPr>
          <w:rFonts w:asciiTheme="minorHAnsi" w:eastAsiaTheme="minorHAnsi" w:hAnsiTheme="minorHAnsi" w:cstheme="minorHAnsi"/>
          <w:color w:val="000000"/>
          <w:lang w:val="en-GB" w:eastAsia="en-US"/>
        </w:rPr>
        <w:t xml:space="preserve">, L Fitzmaurice, K Cleaver &amp; D Exeter (2022) A fight for legitimacy: Reflections on child protection reform, the reduction of baby removals, and child protection decision-making in Aotearoa New Zealand. </w:t>
      </w:r>
      <w:proofErr w:type="spellStart"/>
      <w:r>
        <w:rPr>
          <w:rFonts w:asciiTheme="minorHAnsi" w:eastAsiaTheme="minorHAnsi" w:hAnsiTheme="minorHAnsi" w:cstheme="minorHAnsi"/>
          <w:i/>
          <w:iCs/>
          <w:color w:val="000000"/>
          <w:lang w:val="en-GB" w:eastAsia="en-US"/>
        </w:rPr>
        <w:t>Kōtuitui</w:t>
      </w:r>
      <w:proofErr w:type="spellEnd"/>
      <w:r>
        <w:rPr>
          <w:rFonts w:asciiTheme="minorHAnsi" w:eastAsiaTheme="minorHAnsi" w:hAnsiTheme="minorHAnsi" w:cstheme="minorHAnsi"/>
          <w:i/>
          <w:iCs/>
          <w:color w:val="000000"/>
          <w:lang w:val="en-GB" w:eastAsia="en-US"/>
        </w:rPr>
        <w:t>: New Zealand Journal of Social Sciences Online</w:t>
      </w:r>
      <w:r>
        <w:rPr>
          <w:rFonts w:asciiTheme="minorHAnsi" w:eastAsiaTheme="minorHAnsi" w:hAnsiTheme="minorHAnsi" w:cstheme="minorHAnsi"/>
          <w:color w:val="000000"/>
          <w:lang w:val="en-GB" w:eastAsia="en-US"/>
        </w:rPr>
        <w:t xml:space="preserve">, 1-27. </w:t>
      </w:r>
      <w:hyperlink r:id="rId324" w:history="1">
        <w:r w:rsidRPr="00E16885">
          <w:rPr>
            <w:rStyle w:val="Hyperlink"/>
            <w:rFonts w:asciiTheme="minorHAnsi" w:eastAsiaTheme="minorHAnsi" w:hAnsiTheme="minorHAnsi" w:cstheme="minorHAnsi"/>
            <w:color w:val="25409A" w:themeColor="text2"/>
            <w:lang w:val="en-GB" w:eastAsia="en-US"/>
          </w:rPr>
          <w:t>https://doi.org/10.1080/1177083X.2021.2012490</w:t>
        </w:r>
      </w:hyperlink>
      <w:r w:rsidRPr="00E16885">
        <w:rPr>
          <w:rFonts w:asciiTheme="minorHAnsi" w:eastAsiaTheme="minorHAnsi" w:hAnsiTheme="minorHAnsi" w:cstheme="minorHAnsi"/>
          <w:color w:val="25409A" w:themeColor="text2"/>
          <w:lang w:val="en-GB" w:eastAsia="en-US"/>
        </w:rPr>
        <w:t xml:space="preserve"> </w:t>
      </w:r>
      <w:r>
        <w:rPr>
          <w:rFonts w:asciiTheme="minorHAnsi" w:eastAsiaTheme="minorHAnsi" w:hAnsiTheme="minorHAnsi" w:cstheme="minorHAnsi"/>
          <w:color w:val="000000"/>
          <w:lang w:val="en-GB" w:eastAsia="en-US"/>
        </w:rPr>
        <w:t>See Figures 3 and 4.</w:t>
      </w:r>
    </w:p>
  </w:footnote>
  <w:footnote w:id="509">
    <w:p w14:paraId="42AB4B52"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Oranga Tamariki Act 1989, s 5(1)(c)(v).</w:t>
      </w:r>
    </w:p>
  </w:footnote>
  <w:footnote w:id="510">
    <w:p w14:paraId="40756E64" w14:textId="77777777" w:rsidR="00286439" w:rsidRDefault="00286439" w:rsidP="00E20FF1">
      <w:pPr>
        <w:spacing w:after="0" w:line="240" w:lineRule="auto"/>
        <w:jc w:val="both"/>
        <w:rPr>
          <w:rFonts w:cstheme="minorHAnsi"/>
          <w:lang w:val="en-NZ"/>
        </w:rPr>
      </w:pPr>
      <w:r>
        <w:rPr>
          <w:rStyle w:val="FootnoteReference"/>
          <w:rFonts w:cstheme="minorHAnsi"/>
        </w:rPr>
        <w:footnoteRef/>
      </w:r>
      <w:r>
        <w:rPr>
          <w:rFonts w:cstheme="minorHAnsi"/>
        </w:rPr>
        <w:t xml:space="preserve"> </w:t>
      </w:r>
      <w:r>
        <w:rPr>
          <w:rFonts w:cstheme="minorHAnsi"/>
          <w:iCs/>
        </w:rPr>
        <w:t xml:space="preserve">Office of the Children’s Commissioner </w:t>
      </w:r>
      <w:proofErr w:type="spellStart"/>
      <w:r>
        <w:rPr>
          <w:rFonts w:cstheme="minorHAnsi"/>
          <w:i/>
        </w:rPr>
        <w:t>Te</w:t>
      </w:r>
      <w:proofErr w:type="spellEnd"/>
      <w:r>
        <w:rPr>
          <w:rFonts w:cstheme="minorHAnsi"/>
          <w:i/>
        </w:rPr>
        <w:t xml:space="preserve"> Kuku O </w:t>
      </w:r>
      <w:proofErr w:type="spellStart"/>
      <w:r>
        <w:rPr>
          <w:rFonts w:cstheme="minorHAnsi"/>
          <w:i/>
        </w:rPr>
        <w:t>Te</w:t>
      </w:r>
      <w:proofErr w:type="spellEnd"/>
      <w:r>
        <w:rPr>
          <w:rFonts w:cstheme="minorHAnsi"/>
          <w:i/>
        </w:rPr>
        <w:t xml:space="preserve"> Manawa — Moe </w:t>
      </w:r>
      <w:proofErr w:type="spellStart"/>
      <w:r>
        <w:rPr>
          <w:rFonts w:cstheme="minorHAnsi"/>
          <w:i/>
        </w:rPr>
        <w:t>ararā</w:t>
      </w:r>
      <w:proofErr w:type="spellEnd"/>
      <w:r>
        <w:rPr>
          <w:rFonts w:cstheme="minorHAnsi"/>
          <w:i/>
        </w:rPr>
        <w:t xml:space="preserve">! </w:t>
      </w:r>
      <w:proofErr w:type="spellStart"/>
      <w:r>
        <w:rPr>
          <w:rFonts w:cstheme="minorHAnsi"/>
          <w:i/>
        </w:rPr>
        <w:t>Haumanutia</w:t>
      </w:r>
      <w:proofErr w:type="spellEnd"/>
      <w:r>
        <w:rPr>
          <w:rFonts w:cstheme="minorHAnsi"/>
          <w:i/>
        </w:rPr>
        <w:t xml:space="preserve"> </w:t>
      </w:r>
      <w:proofErr w:type="spellStart"/>
      <w:r>
        <w:rPr>
          <w:rFonts w:cstheme="minorHAnsi"/>
          <w:i/>
        </w:rPr>
        <w:t>mgā</w:t>
      </w:r>
      <w:proofErr w:type="spellEnd"/>
      <w:r>
        <w:rPr>
          <w:rFonts w:cstheme="minorHAnsi"/>
          <w:i/>
        </w:rPr>
        <w:t xml:space="preserve"> </w:t>
      </w:r>
      <w:proofErr w:type="spellStart"/>
      <w:r>
        <w:rPr>
          <w:rFonts w:cstheme="minorHAnsi"/>
          <w:i/>
        </w:rPr>
        <w:t>moemoeā</w:t>
      </w:r>
      <w:proofErr w:type="spellEnd"/>
      <w:r>
        <w:rPr>
          <w:rFonts w:cstheme="minorHAnsi"/>
          <w:i/>
        </w:rPr>
        <w:t xml:space="preserve"> a </w:t>
      </w:r>
      <w:proofErr w:type="spellStart"/>
      <w:r>
        <w:rPr>
          <w:rFonts w:cstheme="minorHAnsi"/>
          <w:i/>
        </w:rPr>
        <w:t>ngā</w:t>
      </w:r>
      <w:proofErr w:type="spellEnd"/>
      <w:r>
        <w:rPr>
          <w:rFonts w:cstheme="minorHAnsi"/>
          <w:i/>
        </w:rPr>
        <w:t xml:space="preserve"> </w:t>
      </w:r>
      <w:proofErr w:type="spellStart"/>
      <w:r>
        <w:rPr>
          <w:rFonts w:cstheme="minorHAnsi"/>
          <w:i/>
        </w:rPr>
        <w:t>tūpuna</w:t>
      </w:r>
      <w:proofErr w:type="spellEnd"/>
      <w:r>
        <w:rPr>
          <w:rFonts w:cstheme="minorHAnsi"/>
          <w:i/>
        </w:rPr>
        <w:t xml:space="preserve"> </w:t>
      </w:r>
      <w:proofErr w:type="spellStart"/>
      <w:r>
        <w:rPr>
          <w:rFonts w:cstheme="minorHAnsi"/>
          <w:i/>
        </w:rPr>
        <w:t>mō</w:t>
      </w:r>
      <w:proofErr w:type="spellEnd"/>
      <w:r>
        <w:rPr>
          <w:rFonts w:cstheme="minorHAnsi"/>
          <w:i/>
        </w:rPr>
        <w:t xml:space="preserve"> </w:t>
      </w:r>
      <w:proofErr w:type="spellStart"/>
      <w:r>
        <w:rPr>
          <w:rFonts w:cstheme="minorHAnsi"/>
          <w:i/>
        </w:rPr>
        <w:t>te</w:t>
      </w:r>
      <w:proofErr w:type="spellEnd"/>
      <w:r>
        <w:rPr>
          <w:rFonts w:cstheme="minorHAnsi"/>
          <w:i/>
        </w:rPr>
        <w:t xml:space="preserve"> </w:t>
      </w:r>
      <w:proofErr w:type="spellStart"/>
      <w:r>
        <w:rPr>
          <w:rFonts w:cstheme="minorHAnsi"/>
          <w:i/>
        </w:rPr>
        <w:t>oranga</w:t>
      </w:r>
      <w:proofErr w:type="spellEnd"/>
      <w:r>
        <w:rPr>
          <w:rFonts w:cstheme="minorHAnsi"/>
          <w:i/>
        </w:rPr>
        <w:t xml:space="preserve"> o </w:t>
      </w:r>
      <w:proofErr w:type="spellStart"/>
      <w:r>
        <w:rPr>
          <w:rFonts w:cstheme="minorHAnsi"/>
          <w:i/>
        </w:rPr>
        <w:t>ngā</w:t>
      </w:r>
      <w:proofErr w:type="spellEnd"/>
      <w:r>
        <w:rPr>
          <w:rFonts w:cstheme="minorHAnsi"/>
          <w:i/>
        </w:rPr>
        <w:t xml:space="preserve"> Tamariki</w:t>
      </w:r>
      <w:r>
        <w:rPr>
          <w:rFonts w:cstheme="minorHAnsi"/>
        </w:rPr>
        <w:t xml:space="preserve"> (Final Report, OCC, Wellington, 23 November 2020).</w:t>
      </w:r>
    </w:p>
  </w:footnote>
  <w:footnote w:id="511">
    <w:p w14:paraId="7418D7DA" w14:textId="77777777" w:rsidR="00286439" w:rsidRDefault="00286439" w:rsidP="00E20FF1">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proofErr w:type="spellStart"/>
      <w:r>
        <w:rPr>
          <w:rFonts w:asciiTheme="minorHAnsi" w:hAnsiTheme="minorHAnsi" w:cstheme="minorHAnsi"/>
        </w:rPr>
        <w:t>Whānau</w:t>
      </w:r>
      <w:proofErr w:type="spellEnd"/>
      <w:r>
        <w:rPr>
          <w:rFonts w:asciiTheme="minorHAnsi" w:hAnsiTheme="minorHAnsi" w:cstheme="minorHAnsi"/>
        </w:rPr>
        <w:t xml:space="preserve"> Ora Commissioning Agency (2020)</w:t>
      </w:r>
      <w:r>
        <w:rPr>
          <w:rFonts w:asciiTheme="minorHAnsi" w:hAnsiTheme="minorHAnsi" w:cstheme="minorHAnsi"/>
          <w:b/>
          <w:bCs/>
        </w:rPr>
        <w:t xml:space="preserve"> </w:t>
      </w:r>
      <w:r>
        <w:rPr>
          <w:rFonts w:asciiTheme="minorHAnsi" w:hAnsiTheme="minorHAnsi" w:cstheme="minorHAnsi"/>
          <w:i/>
          <w:iCs/>
        </w:rPr>
        <w:t xml:space="preserve">Ko </w:t>
      </w:r>
      <w:proofErr w:type="spellStart"/>
      <w:r>
        <w:rPr>
          <w:rFonts w:asciiTheme="minorHAnsi" w:hAnsiTheme="minorHAnsi" w:cstheme="minorHAnsi"/>
          <w:i/>
          <w:iCs/>
        </w:rPr>
        <w:t>Te</w:t>
      </w:r>
      <w:proofErr w:type="spellEnd"/>
      <w:r>
        <w:rPr>
          <w:rFonts w:asciiTheme="minorHAnsi" w:hAnsiTheme="minorHAnsi" w:cstheme="minorHAnsi"/>
          <w:i/>
          <w:iCs/>
        </w:rPr>
        <w:t xml:space="preserve"> </w:t>
      </w:r>
      <w:proofErr w:type="spellStart"/>
      <w:r>
        <w:rPr>
          <w:rFonts w:asciiTheme="minorHAnsi" w:hAnsiTheme="minorHAnsi" w:cstheme="minorHAnsi"/>
          <w:i/>
          <w:iCs/>
        </w:rPr>
        <w:t>Wā</w:t>
      </w:r>
      <w:proofErr w:type="spellEnd"/>
      <w:r>
        <w:rPr>
          <w:rFonts w:asciiTheme="minorHAnsi" w:hAnsiTheme="minorHAnsi" w:cstheme="minorHAnsi"/>
          <w:i/>
          <w:iCs/>
        </w:rPr>
        <w:t xml:space="preserve"> </w:t>
      </w:r>
      <w:proofErr w:type="spellStart"/>
      <w:r>
        <w:rPr>
          <w:rFonts w:asciiTheme="minorHAnsi" w:hAnsiTheme="minorHAnsi" w:cstheme="minorHAnsi"/>
          <w:i/>
          <w:iCs/>
        </w:rPr>
        <w:t>Whakawhiti</w:t>
      </w:r>
      <w:proofErr w:type="spellEnd"/>
      <w:r>
        <w:rPr>
          <w:rFonts w:asciiTheme="minorHAnsi" w:hAnsiTheme="minorHAnsi" w:cstheme="minorHAnsi"/>
          <w:i/>
          <w:iCs/>
        </w:rPr>
        <w:t>, It’s Time for Change: A Māori Inquiry into OT</w:t>
      </w:r>
      <w:r>
        <w:rPr>
          <w:rFonts w:asciiTheme="minorHAnsi" w:hAnsiTheme="minorHAnsi" w:cstheme="minorHAnsi"/>
        </w:rPr>
        <w:t>.</w:t>
      </w:r>
    </w:p>
  </w:footnote>
  <w:footnote w:id="512">
    <w:p w14:paraId="781DCB1D" w14:textId="77777777" w:rsidR="00286439" w:rsidRDefault="00286439" w:rsidP="00E20FF1">
      <w:pPr>
        <w:pStyle w:val="NormalWeb"/>
        <w:spacing w:before="0" w:beforeAutospacing="0" w:after="0" w:afterAutospacing="0"/>
        <w:rPr>
          <w:rFonts w:asciiTheme="minorHAnsi" w:hAnsiTheme="minorHAnsi" w:cstheme="minorHAnsi"/>
          <w:sz w:val="20"/>
          <w:szCs w:val="20"/>
        </w:rPr>
      </w:pPr>
      <w:r>
        <w:rPr>
          <w:rStyle w:val="FootnoteReference"/>
          <w:rFonts w:asciiTheme="minorHAnsi" w:eastAsiaTheme="majorEastAsia" w:hAnsiTheme="minorHAnsi" w:cstheme="minorHAnsi"/>
        </w:rPr>
        <w:footnoteRef/>
      </w:r>
      <w:r>
        <w:rPr>
          <w:rFonts w:asciiTheme="minorHAnsi" w:hAnsiTheme="minorHAnsi" w:cstheme="minorHAnsi"/>
          <w:sz w:val="20"/>
          <w:szCs w:val="20"/>
        </w:rPr>
        <w:t xml:space="preserve"> Chief Ombudsman </w:t>
      </w:r>
      <w:r>
        <w:rPr>
          <w:rFonts w:asciiTheme="minorHAnsi" w:hAnsiTheme="minorHAnsi" w:cstheme="minorHAnsi"/>
          <w:i/>
          <w:color w:val="000000" w:themeColor="text1"/>
          <w:sz w:val="20"/>
          <w:szCs w:val="20"/>
        </w:rPr>
        <w:t xml:space="preserve">He Take </w:t>
      </w:r>
      <w:proofErr w:type="spellStart"/>
      <w:r>
        <w:rPr>
          <w:rFonts w:asciiTheme="minorHAnsi" w:hAnsiTheme="minorHAnsi" w:cstheme="minorHAnsi"/>
          <w:i/>
          <w:color w:val="000000" w:themeColor="text1"/>
          <w:sz w:val="20"/>
          <w:szCs w:val="20"/>
        </w:rPr>
        <w:t>Kōhukihuki</w:t>
      </w:r>
      <w:proofErr w:type="spellEnd"/>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A Matter of Urgency</w:t>
      </w:r>
      <w:r>
        <w:rPr>
          <w:rFonts w:asciiTheme="minorHAnsi" w:hAnsiTheme="minorHAnsi" w:cstheme="minorHAnsi"/>
          <w:color w:val="000000" w:themeColor="text1"/>
          <w:sz w:val="20"/>
          <w:szCs w:val="20"/>
        </w:rPr>
        <w:t xml:space="preserve"> - </w:t>
      </w:r>
      <w:r>
        <w:rPr>
          <w:rFonts w:asciiTheme="minorHAnsi" w:hAnsiTheme="minorHAnsi" w:cstheme="minorHAnsi"/>
          <w:i/>
          <w:iCs/>
          <w:color w:val="000000" w:themeColor="text1"/>
          <w:sz w:val="20"/>
          <w:szCs w:val="20"/>
        </w:rPr>
        <w:t xml:space="preserve">Investigation report into policies, </w:t>
      </w:r>
      <w:proofErr w:type="gramStart"/>
      <w:r>
        <w:rPr>
          <w:rFonts w:asciiTheme="minorHAnsi" w:hAnsiTheme="minorHAnsi" w:cstheme="minorHAnsi"/>
          <w:i/>
          <w:iCs/>
          <w:color w:val="000000" w:themeColor="text1"/>
          <w:sz w:val="20"/>
          <w:szCs w:val="20"/>
        </w:rPr>
        <w:t>practices</w:t>
      </w:r>
      <w:proofErr w:type="gramEnd"/>
      <w:r>
        <w:rPr>
          <w:rFonts w:asciiTheme="minorHAnsi" w:hAnsiTheme="minorHAnsi" w:cstheme="minorHAnsi"/>
          <w:i/>
          <w:iCs/>
          <w:color w:val="000000" w:themeColor="text1"/>
          <w:sz w:val="20"/>
          <w:szCs w:val="20"/>
        </w:rPr>
        <w:t xml:space="preserve"> and procedures for the removal of newborn </w:t>
      </w:r>
      <w:proofErr w:type="spellStart"/>
      <w:r>
        <w:rPr>
          <w:rFonts w:asciiTheme="minorHAnsi" w:hAnsiTheme="minorHAnsi" w:cstheme="minorHAnsi"/>
          <w:i/>
          <w:iCs/>
          <w:sz w:val="20"/>
          <w:szCs w:val="20"/>
        </w:rPr>
        <w:t>pe</w:t>
      </w:r>
      <w:r>
        <w:rPr>
          <w:rFonts w:ascii="Arial" w:hAnsi="Arial" w:cs="Arial"/>
          <w:i/>
          <w:iCs/>
          <w:sz w:val="20"/>
          <w:szCs w:val="20"/>
        </w:rPr>
        <w:t>̄</w:t>
      </w:r>
      <w:r>
        <w:rPr>
          <w:rFonts w:asciiTheme="minorHAnsi" w:hAnsiTheme="minorHAnsi" w:cstheme="minorHAnsi"/>
          <w:i/>
          <w:iCs/>
          <w:sz w:val="20"/>
          <w:szCs w:val="20"/>
        </w:rPr>
        <w:t>pi</w:t>
      </w:r>
      <w:proofErr w:type="spellEnd"/>
      <w:r>
        <w:rPr>
          <w:rFonts w:asciiTheme="minorHAnsi" w:hAnsiTheme="minorHAnsi" w:cstheme="minorHAnsi"/>
          <w:i/>
          <w:iCs/>
          <w:color w:val="000000" w:themeColor="text1"/>
          <w:sz w:val="20"/>
          <w:szCs w:val="20"/>
        </w:rPr>
        <w:t xml:space="preserve"> by Oranga Tamariki, Ministry for Children</w:t>
      </w:r>
      <w:r>
        <w:rPr>
          <w:rFonts w:asciiTheme="minorHAnsi" w:hAnsiTheme="minorHAnsi" w:cstheme="minorHAnsi"/>
          <w:color w:val="000000" w:themeColor="text1"/>
          <w:sz w:val="20"/>
          <w:szCs w:val="20"/>
        </w:rPr>
        <w:t xml:space="preserve"> (The Office of the Ombudsman, Wellington, 6 August 2020).</w:t>
      </w:r>
    </w:p>
  </w:footnote>
  <w:footnote w:id="513">
    <w:p w14:paraId="2A0620BB" w14:textId="77777777" w:rsidR="00286439" w:rsidRDefault="00286439" w:rsidP="00E20FF1">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Waitangi Tribunal (2021)</w:t>
      </w:r>
      <w:r>
        <w:rPr>
          <w:rFonts w:asciiTheme="minorHAnsi" w:hAnsiTheme="minorHAnsi" w:cstheme="minorHAnsi"/>
          <w:b/>
          <w:bCs/>
        </w:rPr>
        <w:t xml:space="preserve"> </w:t>
      </w:r>
      <w:r>
        <w:rPr>
          <w:rFonts w:asciiTheme="minorHAnsi" w:hAnsiTheme="minorHAnsi" w:cstheme="minorHAnsi"/>
          <w:i/>
          <w:iCs/>
        </w:rPr>
        <w:t xml:space="preserve">He </w:t>
      </w:r>
      <w:proofErr w:type="spellStart"/>
      <w:r>
        <w:rPr>
          <w:rFonts w:asciiTheme="minorHAnsi" w:hAnsiTheme="minorHAnsi" w:cstheme="minorHAnsi"/>
          <w:i/>
          <w:iCs/>
        </w:rPr>
        <w:t>Pāharakeke</w:t>
      </w:r>
      <w:proofErr w:type="spellEnd"/>
      <w:r>
        <w:rPr>
          <w:rFonts w:asciiTheme="minorHAnsi" w:hAnsiTheme="minorHAnsi" w:cstheme="minorHAnsi"/>
          <w:i/>
          <w:iCs/>
        </w:rPr>
        <w:t xml:space="preserve">, He </w:t>
      </w:r>
      <w:proofErr w:type="spellStart"/>
      <w:r>
        <w:rPr>
          <w:rFonts w:asciiTheme="minorHAnsi" w:hAnsiTheme="minorHAnsi" w:cstheme="minorHAnsi"/>
          <w:i/>
          <w:iCs/>
        </w:rPr>
        <w:t>Rito</w:t>
      </w:r>
      <w:proofErr w:type="spellEnd"/>
      <w:r>
        <w:rPr>
          <w:rFonts w:asciiTheme="minorHAnsi" w:hAnsiTheme="minorHAnsi" w:cstheme="minorHAnsi"/>
          <w:i/>
          <w:iCs/>
        </w:rPr>
        <w:t xml:space="preserve"> </w:t>
      </w:r>
      <w:proofErr w:type="spellStart"/>
      <w:r>
        <w:rPr>
          <w:rFonts w:asciiTheme="minorHAnsi" w:hAnsiTheme="minorHAnsi" w:cstheme="minorHAnsi"/>
          <w:i/>
          <w:iCs/>
        </w:rPr>
        <w:t>Whakakīkinga</w:t>
      </w:r>
      <w:proofErr w:type="spellEnd"/>
      <w:r>
        <w:rPr>
          <w:rFonts w:asciiTheme="minorHAnsi" w:hAnsiTheme="minorHAnsi" w:cstheme="minorHAnsi"/>
          <w:i/>
          <w:iCs/>
        </w:rPr>
        <w:t xml:space="preserve"> </w:t>
      </w:r>
      <w:proofErr w:type="spellStart"/>
      <w:r>
        <w:rPr>
          <w:rFonts w:asciiTheme="minorHAnsi" w:hAnsiTheme="minorHAnsi" w:cstheme="minorHAnsi"/>
          <w:i/>
          <w:iCs/>
        </w:rPr>
        <w:t>Whāruarua</w:t>
      </w:r>
      <w:proofErr w:type="spellEnd"/>
      <w:r>
        <w:rPr>
          <w:rFonts w:asciiTheme="minorHAnsi" w:hAnsiTheme="minorHAnsi" w:cstheme="minorHAnsi"/>
          <w:i/>
          <w:iCs/>
        </w:rPr>
        <w:t>: OT Urgent</w:t>
      </w:r>
      <w:r>
        <w:rPr>
          <w:rFonts w:asciiTheme="minorHAnsi" w:hAnsiTheme="minorHAnsi" w:cstheme="minorHAnsi"/>
        </w:rPr>
        <w:t xml:space="preserve"> </w:t>
      </w:r>
      <w:r>
        <w:rPr>
          <w:rFonts w:asciiTheme="minorHAnsi" w:hAnsiTheme="minorHAnsi" w:cstheme="minorHAnsi"/>
          <w:i/>
          <w:iCs/>
        </w:rPr>
        <w:t>Inquiry</w:t>
      </w:r>
    </w:p>
    <w:p w14:paraId="48226FE3" w14:textId="77777777" w:rsidR="00286439" w:rsidRDefault="00286439" w:rsidP="00E20FF1">
      <w:pPr>
        <w:pStyle w:val="FootnoteText"/>
        <w:rPr>
          <w:rFonts w:asciiTheme="minorHAnsi" w:hAnsiTheme="minorHAnsi" w:cstheme="minorHAnsi"/>
          <w:lang w:val="mi-NZ"/>
        </w:rPr>
      </w:pPr>
      <w:r>
        <w:rPr>
          <w:rFonts w:asciiTheme="minorHAnsi" w:hAnsiTheme="minorHAnsi" w:cstheme="minorHAnsi"/>
        </w:rPr>
        <w:t xml:space="preserve"> </w:t>
      </w:r>
      <w:hyperlink r:id="rId325" w:history="1">
        <w:r>
          <w:rPr>
            <w:rStyle w:val="Hyperlink"/>
            <w:rFonts w:asciiTheme="minorHAnsi" w:hAnsiTheme="minorHAnsi" w:cstheme="minorHAnsi"/>
          </w:rPr>
          <w:t>https://www.waitangitribunal.govt.nz/news/tribunal-releases-report-on-oranga-tamariki/</w:t>
        </w:r>
      </w:hyperlink>
      <w:r>
        <w:rPr>
          <w:rFonts w:asciiTheme="minorHAnsi" w:hAnsiTheme="minorHAnsi" w:cstheme="minorHAnsi"/>
        </w:rPr>
        <w:t xml:space="preserve"> </w:t>
      </w:r>
    </w:p>
  </w:footnote>
  <w:footnote w:id="514">
    <w:p w14:paraId="6C2B3C04" w14:textId="77777777" w:rsidR="00286439" w:rsidRDefault="00286439" w:rsidP="00E20FF1">
      <w:pPr>
        <w:pStyle w:val="FootnoteText"/>
        <w:jc w:val="both"/>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lang w:val="mi-NZ"/>
        </w:rPr>
        <w:t xml:space="preserve"> Oranga Tamariki </w:t>
      </w:r>
      <w:r>
        <w:rPr>
          <w:rFonts w:asciiTheme="minorHAnsi" w:hAnsiTheme="minorHAnsi" w:cstheme="minorHAnsi"/>
          <w:i/>
          <w:lang w:val="mi-NZ"/>
        </w:rPr>
        <w:t>Professional Practice Group Practice Review into the Hasting Case</w:t>
      </w:r>
      <w:r>
        <w:rPr>
          <w:rFonts w:asciiTheme="minorHAnsi" w:hAnsiTheme="minorHAnsi" w:cstheme="minorHAnsi"/>
          <w:lang w:val="mi-NZ"/>
        </w:rPr>
        <w:t xml:space="preserve"> (Oranga Tamariki, Wellington, November 2019).</w:t>
      </w:r>
    </w:p>
  </w:footnote>
  <w:footnote w:id="515">
    <w:p w14:paraId="51AA5C83"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mi-NZ"/>
        </w:rPr>
        <w:t xml:space="preserve">See: </w:t>
      </w:r>
      <w:hyperlink r:id="rId326" w:history="1">
        <w:r>
          <w:rPr>
            <w:rStyle w:val="Hyperlink"/>
            <w:rFonts w:asciiTheme="minorHAnsi" w:hAnsiTheme="minorHAnsi" w:cstheme="minorHAnsi"/>
            <w:lang w:val="mi-NZ"/>
          </w:rPr>
          <w:t>https://www.stuff.co.nz/national/300212679/timeline-oranga-tamariki-chief-executive-grainne-moss-road-to-resignation</w:t>
        </w:r>
      </w:hyperlink>
      <w:r>
        <w:rPr>
          <w:rFonts w:asciiTheme="minorHAnsi" w:hAnsiTheme="minorHAnsi" w:cstheme="minorHAnsi"/>
          <w:lang w:val="mi-NZ"/>
        </w:rPr>
        <w:t xml:space="preserve"> </w:t>
      </w:r>
    </w:p>
  </w:footnote>
  <w:footnote w:id="516">
    <w:p w14:paraId="0FABFF8F"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It should be noted that the Chief Executive was appointed to the role from senior positions in the elder care sector, not from a background in child welfare. This seems inconsistent with Government’s priority at the time on improving the State care system for children.</w:t>
      </w:r>
    </w:p>
  </w:footnote>
  <w:footnote w:id="517">
    <w:p w14:paraId="5477CEFD"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mi-NZ"/>
        </w:rPr>
        <w:t xml:space="preserve">See: </w:t>
      </w:r>
      <w:hyperlink r:id="rId327" w:history="1">
        <w:r>
          <w:rPr>
            <w:rStyle w:val="Hyperlink"/>
            <w:rFonts w:asciiTheme="minorHAnsi" w:hAnsiTheme="minorHAnsi" w:cstheme="minorHAnsi"/>
            <w:lang w:val="mi-NZ"/>
          </w:rPr>
          <w:t>https://www.orangatamariki.govt.nz/about-us/reports-and-releases/cabinet-papers/oranga-tamariki-ministerial-advisory-board/</w:t>
        </w:r>
      </w:hyperlink>
      <w:r>
        <w:rPr>
          <w:rFonts w:asciiTheme="minorHAnsi" w:hAnsiTheme="minorHAnsi" w:cstheme="minorHAnsi"/>
          <w:lang w:val="mi-NZ"/>
        </w:rPr>
        <w:t xml:space="preserve"> </w:t>
      </w:r>
    </w:p>
  </w:footnote>
  <w:footnote w:id="518">
    <w:p w14:paraId="134CA90A"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mi-NZ"/>
        </w:rPr>
        <w:t xml:space="preserve">See: </w:t>
      </w:r>
      <w:r>
        <w:fldChar w:fldCharType="begin"/>
      </w:r>
      <w:r>
        <w:instrText xml:space="preserve"> HYPERLINK "https://www.orangatamariki.govt.nz/about-us/performance-and-monitoring/reviews-and-inquiries/ministerial-advisory-board-report/" </w:instrText>
      </w:r>
      <w:r>
        <w:fldChar w:fldCharType="separate"/>
      </w:r>
      <w:r>
        <w:rPr>
          <w:rStyle w:val="Hyperlink"/>
          <w:rFonts w:asciiTheme="minorHAnsi" w:hAnsiTheme="minorHAnsi" w:cstheme="minorHAnsi"/>
          <w:lang w:val="mi-NZ"/>
        </w:rPr>
        <w:t>https://www.orangatamariki.govt.nz/about-us/performance-and-monitoring/reviews-and-inquiries/ministerial-advisory-board-report/</w:t>
      </w:r>
      <w:r>
        <w:rPr>
          <w:rStyle w:val="Hyperlink"/>
          <w:rFonts w:asciiTheme="minorHAnsi" w:hAnsiTheme="minorHAnsi" w:cstheme="minorHAnsi"/>
          <w:lang w:val="mi-NZ"/>
        </w:rPr>
        <w:fldChar w:fldCharType="end"/>
      </w:r>
      <w:r>
        <w:rPr>
          <w:rFonts w:asciiTheme="minorHAnsi" w:hAnsiTheme="minorHAnsi" w:cstheme="minorHAnsi"/>
          <w:lang w:val="mi-NZ"/>
        </w:rPr>
        <w:t xml:space="preserve"> </w:t>
      </w:r>
    </w:p>
  </w:footnote>
  <w:footnote w:id="519">
    <w:p w14:paraId="7EFD9209"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Oranga Tamariki Future Direction Action Plan</w:t>
      </w:r>
      <w:r>
        <w:rPr>
          <w:rFonts w:asciiTheme="minorHAnsi" w:hAnsiTheme="minorHAnsi" w:cstheme="minorHAnsi"/>
        </w:rPr>
        <w:t xml:space="preserve"> (OT, Wellington, September 2021): </w:t>
      </w:r>
      <w:hyperlink r:id="rId328" w:history="1">
        <w:r>
          <w:rPr>
            <w:rStyle w:val="Hyperlink"/>
            <w:rFonts w:asciiTheme="minorHAnsi" w:hAnsiTheme="minorHAnsi" w:cstheme="minorHAnsi"/>
          </w:rPr>
          <w:t>https://www.orangatamariki.govt.nz/about-us/how-we-work/new-ways-of-working/</w:t>
        </w:r>
      </w:hyperlink>
      <w:r>
        <w:rPr>
          <w:rFonts w:asciiTheme="minorHAnsi" w:hAnsiTheme="minorHAnsi" w:cstheme="minorHAnsi"/>
        </w:rPr>
        <w:t xml:space="preserve"> </w:t>
      </w:r>
    </w:p>
  </w:footnote>
  <w:footnote w:id="520">
    <w:p w14:paraId="60D86651" w14:textId="77777777" w:rsidR="00286439" w:rsidRDefault="00286439" w:rsidP="00E20FF1">
      <w:pPr>
        <w:pStyle w:val="NormalWeb"/>
        <w:spacing w:before="0" w:beforeAutospacing="0" w:after="0" w:afterAutospacing="0"/>
        <w:rPr>
          <w:rFonts w:asciiTheme="minorHAnsi" w:hAnsiTheme="minorHAnsi" w:cstheme="minorHAnsi"/>
          <w:i/>
          <w:iCs/>
          <w:sz w:val="20"/>
          <w:szCs w:val="20"/>
          <w:lang w:val="en-NZ"/>
        </w:rPr>
      </w:pPr>
      <w:r>
        <w:rPr>
          <w:rStyle w:val="FootnoteReference"/>
          <w:rFonts w:asciiTheme="minorHAnsi" w:eastAsiaTheme="majorEastAsia" w:hAnsiTheme="minorHAnsi" w:cstheme="minorHAnsi"/>
        </w:rPr>
        <w:footnoteRef/>
      </w:r>
      <w:r>
        <w:rPr>
          <w:rFonts w:asciiTheme="minorHAnsi" w:hAnsiTheme="minorHAnsi" w:cstheme="minorHAnsi"/>
          <w:sz w:val="20"/>
          <w:szCs w:val="20"/>
        </w:rPr>
        <w:t xml:space="preserve"> See, for example, </w:t>
      </w:r>
      <w:hyperlink r:id="rId329" w:history="1">
        <w:r>
          <w:rPr>
            <w:rStyle w:val="Hyperlink"/>
            <w:rFonts w:asciiTheme="minorHAnsi" w:hAnsiTheme="minorHAnsi" w:cstheme="minorHAnsi"/>
            <w:i/>
            <w:iCs/>
            <w:sz w:val="20"/>
            <w:szCs w:val="20"/>
          </w:rPr>
          <w:t>https://www.stuff.co.nz/pou-tiaki/126753087/govt-funds-trailblazer-ngi-tahu-programme-to-keep-mori-kids-out-of-state-care</w:t>
        </w:r>
      </w:hyperlink>
      <w:r>
        <w:rPr>
          <w:rFonts w:asciiTheme="minorHAnsi" w:hAnsiTheme="minorHAnsi" w:cstheme="minorHAnsi"/>
          <w:i/>
          <w:iCs/>
          <w:sz w:val="20"/>
          <w:szCs w:val="20"/>
        </w:rPr>
        <w:t xml:space="preserve"> </w:t>
      </w:r>
    </w:p>
  </w:footnote>
  <w:footnote w:id="521">
    <w:p w14:paraId="68DA25CA"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w:t>
      </w:r>
      <w:hyperlink r:id="rId330" w:history="1">
        <w:r>
          <w:rPr>
            <w:rStyle w:val="Hyperlink"/>
            <w:rFonts w:asciiTheme="minorHAnsi" w:hAnsiTheme="minorHAnsi" w:cstheme="minorHAnsi"/>
          </w:rPr>
          <w:t>https://www.orangatamariki.govt.nz/about-us/how-we-work/strategic-partnerships-with-maori/</w:t>
        </w:r>
      </w:hyperlink>
      <w:r>
        <w:rPr>
          <w:rFonts w:asciiTheme="minorHAnsi" w:hAnsiTheme="minorHAnsi" w:cstheme="minorHAnsi"/>
        </w:rPr>
        <w:t xml:space="preserve"> </w:t>
      </w:r>
    </w:p>
  </w:footnote>
  <w:footnote w:id="522">
    <w:p w14:paraId="13E89399" w14:textId="515B03B9" w:rsidR="00286439" w:rsidRDefault="00286439" w:rsidP="00E20FF1">
      <w:pPr>
        <w:pStyle w:val="NormalWeb"/>
        <w:spacing w:before="0" w:beforeAutospacing="0" w:after="0" w:afterAutospacing="0"/>
        <w:rPr>
          <w:rFonts w:asciiTheme="minorHAnsi" w:hAnsiTheme="minorHAnsi" w:cstheme="minorHAnsi"/>
          <w:sz w:val="20"/>
          <w:szCs w:val="20"/>
          <w:lang w:val="en-NZ"/>
        </w:rPr>
      </w:pPr>
      <w:r>
        <w:rPr>
          <w:rStyle w:val="FootnoteReference"/>
          <w:rFonts w:asciiTheme="minorHAnsi" w:eastAsiaTheme="majorEastAsia" w:hAnsiTheme="minorHAnsi" w:cstheme="minorHAnsi"/>
        </w:rPr>
        <w:footnoteRef/>
      </w:r>
      <w:r>
        <w:rPr>
          <w:rFonts w:asciiTheme="minorHAnsi" w:hAnsiTheme="minorHAnsi" w:cstheme="minorHAnsi"/>
          <w:sz w:val="20"/>
          <w:szCs w:val="20"/>
        </w:rPr>
        <w:t xml:space="preserve"> </w:t>
      </w:r>
      <w:r w:rsidR="006052FF">
        <w:rPr>
          <w:rFonts w:asciiTheme="minorHAnsi" w:hAnsiTheme="minorHAnsi" w:cstheme="minorHAnsi"/>
          <w:sz w:val="20"/>
          <w:szCs w:val="20"/>
        </w:rPr>
        <w:t xml:space="preserve">See </w:t>
      </w:r>
      <w:r>
        <w:rPr>
          <w:rFonts w:asciiTheme="minorHAnsi" w:hAnsiTheme="minorHAnsi" w:cstheme="minorHAnsi"/>
          <w:sz w:val="20"/>
          <w:szCs w:val="20"/>
        </w:rPr>
        <w:t xml:space="preserve">paras </w:t>
      </w:r>
      <w:r w:rsidR="006052FF">
        <w:rPr>
          <w:rFonts w:asciiTheme="minorHAnsi" w:hAnsiTheme="minorHAnsi" w:cstheme="minorHAnsi"/>
          <w:sz w:val="20"/>
          <w:szCs w:val="20"/>
        </w:rPr>
        <w:t xml:space="preserve">134-137 in the body of this report </w:t>
      </w:r>
      <w:r>
        <w:rPr>
          <w:rFonts w:asciiTheme="minorHAnsi" w:hAnsiTheme="minorHAnsi" w:cstheme="minorHAnsi"/>
          <w:sz w:val="20"/>
          <w:szCs w:val="20"/>
        </w:rPr>
        <w:t xml:space="preserve">about </w:t>
      </w:r>
      <w:r w:rsidR="006052FF">
        <w:rPr>
          <w:rFonts w:asciiTheme="minorHAnsi" w:hAnsiTheme="minorHAnsi" w:cstheme="minorHAnsi"/>
          <w:sz w:val="20"/>
          <w:szCs w:val="20"/>
        </w:rPr>
        <w:t xml:space="preserve">that </w:t>
      </w:r>
      <w:r>
        <w:rPr>
          <w:rFonts w:asciiTheme="minorHAnsi" w:hAnsiTheme="minorHAnsi" w:cstheme="minorHAnsi"/>
          <w:sz w:val="20"/>
          <w:szCs w:val="20"/>
        </w:rPr>
        <w:t xml:space="preserve">Royal Commission. </w:t>
      </w:r>
    </w:p>
  </w:footnote>
  <w:footnote w:id="523">
    <w:p w14:paraId="5C73068F" w14:textId="77777777" w:rsidR="00286439" w:rsidRDefault="00286439" w:rsidP="00E20FF1">
      <w:pPr>
        <w:spacing w:after="0" w:line="240" w:lineRule="auto"/>
        <w:rPr>
          <w:rFonts w:cstheme="minorHAnsi"/>
          <w:color w:val="000000"/>
        </w:rPr>
      </w:pPr>
      <w:r>
        <w:rPr>
          <w:rStyle w:val="FootnoteReference"/>
          <w:rFonts w:cstheme="minorHAnsi"/>
        </w:rPr>
        <w:footnoteRef/>
      </w:r>
      <w:r>
        <w:rPr>
          <w:rFonts w:cstheme="minorHAnsi"/>
        </w:rPr>
        <w:t xml:space="preserve"> </w:t>
      </w:r>
      <w:r>
        <w:rPr>
          <w:rFonts w:cstheme="minorHAnsi"/>
          <w:color w:val="000000"/>
        </w:rPr>
        <w:t>The Royal Commission is considering and making findings on “the circumstances that led to individuals being taken into, or placed into care … the factors, including systemic factors, which caused or contributed to abuse… and the lessons learned and what changes were made to prevent and respond to abuse” (clause 31 of the Terms of Reference). In 2021, it made recommendations on redress (</w:t>
      </w:r>
      <w:proofErr w:type="spellStart"/>
      <w:r>
        <w:rPr>
          <w:rFonts w:cstheme="minorHAnsi"/>
          <w:color w:val="000000"/>
        </w:rPr>
        <w:t>see n</w:t>
      </w:r>
      <w:proofErr w:type="spellEnd"/>
      <w:r>
        <w:rPr>
          <w:rFonts w:cstheme="minorHAnsi"/>
          <w:color w:val="000000"/>
        </w:rPr>
        <w:t xml:space="preserve"> 8) and is still to make recommendations in relation to “changes to be made in the future to ensure that the factors that allowed abuse to occur during the relevant period in State care and in faith-based institutions do not persist” (clause 32A, Terms of Reference). Although the scope period ends at 1999, the Royal Commission can consider issues and experiences after 1999 for the purpose of informing any recommendations made under clause 32A (clause 15A, </w:t>
      </w:r>
      <w:hyperlink r:id="rId331" w:history="1">
        <w:r>
          <w:rPr>
            <w:rStyle w:val="Hyperlink"/>
            <w:rFonts w:cstheme="minorHAnsi"/>
          </w:rPr>
          <w:t>Terms of Reference</w:t>
        </w:r>
      </w:hyperlink>
      <w:r>
        <w:rPr>
          <w:rFonts w:cstheme="minorHAnsi"/>
          <w:color w:val="000000"/>
        </w:rPr>
        <w:t>).</w:t>
      </w:r>
    </w:p>
  </w:footnote>
  <w:footnote w:id="524">
    <w:p w14:paraId="43CF7BB5" w14:textId="77777777" w:rsidR="00286439" w:rsidRDefault="00286439" w:rsidP="00E20FF1">
      <w:pPr>
        <w:pStyle w:val="FootnoteText"/>
        <w:tabs>
          <w:tab w:val="left" w:pos="800"/>
        </w:tabs>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This point was made eloquently by former Children’s Commissioner, Dr John Angus, in his 2014 submission on ‘More effective Social Services’ to the New Zealand Productivity Commission, where he noted “the hubris of central government, its ministers and senior officials, in thinking that they are at the heart of solving social problems that arise within families and will ultimately be solved within families.”  </w:t>
      </w:r>
      <w:hyperlink r:id="rId332" w:history="1">
        <w:r>
          <w:rPr>
            <w:rStyle w:val="Hyperlink"/>
            <w:rFonts w:asciiTheme="minorHAnsi" w:hAnsiTheme="minorHAnsi" w:cstheme="minorHAnsi"/>
          </w:rPr>
          <w:t>https://www.productivity.govt.nz/assets/Submission-Documents/e56565d613/Sub-109-John-Angus.pdf</w:t>
        </w:r>
      </w:hyperlink>
      <w:r>
        <w:rPr>
          <w:rFonts w:asciiTheme="minorHAnsi" w:hAnsiTheme="minorHAnsi" w:cstheme="minorHAnsi"/>
        </w:rPr>
        <w:t xml:space="preserve"> </w:t>
      </w:r>
    </w:p>
  </w:footnote>
  <w:footnote w:id="525">
    <w:p w14:paraId="09C9ADD7" w14:textId="77777777" w:rsidR="00286439" w:rsidRDefault="00286439" w:rsidP="00E20FF1">
      <w:pPr>
        <w:pStyle w:val="FootnoteText"/>
        <w:rPr>
          <w:rFonts w:asciiTheme="minorHAnsi" w:hAnsiTheme="minorHAnsi" w:cstheme="minorHAnsi"/>
          <w:lang w:val="mi-NZ"/>
        </w:rPr>
      </w:pPr>
      <w:r>
        <w:rPr>
          <w:rStyle w:val="FootnoteReference"/>
          <w:rFonts w:asciiTheme="minorHAnsi" w:hAnsiTheme="minorHAnsi" w:cstheme="minorHAnsi"/>
        </w:rPr>
        <w:footnoteRef/>
      </w:r>
      <w:r>
        <w:rPr>
          <w:rFonts w:asciiTheme="minorHAnsi" w:hAnsiTheme="minorHAnsi" w:cstheme="minorHAnsi"/>
        </w:rPr>
        <w:t xml:space="preserve"> </w:t>
      </w:r>
      <w:hyperlink r:id="rId333" w:history="1">
        <w:r>
          <w:rPr>
            <w:rStyle w:val="Hyperlink"/>
            <w:rFonts w:asciiTheme="minorHAnsi" w:hAnsiTheme="minorHAnsi" w:cstheme="minorHAnsi"/>
          </w:rPr>
          <w:t>https://www.hqsc.govt.nz/assets/Our-work/Mortality-review-committee/FVDRC/Publications-resources/Seventh-report-transcripts/FVDRC-seventh-report-exec-summary-web.pdf</w:t>
        </w:r>
      </w:hyperlink>
      <w:r>
        <w:rPr>
          <w:rFonts w:asciiTheme="minorHAnsi" w:hAnsiTheme="minorHAnsi" w:cstheme="minorHAnsi"/>
        </w:rPr>
        <w:t xml:space="preserve"> </w:t>
      </w:r>
    </w:p>
  </w:footnote>
  <w:footnote w:id="526">
    <w:p w14:paraId="191ED7D7" w14:textId="77777777" w:rsidR="00286439" w:rsidRDefault="00286439" w:rsidP="00E20FF1">
      <w:pPr>
        <w:pStyle w:val="NoSpacing"/>
        <w:rPr>
          <w:rFonts w:cstheme="minorHAnsi"/>
          <w:lang w:val="mi-NZ"/>
        </w:rPr>
      </w:pPr>
      <w:r>
        <w:rPr>
          <w:rStyle w:val="FootnoteReference"/>
          <w:rFonts w:cstheme="minorHAnsi"/>
        </w:rPr>
        <w:footnoteRef/>
      </w:r>
      <w:r>
        <w:rPr>
          <w:rFonts w:cstheme="minorHAnsi"/>
        </w:rPr>
        <w:t xml:space="preserve"> UN </w:t>
      </w:r>
      <w:r>
        <w:rPr>
          <w:rFonts w:cstheme="minorHAnsi"/>
          <w:color w:val="3F3F3F"/>
        </w:rPr>
        <w:t>Committee on the Rights of the Child (2002) </w:t>
      </w:r>
      <w:hyperlink r:id="rId334" w:history="1">
        <w:r>
          <w:rPr>
            <w:rStyle w:val="Hyperlink"/>
            <w:rFonts w:cstheme="minorHAnsi"/>
            <w:color w:val="1B2F73" w:themeColor="text2" w:themeShade="BF"/>
          </w:rPr>
          <w:t>General Comment No. 2: The Role of Independent National Human Rights Institutions in the Promotion and Protection of the Rights of the Child</w:t>
        </w:r>
      </w:hyperlink>
      <w:r>
        <w:rPr>
          <w:rFonts w:cstheme="minorHAnsi"/>
          <w:color w:val="1B2F73" w:themeColor="text2" w:themeShade="B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A752" w14:textId="186003CA" w:rsidR="00BB50A4" w:rsidRDefault="00BB50A4" w:rsidP="00BB50A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8EB1" w14:textId="6E758DC9" w:rsidR="00351210" w:rsidRDefault="00351210" w:rsidP="008310B1">
    <w:pPr>
      <w:pStyle w:val="Header"/>
    </w:pPr>
    <w:r>
      <w:rPr>
        <w:noProof/>
      </w:rPr>
      <mc:AlternateContent>
        <mc:Choice Requires="wps">
          <w:drawing>
            <wp:anchor distT="0" distB="0" distL="114300" distR="114300" simplePos="0" relativeHeight="251662336" behindDoc="1" locked="0" layoutInCell="1" allowOverlap="1" wp14:anchorId="35A621B0" wp14:editId="7521DDEE">
              <wp:simplePos x="0" y="0"/>
              <wp:positionH relativeFrom="column">
                <wp:posOffset>-1028700</wp:posOffset>
              </wp:positionH>
              <wp:positionV relativeFrom="paragraph">
                <wp:posOffset>-497840</wp:posOffset>
              </wp:positionV>
              <wp:extent cx="7953375" cy="10791825"/>
              <wp:effectExtent l="0" t="0" r="0" b="3175"/>
              <wp:wrapNone/>
              <wp:docPr id="3" name="Rectangle 3"/>
              <wp:cNvGraphicFramePr/>
              <a:graphic xmlns:a="http://schemas.openxmlformats.org/drawingml/2006/main">
                <a:graphicData uri="http://schemas.microsoft.com/office/word/2010/wordprocessingShape">
                  <wps:wsp>
                    <wps:cNvSpPr/>
                    <wps:spPr>
                      <a:xfrm>
                        <a:off x="0" y="0"/>
                        <a:ext cx="7953375" cy="107918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3A775" id="Rectangle 3" o:spid="_x0000_s1026" style="position:absolute;margin-left:-81pt;margin-top:-39.2pt;width:626.25pt;height:84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" fillcolor="#25409a [3215]" stroked="f" strokeweight="1pt"/>
          </w:pict>
        </mc:Fallback>
      </mc:AlternateContent>
    </w:r>
    <w:r>
      <w:rPr>
        <w:noProof/>
      </w:rPr>
      <w:drawing>
        <wp:anchor distT="0" distB="0" distL="114300" distR="114300" simplePos="0" relativeHeight="251664384" behindDoc="1" locked="0" layoutInCell="1" allowOverlap="1" wp14:anchorId="3D7BDFBD" wp14:editId="2ECD5A19">
          <wp:simplePos x="0" y="0"/>
          <wp:positionH relativeFrom="column">
            <wp:posOffset>428625</wp:posOffset>
          </wp:positionH>
          <wp:positionV relativeFrom="paragraph">
            <wp:posOffset>1628140</wp:posOffset>
          </wp:positionV>
          <wp:extent cx="5143500" cy="1689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_Childrens Rights Alliance White.png"/>
                  <pic:cNvPicPr/>
                </pic:nvPicPr>
                <pic:blipFill>
                  <a:blip r:embed="rId1">
                    <a:extLst>
                      <a:ext uri="{28A0092B-C50C-407E-A947-70E740481C1C}">
                        <a14:useLocalDpi xmlns:a14="http://schemas.microsoft.com/office/drawing/2010/main" val="0"/>
                      </a:ext>
                    </a:extLst>
                  </a:blip>
                  <a:stretch>
                    <a:fillRect/>
                  </a:stretch>
                </pic:blipFill>
                <pic:spPr>
                  <a:xfrm>
                    <a:off x="0" y="0"/>
                    <a:ext cx="5143500" cy="168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A0D"/>
    <w:multiLevelType w:val="hybridMultilevel"/>
    <w:tmpl w:val="9902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57485"/>
    <w:multiLevelType w:val="hybridMultilevel"/>
    <w:tmpl w:val="8D0A1A8C"/>
    <w:lvl w:ilvl="0" w:tplc="1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9F793F"/>
    <w:multiLevelType w:val="hybridMultilevel"/>
    <w:tmpl w:val="91B6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A316E"/>
    <w:multiLevelType w:val="hybridMultilevel"/>
    <w:tmpl w:val="FCA4D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D6B1D"/>
    <w:multiLevelType w:val="hybridMultilevel"/>
    <w:tmpl w:val="25B046A2"/>
    <w:lvl w:ilvl="0" w:tplc="3D181784">
      <w:start w:val="1"/>
      <w:numFmt w:val="decimal"/>
      <w:lvlText w:val="%1."/>
      <w:lvlJc w:val="left"/>
      <w:pPr>
        <w:ind w:left="720" w:hanging="360"/>
      </w:pPr>
      <w:rPr>
        <w:i w:val="0"/>
        <w:iCs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73C1286"/>
    <w:multiLevelType w:val="hybridMultilevel"/>
    <w:tmpl w:val="0BC873CE"/>
    <w:lvl w:ilvl="0" w:tplc="F9E2F330">
      <w:numFmt w:val="bullet"/>
      <w:lvlText w:val="-"/>
      <w:lvlJc w:val="left"/>
      <w:pPr>
        <w:ind w:left="1080" w:hanging="360"/>
      </w:pPr>
      <w:rPr>
        <w:rFonts w:ascii="Verdana" w:eastAsiaTheme="minorHAnsi" w:hAnsi="Verdana"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A5E2EAC"/>
    <w:multiLevelType w:val="hybridMultilevel"/>
    <w:tmpl w:val="7EA26968"/>
    <w:lvl w:ilvl="0" w:tplc="F092CEB6">
      <w:numFmt w:val="bullet"/>
      <w:lvlText w:val="-"/>
      <w:lvlJc w:val="left"/>
      <w:pPr>
        <w:ind w:left="1080" w:hanging="360"/>
      </w:pPr>
      <w:rPr>
        <w:rFonts w:ascii="Verdana" w:eastAsiaTheme="minorHAnsi" w:hAnsi="Verdana" w:cstheme="minorBidi"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A765898"/>
    <w:multiLevelType w:val="hybridMultilevel"/>
    <w:tmpl w:val="27A4073E"/>
    <w:lvl w:ilvl="0" w:tplc="08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B6F1D41"/>
    <w:multiLevelType w:val="hybridMultilevel"/>
    <w:tmpl w:val="11C28E56"/>
    <w:lvl w:ilvl="0" w:tplc="08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1D086EE9"/>
    <w:multiLevelType w:val="hybridMultilevel"/>
    <w:tmpl w:val="D470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43D67"/>
    <w:multiLevelType w:val="hybridMultilevel"/>
    <w:tmpl w:val="8E2CD80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1EEE54D9"/>
    <w:multiLevelType w:val="hybridMultilevel"/>
    <w:tmpl w:val="ABC66AF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210F0290"/>
    <w:multiLevelType w:val="hybridMultilevel"/>
    <w:tmpl w:val="C2E08526"/>
    <w:lvl w:ilvl="0" w:tplc="F092CEB6">
      <w:numFmt w:val="bullet"/>
      <w:lvlText w:val="-"/>
      <w:lvlJc w:val="left"/>
      <w:pPr>
        <w:ind w:left="1080" w:hanging="360"/>
      </w:pPr>
      <w:rPr>
        <w:rFonts w:ascii="Verdana" w:eastAsiaTheme="minorHAnsi" w:hAnsi="Verdana"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38D212C"/>
    <w:multiLevelType w:val="hybridMultilevel"/>
    <w:tmpl w:val="9B74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063AD"/>
    <w:multiLevelType w:val="hybridMultilevel"/>
    <w:tmpl w:val="5276F52A"/>
    <w:lvl w:ilvl="0" w:tplc="F092CEB6">
      <w:numFmt w:val="bullet"/>
      <w:lvlText w:val="-"/>
      <w:lvlJc w:val="left"/>
      <w:pPr>
        <w:ind w:left="1080" w:hanging="360"/>
      </w:pPr>
      <w:rPr>
        <w:rFonts w:ascii="Verdana" w:eastAsiaTheme="minorHAnsi" w:hAnsi="Verdana"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DBE1AA5"/>
    <w:multiLevelType w:val="hybridMultilevel"/>
    <w:tmpl w:val="185C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102B1"/>
    <w:multiLevelType w:val="hybridMultilevel"/>
    <w:tmpl w:val="D3DE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566AE"/>
    <w:multiLevelType w:val="hybridMultilevel"/>
    <w:tmpl w:val="EA22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22050"/>
    <w:multiLevelType w:val="hybridMultilevel"/>
    <w:tmpl w:val="C1847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A0D3E04"/>
    <w:multiLevelType w:val="hybridMultilevel"/>
    <w:tmpl w:val="E0C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A3DCC"/>
    <w:multiLevelType w:val="hybridMultilevel"/>
    <w:tmpl w:val="E1647D76"/>
    <w:lvl w:ilvl="0" w:tplc="6696DE68">
      <w:numFmt w:val="bullet"/>
      <w:lvlText w:val="-"/>
      <w:lvlJc w:val="left"/>
      <w:pPr>
        <w:ind w:left="1080" w:hanging="360"/>
      </w:pPr>
      <w:rPr>
        <w:rFonts w:ascii="Verdana" w:eastAsiaTheme="minorHAnsi" w:hAnsi="Verdana"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3BF735C3"/>
    <w:multiLevelType w:val="hybridMultilevel"/>
    <w:tmpl w:val="D50A92C8"/>
    <w:lvl w:ilvl="0" w:tplc="F092CEB6">
      <w:numFmt w:val="bullet"/>
      <w:lvlText w:val="-"/>
      <w:lvlJc w:val="left"/>
      <w:pPr>
        <w:ind w:left="1080" w:hanging="360"/>
      </w:pPr>
      <w:rPr>
        <w:rFonts w:ascii="Verdana" w:eastAsiaTheme="minorHAnsi" w:hAnsi="Verdana" w:cstheme="minorBidi"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3D595096"/>
    <w:multiLevelType w:val="hybridMultilevel"/>
    <w:tmpl w:val="DA428DA6"/>
    <w:lvl w:ilvl="0" w:tplc="F092CEB6">
      <w:numFmt w:val="bullet"/>
      <w:lvlText w:val="-"/>
      <w:lvlJc w:val="left"/>
      <w:pPr>
        <w:ind w:left="1080" w:hanging="360"/>
      </w:pPr>
      <w:rPr>
        <w:rFonts w:ascii="Verdana" w:eastAsiaTheme="minorHAnsi" w:hAnsi="Verdana" w:cstheme="minorBidi"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DA771C4"/>
    <w:multiLevelType w:val="hybridMultilevel"/>
    <w:tmpl w:val="71148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0E0180F"/>
    <w:multiLevelType w:val="hybridMultilevel"/>
    <w:tmpl w:val="D1880ACE"/>
    <w:lvl w:ilvl="0" w:tplc="F092CEB6">
      <w:numFmt w:val="bullet"/>
      <w:lvlText w:val="-"/>
      <w:lvlJc w:val="left"/>
      <w:pPr>
        <w:ind w:left="1080" w:hanging="360"/>
      </w:pPr>
      <w:rPr>
        <w:rFonts w:ascii="Verdana" w:eastAsiaTheme="minorHAnsi" w:hAnsi="Verdana" w:cstheme="minorBidi"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446802A6"/>
    <w:multiLevelType w:val="hybridMultilevel"/>
    <w:tmpl w:val="A478026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44D1535A"/>
    <w:multiLevelType w:val="hybridMultilevel"/>
    <w:tmpl w:val="E486AD6C"/>
    <w:lvl w:ilvl="0" w:tplc="08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4A8645E4"/>
    <w:multiLevelType w:val="hybridMultilevel"/>
    <w:tmpl w:val="E9FADD2C"/>
    <w:lvl w:ilvl="0" w:tplc="F092CEB6">
      <w:numFmt w:val="bullet"/>
      <w:lvlText w:val="-"/>
      <w:lvlJc w:val="left"/>
      <w:pPr>
        <w:ind w:left="1080" w:hanging="360"/>
      </w:pPr>
      <w:rPr>
        <w:rFonts w:ascii="Verdana" w:eastAsiaTheme="minorHAnsi" w:hAnsi="Verdana"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4AD91A75"/>
    <w:multiLevelType w:val="hybridMultilevel"/>
    <w:tmpl w:val="6942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E72E35"/>
    <w:multiLevelType w:val="hybridMultilevel"/>
    <w:tmpl w:val="982AE85E"/>
    <w:lvl w:ilvl="0" w:tplc="F092CEB6">
      <w:numFmt w:val="bullet"/>
      <w:lvlText w:val="-"/>
      <w:lvlJc w:val="left"/>
      <w:pPr>
        <w:ind w:left="1080" w:hanging="360"/>
      </w:pPr>
      <w:rPr>
        <w:rFonts w:ascii="Verdana" w:eastAsiaTheme="minorHAnsi" w:hAnsi="Verdana"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4D323558"/>
    <w:multiLevelType w:val="hybridMultilevel"/>
    <w:tmpl w:val="F8BAB06C"/>
    <w:lvl w:ilvl="0" w:tplc="F092CEB6">
      <w:numFmt w:val="bullet"/>
      <w:lvlText w:val="-"/>
      <w:lvlJc w:val="left"/>
      <w:pPr>
        <w:ind w:left="1080" w:hanging="360"/>
      </w:pPr>
      <w:rPr>
        <w:rFonts w:ascii="Verdana" w:eastAsiaTheme="minorHAnsi" w:hAnsi="Verdana" w:cstheme="minorBidi"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50435ECC"/>
    <w:multiLevelType w:val="hybridMultilevel"/>
    <w:tmpl w:val="F5567CE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5370481A"/>
    <w:multiLevelType w:val="hybridMultilevel"/>
    <w:tmpl w:val="9962B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4160CDB"/>
    <w:multiLevelType w:val="hybridMultilevel"/>
    <w:tmpl w:val="E092F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4CB3229"/>
    <w:multiLevelType w:val="hybridMultilevel"/>
    <w:tmpl w:val="0FB03BE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54EA5F3C"/>
    <w:multiLevelType w:val="hybridMultilevel"/>
    <w:tmpl w:val="9B6643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55C1199B"/>
    <w:multiLevelType w:val="multilevel"/>
    <w:tmpl w:val="ED2A0E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6D2612"/>
    <w:multiLevelType w:val="hybridMultilevel"/>
    <w:tmpl w:val="57CE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FD5A78"/>
    <w:multiLevelType w:val="hybridMultilevel"/>
    <w:tmpl w:val="CBCCD12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9" w15:restartNumberingAfterBreak="0">
    <w:nsid w:val="5A1063E9"/>
    <w:multiLevelType w:val="hybridMultilevel"/>
    <w:tmpl w:val="E7D2F3CC"/>
    <w:lvl w:ilvl="0" w:tplc="F092CEB6">
      <w:numFmt w:val="bullet"/>
      <w:lvlText w:val="-"/>
      <w:lvlJc w:val="left"/>
      <w:pPr>
        <w:ind w:left="1080" w:hanging="360"/>
      </w:pPr>
      <w:rPr>
        <w:rFonts w:ascii="Verdana" w:eastAsiaTheme="minorHAnsi" w:hAnsi="Verdana"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5CC41614"/>
    <w:multiLevelType w:val="hybridMultilevel"/>
    <w:tmpl w:val="5636C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DAF5C6E"/>
    <w:multiLevelType w:val="hybridMultilevel"/>
    <w:tmpl w:val="798A362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15:restartNumberingAfterBreak="0">
    <w:nsid w:val="5EEC5767"/>
    <w:multiLevelType w:val="hybridMultilevel"/>
    <w:tmpl w:val="C634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8379E4"/>
    <w:multiLevelType w:val="hybridMultilevel"/>
    <w:tmpl w:val="D2A8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9E0FC8"/>
    <w:multiLevelType w:val="hybridMultilevel"/>
    <w:tmpl w:val="337C6AF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5" w15:restartNumberingAfterBreak="0">
    <w:nsid w:val="67DA693A"/>
    <w:multiLevelType w:val="hybridMultilevel"/>
    <w:tmpl w:val="324AB972"/>
    <w:lvl w:ilvl="0" w:tplc="0902EC92">
      <w:numFmt w:val="bullet"/>
      <w:lvlText w:val="-"/>
      <w:lvlJc w:val="left"/>
      <w:pPr>
        <w:ind w:left="1080" w:hanging="360"/>
      </w:pPr>
      <w:rPr>
        <w:rFonts w:ascii="Verdana" w:eastAsiaTheme="minorHAnsi" w:hAnsi="Verdana"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6" w15:restartNumberingAfterBreak="0">
    <w:nsid w:val="697B5E8E"/>
    <w:multiLevelType w:val="hybridMultilevel"/>
    <w:tmpl w:val="539046B8"/>
    <w:lvl w:ilvl="0" w:tplc="08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7" w15:restartNumberingAfterBreak="0">
    <w:nsid w:val="69A773F1"/>
    <w:multiLevelType w:val="hybridMultilevel"/>
    <w:tmpl w:val="7F86C45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8" w15:restartNumberingAfterBreak="0">
    <w:nsid w:val="6A631C39"/>
    <w:multiLevelType w:val="hybridMultilevel"/>
    <w:tmpl w:val="E1DC4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6BC47F12"/>
    <w:multiLevelType w:val="hybridMultilevel"/>
    <w:tmpl w:val="DC74EF7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0" w15:restartNumberingAfterBreak="0">
    <w:nsid w:val="71BB56F0"/>
    <w:multiLevelType w:val="hybridMultilevel"/>
    <w:tmpl w:val="04826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4DC7C81"/>
    <w:multiLevelType w:val="hybridMultilevel"/>
    <w:tmpl w:val="8E745ED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2" w15:restartNumberingAfterBreak="0">
    <w:nsid w:val="74ED7159"/>
    <w:multiLevelType w:val="hybridMultilevel"/>
    <w:tmpl w:val="7B98E802"/>
    <w:lvl w:ilvl="0" w:tplc="F244B078">
      <w:numFmt w:val="bullet"/>
      <w:lvlText w:val="•"/>
      <w:lvlJc w:val="left"/>
      <w:pPr>
        <w:ind w:left="1080" w:hanging="360"/>
      </w:pPr>
      <w:rPr>
        <w:rFonts w:ascii="Verdana" w:eastAsiaTheme="minorHAnsi" w:hAnsi="Verdana"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3" w15:restartNumberingAfterBreak="0">
    <w:nsid w:val="76A55C32"/>
    <w:multiLevelType w:val="hybridMultilevel"/>
    <w:tmpl w:val="725A8838"/>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7525733"/>
    <w:multiLevelType w:val="hybridMultilevel"/>
    <w:tmpl w:val="8946C366"/>
    <w:lvl w:ilvl="0" w:tplc="F092CEB6">
      <w:numFmt w:val="bullet"/>
      <w:lvlText w:val="-"/>
      <w:lvlJc w:val="left"/>
      <w:pPr>
        <w:ind w:left="1080" w:hanging="360"/>
      </w:pPr>
      <w:rPr>
        <w:rFonts w:ascii="Verdana" w:eastAsiaTheme="minorHAnsi" w:hAnsi="Verdana"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5" w15:restartNumberingAfterBreak="0">
    <w:nsid w:val="79C1419F"/>
    <w:multiLevelType w:val="hybridMultilevel"/>
    <w:tmpl w:val="6590D9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803535">
    <w:abstractNumId w:val="15"/>
  </w:num>
  <w:num w:numId="2" w16cid:durableId="2067484286">
    <w:abstractNumId w:val="19"/>
  </w:num>
  <w:num w:numId="3" w16cid:durableId="1826432559">
    <w:abstractNumId w:val="3"/>
  </w:num>
  <w:num w:numId="4" w16cid:durableId="560333527">
    <w:abstractNumId w:val="17"/>
  </w:num>
  <w:num w:numId="5" w16cid:durableId="741566341">
    <w:abstractNumId w:val="28"/>
  </w:num>
  <w:num w:numId="6" w16cid:durableId="384721471">
    <w:abstractNumId w:val="43"/>
  </w:num>
  <w:num w:numId="7" w16cid:durableId="1761608144">
    <w:abstractNumId w:val="0"/>
  </w:num>
  <w:num w:numId="8" w16cid:durableId="1010303007">
    <w:abstractNumId w:val="2"/>
  </w:num>
  <w:num w:numId="9" w16cid:durableId="1602909272">
    <w:abstractNumId w:val="4"/>
  </w:num>
  <w:num w:numId="10" w16cid:durableId="771513277">
    <w:abstractNumId w:val="13"/>
  </w:num>
  <w:num w:numId="11" w16cid:durableId="1037119143">
    <w:abstractNumId w:val="52"/>
  </w:num>
  <w:num w:numId="12" w16cid:durableId="90011305">
    <w:abstractNumId w:val="42"/>
  </w:num>
  <w:num w:numId="13" w16cid:durableId="1213031851">
    <w:abstractNumId w:val="36"/>
  </w:num>
  <w:num w:numId="14" w16cid:durableId="1440952229">
    <w:abstractNumId w:val="37"/>
  </w:num>
  <w:num w:numId="15" w16cid:durableId="1859537210">
    <w:abstractNumId w:val="16"/>
  </w:num>
  <w:num w:numId="16" w16cid:durableId="304165218">
    <w:abstractNumId w:val="55"/>
  </w:num>
  <w:num w:numId="17" w16cid:durableId="1000740770">
    <w:abstractNumId w:val="34"/>
  </w:num>
  <w:num w:numId="18" w16cid:durableId="129132520">
    <w:abstractNumId w:val="47"/>
  </w:num>
  <w:num w:numId="19" w16cid:durableId="1481314151">
    <w:abstractNumId w:val="10"/>
  </w:num>
  <w:num w:numId="20" w16cid:durableId="1156459403">
    <w:abstractNumId w:val="11"/>
  </w:num>
  <w:num w:numId="21" w16cid:durableId="539821938">
    <w:abstractNumId w:val="38"/>
  </w:num>
  <w:num w:numId="22" w16cid:durableId="1913814926">
    <w:abstractNumId w:val="25"/>
  </w:num>
  <w:num w:numId="23" w16cid:durableId="813791467">
    <w:abstractNumId w:val="49"/>
  </w:num>
  <w:num w:numId="24" w16cid:durableId="599529372">
    <w:abstractNumId w:val="5"/>
  </w:num>
  <w:num w:numId="25" w16cid:durableId="753942916">
    <w:abstractNumId w:val="20"/>
  </w:num>
  <w:num w:numId="26" w16cid:durableId="248197473">
    <w:abstractNumId w:val="45"/>
  </w:num>
  <w:num w:numId="27" w16cid:durableId="1569613239">
    <w:abstractNumId w:val="12"/>
  </w:num>
  <w:num w:numId="28" w16cid:durableId="1842962916">
    <w:abstractNumId w:val="1"/>
  </w:num>
  <w:num w:numId="29" w16cid:durableId="1376928063">
    <w:abstractNumId w:val="31"/>
  </w:num>
  <w:num w:numId="30" w16cid:durableId="1093549659">
    <w:abstractNumId w:val="46"/>
  </w:num>
  <w:num w:numId="31" w16cid:durableId="415907143">
    <w:abstractNumId w:val="7"/>
  </w:num>
  <w:num w:numId="32" w16cid:durableId="714818969">
    <w:abstractNumId w:val="26"/>
  </w:num>
  <w:num w:numId="33" w16cid:durableId="1205945458">
    <w:abstractNumId w:val="8"/>
  </w:num>
  <w:num w:numId="34" w16cid:durableId="1424648163">
    <w:abstractNumId w:val="29"/>
  </w:num>
  <w:num w:numId="35" w16cid:durableId="1131096955">
    <w:abstractNumId w:val="53"/>
  </w:num>
  <w:num w:numId="36" w16cid:durableId="715009866">
    <w:abstractNumId w:val="41"/>
  </w:num>
  <w:num w:numId="37" w16cid:durableId="727806759">
    <w:abstractNumId w:val="44"/>
  </w:num>
  <w:num w:numId="38" w16cid:durableId="501434335">
    <w:abstractNumId w:val="51"/>
  </w:num>
  <w:num w:numId="39" w16cid:durableId="427387171">
    <w:abstractNumId w:val="54"/>
  </w:num>
  <w:num w:numId="40" w16cid:durableId="1817843568">
    <w:abstractNumId w:val="35"/>
  </w:num>
  <w:num w:numId="41" w16cid:durableId="1931114148">
    <w:abstractNumId w:val="50"/>
  </w:num>
  <w:num w:numId="42" w16cid:durableId="504824846">
    <w:abstractNumId w:val="32"/>
  </w:num>
  <w:num w:numId="43" w16cid:durableId="359164795">
    <w:abstractNumId w:val="48"/>
  </w:num>
  <w:num w:numId="44" w16cid:durableId="784159206">
    <w:abstractNumId w:val="40"/>
  </w:num>
  <w:num w:numId="45" w16cid:durableId="1392731647">
    <w:abstractNumId w:val="23"/>
  </w:num>
  <w:num w:numId="46" w16cid:durableId="1566916860">
    <w:abstractNumId w:val="33"/>
  </w:num>
  <w:num w:numId="47" w16cid:durableId="980764625">
    <w:abstractNumId w:val="9"/>
  </w:num>
  <w:num w:numId="48" w16cid:durableId="1418819930">
    <w:abstractNumId w:val="18"/>
  </w:num>
  <w:num w:numId="49" w16cid:durableId="498083256">
    <w:abstractNumId w:val="36"/>
  </w:num>
  <w:num w:numId="50" w16cid:durableId="1113397867">
    <w:abstractNumId w:val="6"/>
  </w:num>
  <w:num w:numId="51" w16cid:durableId="1037657951">
    <w:abstractNumId w:val="24"/>
  </w:num>
  <w:num w:numId="52" w16cid:durableId="805972606">
    <w:abstractNumId w:val="21"/>
  </w:num>
  <w:num w:numId="53" w16cid:durableId="649403392">
    <w:abstractNumId w:val="39"/>
  </w:num>
  <w:num w:numId="54" w16cid:durableId="652569467">
    <w:abstractNumId w:val="14"/>
  </w:num>
  <w:num w:numId="55" w16cid:durableId="2065447735">
    <w:abstractNumId w:val="27"/>
  </w:num>
  <w:num w:numId="56" w16cid:durableId="877280823">
    <w:abstractNumId w:val="30"/>
  </w:num>
  <w:num w:numId="57" w16cid:durableId="1158427460">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C4"/>
    <w:rsid w:val="0000118C"/>
    <w:rsid w:val="00003A86"/>
    <w:rsid w:val="000047DC"/>
    <w:rsid w:val="00007995"/>
    <w:rsid w:val="0001159D"/>
    <w:rsid w:val="00021517"/>
    <w:rsid w:val="000240CF"/>
    <w:rsid w:val="000249A9"/>
    <w:rsid w:val="000357D3"/>
    <w:rsid w:val="000409DC"/>
    <w:rsid w:val="0004293F"/>
    <w:rsid w:val="00044573"/>
    <w:rsid w:val="00061CEB"/>
    <w:rsid w:val="000655C8"/>
    <w:rsid w:val="00066A06"/>
    <w:rsid w:val="000746DA"/>
    <w:rsid w:val="00075185"/>
    <w:rsid w:val="00077A17"/>
    <w:rsid w:val="0008115A"/>
    <w:rsid w:val="0008348D"/>
    <w:rsid w:val="000860B3"/>
    <w:rsid w:val="000868D4"/>
    <w:rsid w:val="00090036"/>
    <w:rsid w:val="00091CF0"/>
    <w:rsid w:val="000951A8"/>
    <w:rsid w:val="000B19CB"/>
    <w:rsid w:val="000C10A4"/>
    <w:rsid w:val="000D029C"/>
    <w:rsid w:val="000D30B0"/>
    <w:rsid w:val="000E6D2F"/>
    <w:rsid w:val="000F3083"/>
    <w:rsid w:val="000F3238"/>
    <w:rsid w:val="000F51C5"/>
    <w:rsid w:val="000F5589"/>
    <w:rsid w:val="00101FF7"/>
    <w:rsid w:val="00102219"/>
    <w:rsid w:val="00102585"/>
    <w:rsid w:val="00105156"/>
    <w:rsid w:val="00107E46"/>
    <w:rsid w:val="00111893"/>
    <w:rsid w:val="00124FEB"/>
    <w:rsid w:val="00126E6A"/>
    <w:rsid w:val="00133FBB"/>
    <w:rsid w:val="00141AA0"/>
    <w:rsid w:val="00146E1A"/>
    <w:rsid w:val="00150177"/>
    <w:rsid w:val="00151420"/>
    <w:rsid w:val="0015383B"/>
    <w:rsid w:val="001543D4"/>
    <w:rsid w:val="00154BF7"/>
    <w:rsid w:val="001600C3"/>
    <w:rsid w:val="00163977"/>
    <w:rsid w:val="00165172"/>
    <w:rsid w:val="00165B3F"/>
    <w:rsid w:val="001675BD"/>
    <w:rsid w:val="00174E23"/>
    <w:rsid w:val="00190F60"/>
    <w:rsid w:val="001929C8"/>
    <w:rsid w:val="00193723"/>
    <w:rsid w:val="001970E8"/>
    <w:rsid w:val="001A4945"/>
    <w:rsid w:val="001A4CBB"/>
    <w:rsid w:val="001A518D"/>
    <w:rsid w:val="001E3BF6"/>
    <w:rsid w:val="001E728C"/>
    <w:rsid w:val="001F415E"/>
    <w:rsid w:val="0020588B"/>
    <w:rsid w:val="00206792"/>
    <w:rsid w:val="00207E0E"/>
    <w:rsid w:val="00210491"/>
    <w:rsid w:val="00215FA4"/>
    <w:rsid w:val="002207C9"/>
    <w:rsid w:val="00225B0E"/>
    <w:rsid w:val="0023308B"/>
    <w:rsid w:val="00237C2E"/>
    <w:rsid w:val="0026356A"/>
    <w:rsid w:val="002665CC"/>
    <w:rsid w:val="0026687A"/>
    <w:rsid w:val="00272F0A"/>
    <w:rsid w:val="0027402B"/>
    <w:rsid w:val="00286439"/>
    <w:rsid w:val="00292ADC"/>
    <w:rsid w:val="002A2ED8"/>
    <w:rsid w:val="002A47A0"/>
    <w:rsid w:val="002B21DB"/>
    <w:rsid w:val="002C04E6"/>
    <w:rsid w:val="002C068A"/>
    <w:rsid w:val="002C1BE7"/>
    <w:rsid w:val="002C640A"/>
    <w:rsid w:val="002D0DA5"/>
    <w:rsid w:val="002E1658"/>
    <w:rsid w:val="002E6A70"/>
    <w:rsid w:val="003019F8"/>
    <w:rsid w:val="00303EE5"/>
    <w:rsid w:val="00307A9D"/>
    <w:rsid w:val="00310228"/>
    <w:rsid w:val="003227F3"/>
    <w:rsid w:val="00322AB9"/>
    <w:rsid w:val="00323096"/>
    <w:rsid w:val="00324C63"/>
    <w:rsid w:val="003259B9"/>
    <w:rsid w:val="003263A6"/>
    <w:rsid w:val="00330FB3"/>
    <w:rsid w:val="0033156A"/>
    <w:rsid w:val="0033193B"/>
    <w:rsid w:val="00331BB3"/>
    <w:rsid w:val="00346896"/>
    <w:rsid w:val="00351210"/>
    <w:rsid w:val="00351631"/>
    <w:rsid w:val="00357EBA"/>
    <w:rsid w:val="00361CF2"/>
    <w:rsid w:val="0036608A"/>
    <w:rsid w:val="00371FAC"/>
    <w:rsid w:val="00372A23"/>
    <w:rsid w:val="003769F8"/>
    <w:rsid w:val="00380374"/>
    <w:rsid w:val="003842E6"/>
    <w:rsid w:val="00396054"/>
    <w:rsid w:val="003A5383"/>
    <w:rsid w:val="003A6A55"/>
    <w:rsid w:val="003B3567"/>
    <w:rsid w:val="003B6211"/>
    <w:rsid w:val="003C1858"/>
    <w:rsid w:val="003C573E"/>
    <w:rsid w:val="003D1668"/>
    <w:rsid w:val="003D56A7"/>
    <w:rsid w:val="003D6B39"/>
    <w:rsid w:val="003E42F3"/>
    <w:rsid w:val="003F0751"/>
    <w:rsid w:val="003F2D0D"/>
    <w:rsid w:val="003F3D76"/>
    <w:rsid w:val="003F4276"/>
    <w:rsid w:val="00402018"/>
    <w:rsid w:val="004059D2"/>
    <w:rsid w:val="00410FE2"/>
    <w:rsid w:val="00412088"/>
    <w:rsid w:val="00413845"/>
    <w:rsid w:val="00415F64"/>
    <w:rsid w:val="00420E61"/>
    <w:rsid w:val="004252D5"/>
    <w:rsid w:val="0042665C"/>
    <w:rsid w:val="004342B5"/>
    <w:rsid w:val="00434D01"/>
    <w:rsid w:val="00443B91"/>
    <w:rsid w:val="00443D91"/>
    <w:rsid w:val="00453258"/>
    <w:rsid w:val="0045779C"/>
    <w:rsid w:val="00461B6E"/>
    <w:rsid w:val="00466365"/>
    <w:rsid w:val="00466A8F"/>
    <w:rsid w:val="004673E1"/>
    <w:rsid w:val="004716C6"/>
    <w:rsid w:val="004759CD"/>
    <w:rsid w:val="00476CE1"/>
    <w:rsid w:val="00480ECF"/>
    <w:rsid w:val="00481D94"/>
    <w:rsid w:val="00485AC7"/>
    <w:rsid w:val="0049183D"/>
    <w:rsid w:val="00493E2D"/>
    <w:rsid w:val="004A230D"/>
    <w:rsid w:val="004A51F4"/>
    <w:rsid w:val="004A69C9"/>
    <w:rsid w:val="004B0ED3"/>
    <w:rsid w:val="004B11B0"/>
    <w:rsid w:val="004C1642"/>
    <w:rsid w:val="004D00BD"/>
    <w:rsid w:val="004D33FD"/>
    <w:rsid w:val="004D3B69"/>
    <w:rsid w:val="004D5DCC"/>
    <w:rsid w:val="004D631E"/>
    <w:rsid w:val="004D7BBA"/>
    <w:rsid w:val="004E4D1A"/>
    <w:rsid w:val="004F0E8E"/>
    <w:rsid w:val="004F45ED"/>
    <w:rsid w:val="005069B1"/>
    <w:rsid w:val="00507650"/>
    <w:rsid w:val="005103FF"/>
    <w:rsid w:val="0052291A"/>
    <w:rsid w:val="005232C5"/>
    <w:rsid w:val="00524C1C"/>
    <w:rsid w:val="00525C59"/>
    <w:rsid w:val="005317FC"/>
    <w:rsid w:val="0053771F"/>
    <w:rsid w:val="0056139D"/>
    <w:rsid w:val="00562C90"/>
    <w:rsid w:val="005807AE"/>
    <w:rsid w:val="00583EF6"/>
    <w:rsid w:val="005840D1"/>
    <w:rsid w:val="0058656E"/>
    <w:rsid w:val="00593152"/>
    <w:rsid w:val="0059405B"/>
    <w:rsid w:val="005964D5"/>
    <w:rsid w:val="005A04B6"/>
    <w:rsid w:val="005D54BC"/>
    <w:rsid w:val="005D7C12"/>
    <w:rsid w:val="005E220E"/>
    <w:rsid w:val="005E463A"/>
    <w:rsid w:val="005F0537"/>
    <w:rsid w:val="005F1105"/>
    <w:rsid w:val="006052FF"/>
    <w:rsid w:val="00614414"/>
    <w:rsid w:val="00616F98"/>
    <w:rsid w:val="006200F4"/>
    <w:rsid w:val="00622637"/>
    <w:rsid w:val="00626091"/>
    <w:rsid w:val="00633572"/>
    <w:rsid w:val="00644CC6"/>
    <w:rsid w:val="00651819"/>
    <w:rsid w:val="006530E6"/>
    <w:rsid w:val="0065360A"/>
    <w:rsid w:val="00660FDB"/>
    <w:rsid w:val="006610D0"/>
    <w:rsid w:val="00666384"/>
    <w:rsid w:val="0066763D"/>
    <w:rsid w:val="006831DE"/>
    <w:rsid w:val="00683664"/>
    <w:rsid w:val="00685546"/>
    <w:rsid w:val="006B2889"/>
    <w:rsid w:val="006B371C"/>
    <w:rsid w:val="006C139A"/>
    <w:rsid w:val="006C58F1"/>
    <w:rsid w:val="006D27E6"/>
    <w:rsid w:val="006E3310"/>
    <w:rsid w:val="006F22BF"/>
    <w:rsid w:val="006F4272"/>
    <w:rsid w:val="006F54BD"/>
    <w:rsid w:val="0070211F"/>
    <w:rsid w:val="00705E57"/>
    <w:rsid w:val="007062DC"/>
    <w:rsid w:val="007069BB"/>
    <w:rsid w:val="00723230"/>
    <w:rsid w:val="007252A1"/>
    <w:rsid w:val="007309D5"/>
    <w:rsid w:val="0073635F"/>
    <w:rsid w:val="007366B8"/>
    <w:rsid w:val="0074241E"/>
    <w:rsid w:val="00747B99"/>
    <w:rsid w:val="00750C45"/>
    <w:rsid w:val="007527E9"/>
    <w:rsid w:val="00760EC1"/>
    <w:rsid w:val="00772A1E"/>
    <w:rsid w:val="00777312"/>
    <w:rsid w:val="007858F1"/>
    <w:rsid w:val="00787AD8"/>
    <w:rsid w:val="007901C0"/>
    <w:rsid w:val="007910FA"/>
    <w:rsid w:val="00794513"/>
    <w:rsid w:val="007A0311"/>
    <w:rsid w:val="007A4587"/>
    <w:rsid w:val="007A7737"/>
    <w:rsid w:val="007A799E"/>
    <w:rsid w:val="007A7EB8"/>
    <w:rsid w:val="007B4202"/>
    <w:rsid w:val="007B682B"/>
    <w:rsid w:val="007B7B48"/>
    <w:rsid w:val="007D19E9"/>
    <w:rsid w:val="007D2EA8"/>
    <w:rsid w:val="007E25E7"/>
    <w:rsid w:val="008025C7"/>
    <w:rsid w:val="00802DF8"/>
    <w:rsid w:val="00803A18"/>
    <w:rsid w:val="008157E2"/>
    <w:rsid w:val="00822BF0"/>
    <w:rsid w:val="00824550"/>
    <w:rsid w:val="0082606F"/>
    <w:rsid w:val="008310B1"/>
    <w:rsid w:val="0084086E"/>
    <w:rsid w:val="00851047"/>
    <w:rsid w:val="00853CF0"/>
    <w:rsid w:val="00861F16"/>
    <w:rsid w:val="00883E15"/>
    <w:rsid w:val="00884896"/>
    <w:rsid w:val="00886D9D"/>
    <w:rsid w:val="00890254"/>
    <w:rsid w:val="008A5F19"/>
    <w:rsid w:val="008A631C"/>
    <w:rsid w:val="008C174D"/>
    <w:rsid w:val="008C1FBE"/>
    <w:rsid w:val="008D0D91"/>
    <w:rsid w:val="008D17FE"/>
    <w:rsid w:val="008D54F9"/>
    <w:rsid w:val="008D6727"/>
    <w:rsid w:val="008D6A97"/>
    <w:rsid w:val="008E12EB"/>
    <w:rsid w:val="008E2B25"/>
    <w:rsid w:val="008E55E8"/>
    <w:rsid w:val="008E678F"/>
    <w:rsid w:val="008F41E4"/>
    <w:rsid w:val="008F4638"/>
    <w:rsid w:val="008F5ADB"/>
    <w:rsid w:val="0090136B"/>
    <w:rsid w:val="00901394"/>
    <w:rsid w:val="00901B51"/>
    <w:rsid w:val="00901BA3"/>
    <w:rsid w:val="00902DBE"/>
    <w:rsid w:val="00916EA3"/>
    <w:rsid w:val="009179D6"/>
    <w:rsid w:val="009232E3"/>
    <w:rsid w:val="00923C5B"/>
    <w:rsid w:val="00924BB2"/>
    <w:rsid w:val="00926774"/>
    <w:rsid w:val="009302F6"/>
    <w:rsid w:val="00931016"/>
    <w:rsid w:val="00935714"/>
    <w:rsid w:val="00937774"/>
    <w:rsid w:val="00942EDA"/>
    <w:rsid w:val="00946E66"/>
    <w:rsid w:val="00970A6D"/>
    <w:rsid w:val="00971005"/>
    <w:rsid w:val="00975B3B"/>
    <w:rsid w:val="00975FB6"/>
    <w:rsid w:val="0098120F"/>
    <w:rsid w:val="00992615"/>
    <w:rsid w:val="00994FF5"/>
    <w:rsid w:val="009C0184"/>
    <w:rsid w:val="009C383E"/>
    <w:rsid w:val="009C5C19"/>
    <w:rsid w:val="009C64FF"/>
    <w:rsid w:val="009C6940"/>
    <w:rsid w:val="009D0A8C"/>
    <w:rsid w:val="009D15FC"/>
    <w:rsid w:val="009D204F"/>
    <w:rsid w:val="009D24C0"/>
    <w:rsid w:val="009D70CA"/>
    <w:rsid w:val="009E4943"/>
    <w:rsid w:val="009F3397"/>
    <w:rsid w:val="009F69C3"/>
    <w:rsid w:val="009F7466"/>
    <w:rsid w:val="00A05D47"/>
    <w:rsid w:val="00A17B56"/>
    <w:rsid w:val="00A20780"/>
    <w:rsid w:val="00A3002D"/>
    <w:rsid w:val="00A33353"/>
    <w:rsid w:val="00A372A3"/>
    <w:rsid w:val="00A400EA"/>
    <w:rsid w:val="00A44524"/>
    <w:rsid w:val="00A46725"/>
    <w:rsid w:val="00A5379C"/>
    <w:rsid w:val="00A548E6"/>
    <w:rsid w:val="00A56168"/>
    <w:rsid w:val="00A57A3D"/>
    <w:rsid w:val="00A62CC2"/>
    <w:rsid w:val="00A70B1F"/>
    <w:rsid w:val="00A70BFD"/>
    <w:rsid w:val="00A7332A"/>
    <w:rsid w:val="00A74FBE"/>
    <w:rsid w:val="00A82F5B"/>
    <w:rsid w:val="00A936D4"/>
    <w:rsid w:val="00A95B3F"/>
    <w:rsid w:val="00A960E2"/>
    <w:rsid w:val="00AA068F"/>
    <w:rsid w:val="00AA2282"/>
    <w:rsid w:val="00AA34CB"/>
    <w:rsid w:val="00AA461C"/>
    <w:rsid w:val="00AA5288"/>
    <w:rsid w:val="00AA5ADE"/>
    <w:rsid w:val="00AA6199"/>
    <w:rsid w:val="00AA74E6"/>
    <w:rsid w:val="00AB5DA9"/>
    <w:rsid w:val="00AB739D"/>
    <w:rsid w:val="00AD27D9"/>
    <w:rsid w:val="00AE61D7"/>
    <w:rsid w:val="00AE73EC"/>
    <w:rsid w:val="00AF433C"/>
    <w:rsid w:val="00B01AFD"/>
    <w:rsid w:val="00B05AEF"/>
    <w:rsid w:val="00B06566"/>
    <w:rsid w:val="00B077BC"/>
    <w:rsid w:val="00B14246"/>
    <w:rsid w:val="00B17427"/>
    <w:rsid w:val="00B20E96"/>
    <w:rsid w:val="00B316A8"/>
    <w:rsid w:val="00B34398"/>
    <w:rsid w:val="00B41BC8"/>
    <w:rsid w:val="00B43CFC"/>
    <w:rsid w:val="00B44F4E"/>
    <w:rsid w:val="00B46FE4"/>
    <w:rsid w:val="00B51108"/>
    <w:rsid w:val="00B53368"/>
    <w:rsid w:val="00B53AEC"/>
    <w:rsid w:val="00B73422"/>
    <w:rsid w:val="00B74340"/>
    <w:rsid w:val="00B774D1"/>
    <w:rsid w:val="00B8488E"/>
    <w:rsid w:val="00BA0AB9"/>
    <w:rsid w:val="00BA2EFA"/>
    <w:rsid w:val="00BA3DCE"/>
    <w:rsid w:val="00BA5C61"/>
    <w:rsid w:val="00BA6322"/>
    <w:rsid w:val="00BB139F"/>
    <w:rsid w:val="00BB50A4"/>
    <w:rsid w:val="00BC4E04"/>
    <w:rsid w:val="00BD1907"/>
    <w:rsid w:val="00BF5969"/>
    <w:rsid w:val="00BF77A1"/>
    <w:rsid w:val="00C05A5B"/>
    <w:rsid w:val="00C1003C"/>
    <w:rsid w:val="00C17801"/>
    <w:rsid w:val="00C23F44"/>
    <w:rsid w:val="00C31B80"/>
    <w:rsid w:val="00C32229"/>
    <w:rsid w:val="00C328A3"/>
    <w:rsid w:val="00C41EA3"/>
    <w:rsid w:val="00C42EA7"/>
    <w:rsid w:val="00C44A58"/>
    <w:rsid w:val="00C50A80"/>
    <w:rsid w:val="00C52D65"/>
    <w:rsid w:val="00C52D88"/>
    <w:rsid w:val="00C55A19"/>
    <w:rsid w:val="00C55CE4"/>
    <w:rsid w:val="00C64578"/>
    <w:rsid w:val="00C75D6A"/>
    <w:rsid w:val="00C836CE"/>
    <w:rsid w:val="00C8436B"/>
    <w:rsid w:val="00C90DEC"/>
    <w:rsid w:val="00C91495"/>
    <w:rsid w:val="00C91832"/>
    <w:rsid w:val="00C93218"/>
    <w:rsid w:val="00C95F34"/>
    <w:rsid w:val="00C973A4"/>
    <w:rsid w:val="00CA095C"/>
    <w:rsid w:val="00CA254A"/>
    <w:rsid w:val="00CA4F65"/>
    <w:rsid w:val="00CA6A35"/>
    <w:rsid w:val="00CA7C26"/>
    <w:rsid w:val="00CA7C63"/>
    <w:rsid w:val="00CB3F87"/>
    <w:rsid w:val="00CC003D"/>
    <w:rsid w:val="00CC429A"/>
    <w:rsid w:val="00CD4D75"/>
    <w:rsid w:val="00CE7AA2"/>
    <w:rsid w:val="00D04562"/>
    <w:rsid w:val="00D0533B"/>
    <w:rsid w:val="00D108F4"/>
    <w:rsid w:val="00D154E7"/>
    <w:rsid w:val="00D24999"/>
    <w:rsid w:val="00D25D4E"/>
    <w:rsid w:val="00D4023C"/>
    <w:rsid w:val="00D41279"/>
    <w:rsid w:val="00D417AE"/>
    <w:rsid w:val="00D42D76"/>
    <w:rsid w:val="00D51F4C"/>
    <w:rsid w:val="00D606A5"/>
    <w:rsid w:val="00D61891"/>
    <w:rsid w:val="00D62F8E"/>
    <w:rsid w:val="00D7491E"/>
    <w:rsid w:val="00D81496"/>
    <w:rsid w:val="00D82A55"/>
    <w:rsid w:val="00D91BA1"/>
    <w:rsid w:val="00D92620"/>
    <w:rsid w:val="00DA0E20"/>
    <w:rsid w:val="00DA492C"/>
    <w:rsid w:val="00DA710B"/>
    <w:rsid w:val="00DA7899"/>
    <w:rsid w:val="00DB0D92"/>
    <w:rsid w:val="00DD5413"/>
    <w:rsid w:val="00DE3F8F"/>
    <w:rsid w:val="00DE6877"/>
    <w:rsid w:val="00DE78AE"/>
    <w:rsid w:val="00DE7B8D"/>
    <w:rsid w:val="00DF1112"/>
    <w:rsid w:val="00DF7C87"/>
    <w:rsid w:val="00DF7F03"/>
    <w:rsid w:val="00E0505E"/>
    <w:rsid w:val="00E052E1"/>
    <w:rsid w:val="00E05E68"/>
    <w:rsid w:val="00E07B2C"/>
    <w:rsid w:val="00E11CB7"/>
    <w:rsid w:val="00E12B81"/>
    <w:rsid w:val="00E14339"/>
    <w:rsid w:val="00E15B1A"/>
    <w:rsid w:val="00E16885"/>
    <w:rsid w:val="00E20FF1"/>
    <w:rsid w:val="00E26ED9"/>
    <w:rsid w:val="00E26F7F"/>
    <w:rsid w:val="00E27A20"/>
    <w:rsid w:val="00E3646D"/>
    <w:rsid w:val="00E45566"/>
    <w:rsid w:val="00E52FA5"/>
    <w:rsid w:val="00E56A3C"/>
    <w:rsid w:val="00E57C34"/>
    <w:rsid w:val="00E65891"/>
    <w:rsid w:val="00E70C78"/>
    <w:rsid w:val="00E714C0"/>
    <w:rsid w:val="00E72F41"/>
    <w:rsid w:val="00E811C4"/>
    <w:rsid w:val="00E814C7"/>
    <w:rsid w:val="00E81C92"/>
    <w:rsid w:val="00E827E3"/>
    <w:rsid w:val="00E9105E"/>
    <w:rsid w:val="00EA3B22"/>
    <w:rsid w:val="00EA3D11"/>
    <w:rsid w:val="00EA4AED"/>
    <w:rsid w:val="00EA795B"/>
    <w:rsid w:val="00EB39D6"/>
    <w:rsid w:val="00EB4B92"/>
    <w:rsid w:val="00EC631E"/>
    <w:rsid w:val="00EC7A0E"/>
    <w:rsid w:val="00ED152A"/>
    <w:rsid w:val="00ED4CB7"/>
    <w:rsid w:val="00ED5754"/>
    <w:rsid w:val="00ED6C6C"/>
    <w:rsid w:val="00EE42EE"/>
    <w:rsid w:val="00EE6753"/>
    <w:rsid w:val="00EE6B04"/>
    <w:rsid w:val="00EF7281"/>
    <w:rsid w:val="00F11DCA"/>
    <w:rsid w:val="00F127AF"/>
    <w:rsid w:val="00F13165"/>
    <w:rsid w:val="00F14110"/>
    <w:rsid w:val="00F15887"/>
    <w:rsid w:val="00F240E3"/>
    <w:rsid w:val="00F2571F"/>
    <w:rsid w:val="00F31AA7"/>
    <w:rsid w:val="00F37046"/>
    <w:rsid w:val="00F37B7D"/>
    <w:rsid w:val="00F40A6D"/>
    <w:rsid w:val="00F509AF"/>
    <w:rsid w:val="00F5528E"/>
    <w:rsid w:val="00F57D2B"/>
    <w:rsid w:val="00F70530"/>
    <w:rsid w:val="00F73B6B"/>
    <w:rsid w:val="00F829D7"/>
    <w:rsid w:val="00F97288"/>
    <w:rsid w:val="00FA6F3D"/>
    <w:rsid w:val="00FB2C24"/>
    <w:rsid w:val="00FC2686"/>
    <w:rsid w:val="00FC28F2"/>
    <w:rsid w:val="00FD220F"/>
    <w:rsid w:val="00FD2661"/>
    <w:rsid w:val="00FE3333"/>
    <w:rsid w:val="00FE40BF"/>
    <w:rsid w:val="00FE7D73"/>
    <w:rsid w:val="00FF7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09240"/>
  <w15:chartTrackingRefBased/>
  <w15:docId w15:val="{D9B7E730-EEAB-4C7C-9C9C-90258689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B1"/>
    <w:rPr>
      <w:sz w:val="20"/>
      <w:szCs w:val="20"/>
    </w:rPr>
  </w:style>
  <w:style w:type="paragraph" w:styleId="Heading1">
    <w:name w:val="heading 1"/>
    <w:basedOn w:val="Heading2"/>
    <w:next w:val="Normal"/>
    <w:link w:val="Heading1Char"/>
    <w:uiPriority w:val="9"/>
    <w:qFormat/>
    <w:rsid w:val="004252D5"/>
    <w:pPr>
      <w:outlineLvl w:val="0"/>
    </w:pPr>
    <w:rPr>
      <w:sz w:val="28"/>
      <w:szCs w:val="28"/>
    </w:rPr>
  </w:style>
  <w:style w:type="paragraph" w:styleId="Heading2">
    <w:name w:val="heading 2"/>
    <w:basedOn w:val="Heading3"/>
    <w:next w:val="Normal"/>
    <w:link w:val="Heading2Char"/>
    <w:uiPriority w:val="9"/>
    <w:unhideWhenUsed/>
    <w:qFormat/>
    <w:rsid w:val="004252D5"/>
    <w:pPr>
      <w:outlineLvl w:val="1"/>
    </w:pPr>
    <w:rPr>
      <w:b/>
      <w:bCs/>
    </w:rPr>
  </w:style>
  <w:style w:type="paragraph" w:styleId="Heading3">
    <w:name w:val="heading 3"/>
    <w:basedOn w:val="Normal"/>
    <w:next w:val="Normal"/>
    <w:link w:val="Heading3Char"/>
    <w:uiPriority w:val="9"/>
    <w:unhideWhenUsed/>
    <w:qFormat/>
    <w:rsid w:val="000B19CB"/>
    <w:pPr>
      <w:keepNext/>
      <w:keepLines/>
      <w:spacing w:before="40" w:after="0"/>
      <w:outlineLvl w:val="2"/>
    </w:pPr>
    <w:rPr>
      <w:rFonts w:asciiTheme="majorHAnsi" w:eastAsiaTheme="majorEastAsia" w:hAnsiTheme="majorHAnsi" w:cstheme="majorBidi"/>
      <w:color w:val="25409A" w:themeColor="text2"/>
      <w:sz w:val="24"/>
      <w:szCs w:val="24"/>
    </w:rPr>
  </w:style>
  <w:style w:type="paragraph" w:styleId="Heading4">
    <w:name w:val="heading 4"/>
    <w:basedOn w:val="Normal"/>
    <w:next w:val="Normal"/>
    <w:link w:val="Heading4Char"/>
    <w:uiPriority w:val="9"/>
    <w:unhideWhenUsed/>
    <w:qFormat/>
    <w:rsid w:val="008310B1"/>
    <w:pPr>
      <w:keepNext/>
      <w:keepLines/>
      <w:spacing w:before="40" w:after="0"/>
      <w:outlineLvl w:val="3"/>
    </w:pPr>
    <w:rPr>
      <w:rFonts w:asciiTheme="majorHAnsi" w:eastAsiaTheme="majorEastAsia" w:hAnsiTheme="majorHAnsi" w:cstheme="majorBidi"/>
      <w:i/>
      <w:iCs/>
      <w:color w:val="00825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E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5E68"/>
    <w:rPr>
      <w:rFonts w:ascii="Times New Roman" w:hAnsi="Times New Roman" w:cs="Times New Roman"/>
      <w:sz w:val="18"/>
      <w:szCs w:val="18"/>
    </w:rPr>
  </w:style>
  <w:style w:type="character" w:styleId="FootnoteReference">
    <w:name w:val="footnote reference"/>
    <w:aliases w:val="fr"/>
    <w:basedOn w:val="DefaultParagraphFont"/>
    <w:uiPriority w:val="99"/>
    <w:unhideWhenUsed/>
    <w:rsid w:val="00E05E68"/>
    <w:rPr>
      <w:vertAlign w:val="superscript"/>
    </w:rPr>
  </w:style>
  <w:style w:type="paragraph" w:styleId="Header">
    <w:name w:val="header"/>
    <w:basedOn w:val="Normal"/>
    <w:link w:val="HeaderChar"/>
    <w:uiPriority w:val="99"/>
    <w:unhideWhenUsed/>
    <w:rsid w:val="00351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210"/>
  </w:style>
  <w:style w:type="paragraph" w:styleId="Footer">
    <w:name w:val="footer"/>
    <w:basedOn w:val="Normal"/>
    <w:link w:val="FooterChar"/>
    <w:uiPriority w:val="99"/>
    <w:unhideWhenUsed/>
    <w:rsid w:val="008310B1"/>
    <w:pPr>
      <w:tabs>
        <w:tab w:val="center" w:pos="4680"/>
        <w:tab w:val="right" w:pos="9360"/>
      </w:tabs>
      <w:spacing w:after="0" w:line="240" w:lineRule="auto"/>
    </w:pPr>
    <w:rPr>
      <w:sz w:val="16"/>
      <w:szCs w:val="16"/>
    </w:rPr>
  </w:style>
  <w:style w:type="character" w:customStyle="1" w:styleId="FooterChar">
    <w:name w:val="Footer Char"/>
    <w:basedOn w:val="DefaultParagraphFont"/>
    <w:link w:val="Footer"/>
    <w:uiPriority w:val="99"/>
    <w:rsid w:val="008310B1"/>
    <w:rPr>
      <w:sz w:val="16"/>
      <w:szCs w:val="16"/>
    </w:rPr>
  </w:style>
  <w:style w:type="character" w:customStyle="1" w:styleId="Heading1Char">
    <w:name w:val="Heading 1 Char"/>
    <w:basedOn w:val="DefaultParagraphFont"/>
    <w:link w:val="Heading1"/>
    <w:uiPriority w:val="9"/>
    <w:rsid w:val="004252D5"/>
    <w:rPr>
      <w:rFonts w:asciiTheme="majorHAnsi" w:eastAsiaTheme="majorEastAsia" w:hAnsiTheme="majorHAnsi" w:cstheme="majorBidi"/>
      <w:b/>
      <w:bCs/>
      <w:color w:val="25409A" w:themeColor="text2"/>
      <w:sz w:val="28"/>
      <w:szCs w:val="28"/>
    </w:rPr>
  </w:style>
  <w:style w:type="paragraph" w:styleId="ListParagraph">
    <w:name w:val="List Paragraph"/>
    <w:basedOn w:val="Normal"/>
    <w:uiPriority w:val="34"/>
    <w:qFormat/>
    <w:rsid w:val="008310B1"/>
    <w:pPr>
      <w:ind w:left="720"/>
      <w:contextualSpacing/>
    </w:pPr>
  </w:style>
  <w:style w:type="paragraph" w:styleId="NoSpacing">
    <w:name w:val="No Spacing"/>
    <w:uiPriority w:val="1"/>
    <w:qFormat/>
    <w:rsid w:val="008310B1"/>
    <w:pPr>
      <w:spacing w:after="0" w:line="240" w:lineRule="auto"/>
    </w:pPr>
    <w:rPr>
      <w:sz w:val="20"/>
      <w:szCs w:val="20"/>
    </w:rPr>
  </w:style>
  <w:style w:type="character" w:customStyle="1" w:styleId="Heading2Char">
    <w:name w:val="Heading 2 Char"/>
    <w:basedOn w:val="DefaultParagraphFont"/>
    <w:link w:val="Heading2"/>
    <w:uiPriority w:val="9"/>
    <w:rsid w:val="004252D5"/>
    <w:rPr>
      <w:rFonts w:asciiTheme="majorHAnsi" w:eastAsiaTheme="majorEastAsia" w:hAnsiTheme="majorHAnsi" w:cstheme="majorBidi"/>
      <w:b/>
      <w:bCs/>
      <w:color w:val="25409A" w:themeColor="text2"/>
      <w:sz w:val="24"/>
      <w:szCs w:val="24"/>
    </w:rPr>
  </w:style>
  <w:style w:type="character" w:customStyle="1" w:styleId="Heading3Char">
    <w:name w:val="Heading 3 Char"/>
    <w:basedOn w:val="DefaultParagraphFont"/>
    <w:link w:val="Heading3"/>
    <w:uiPriority w:val="9"/>
    <w:rsid w:val="000B19CB"/>
    <w:rPr>
      <w:rFonts w:asciiTheme="majorHAnsi" w:eastAsiaTheme="majorEastAsia" w:hAnsiTheme="majorHAnsi" w:cstheme="majorBidi"/>
      <w:color w:val="25409A" w:themeColor="text2"/>
      <w:sz w:val="24"/>
      <w:szCs w:val="24"/>
    </w:rPr>
  </w:style>
  <w:style w:type="character" w:styleId="Strong">
    <w:name w:val="Strong"/>
    <w:basedOn w:val="DefaultParagraphFont"/>
    <w:uiPriority w:val="22"/>
    <w:qFormat/>
    <w:rsid w:val="008310B1"/>
    <w:rPr>
      <w:b/>
      <w:bCs/>
    </w:rPr>
  </w:style>
  <w:style w:type="character" w:customStyle="1" w:styleId="Heading4Char">
    <w:name w:val="Heading 4 Char"/>
    <w:basedOn w:val="DefaultParagraphFont"/>
    <w:link w:val="Heading4"/>
    <w:uiPriority w:val="9"/>
    <w:rsid w:val="008310B1"/>
    <w:rPr>
      <w:rFonts w:asciiTheme="majorHAnsi" w:eastAsiaTheme="majorEastAsia" w:hAnsiTheme="majorHAnsi" w:cstheme="majorBidi"/>
      <w:i/>
      <w:iCs/>
      <w:color w:val="008251" w:themeColor="accent1" w:themeShade="BF"/>
      <w:sz w:val="20"/>
      <w:szCs w:val="20"/>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itle">
    <w:name w:val="Title"/>
    <w:basedOn w:val="Normal"/>
    <w:next w:val="Normal"/>
    <w:link w:val="TitleChar"/>
    <w:uiPriority w:val="10"/>
    <w:qFormat/>
    <w:rsid w:val="000B19CB"/>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0B19CB"/>
    <w:rPr>
      <w:rFonts w:asciiTheme="majorHAnsi" w:eastAsiaTheme="majorEastAsia" w:hAnsiTheme="majorHAnsi" w:cstheme="majorBidi"/>
      <w:spacing w:val="-10"/>
      <w:kern w:val="28"/>
      <w:sz w:val="56"/>
      <w:szCs w:val="56"/>
      <w:lang w:val="en-US"/>
    </w:rPr>
  </w:style>
  <w:style w:type="paragraph" w:styleId="Quote">
    <w:name w:val="Quote"/>
    <w:basedOn w:val="Normal"/>
    <w:next w:val="Normal"/>
    <w:link w:val="QuoteChar"/>
    <w:uiPriority w:val="29"/>
    <w:qFormat/>
    <w:rsid w:val="000B19CB"/>
    <w:pPr>
      <w:spacing w:before="200" w:line="360" w:lineRule="auto"/>
      <w:ind w:left="864" w:right="864"/>
    </w:pPr>
    <w:rPr>
      <w:i/>
      <w:iCs/>
      <w:color w:val="404040" w:themeColor="text1" w:themeTint="BF"/>
      <w:sz w:val="28"/>
      <w:szCs w:val="28"/>
    </w:rPr>
  </w:style>
  <w:style w:type="character" w:customStyle="1" w:styleId="QuoteChar">
    <w:name w:val="Quote Char"/>
    <w:basedOn w:val="DefaultParagraphFont"/>
    <w:link w:val="Quote"/>
    <w:uiPriority w:val="29"/>
    <w:rsid w:val="000B19CB"/>
    <w:rPr>
      <w:i/>
      <w:iCs/>
      <w:color w:val="404040" w:themeColor="text1" w:themeTint="BF"/>
      <w:sz w:val="28"/>
      <w:szCs w:val="28"/>
    </w:rPr>
  </w:style>
  <w:style w:type="character" w:styleId="SubtleEmphasis">
    <w:name w:val="Subtle Emphasis"/>
    <w:basedOn w:val="DefaultParagraphFont"/>
    <w:uiPriority w:val="19"/>
    <w:qFormat/>
    <w:rsid w:val="00007995"/>
    <w:rPr>
      <w:i/>
      <w:iCs/>
      <w:color w:val="404040" w:themeColor="text1" w:themeTint="BF"/>
    </w:rPr>
  </w:style>
  <w:style w:type="paragraph" w:styleId="Subtitle">
    <w:name w:val="Subtitle"/>
    <w:basedOn w:val="Normal"/>
    <w:next w:val="Normal"/>
    <w:link w:val="SubtitleChar"/>
    <w:uiPriority w:val="11"/>
    <w:qFormat/>
    <w:rsid w:val="00007995"/>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07995"/>
    <w:rPr>
      <w:rFonts w:eastAsiaTheme="minorEastAsia"/>
      <w:color w:val="5A5A5A" w:themeColor="text1" w:themeTint="A5"/>
      <w:spacing w:val="15"/>
    </w:rPr>
  </w:style>
  <w:style w:type="character" w:styleId="Hyperlink">
    <w:name w:val="Hyperlink"/>
    <w:basedOn w:val="DefaultParagraphFont"/>
    <w:uiPriority w:val="99"/>
    <w:unhideWhenUsed/>
    <w:rsid w:val="00931016"/>
    <w:rPr>
      <w:color w:val="25409A" w:themeColor="hyperlink"/>
      <w:u w:val="single"/>
    </w:rPr>
  </w:style>
  <w:style w:type="paragraph" w:styleId="FootnoteText">
    <w:name w:val="footnote text"/>
    <w:aliases w:val="Footnote Text Char Char,Footnote Text Char2 Char Char,Footnote Text Char Char Char Char,Footnote Text Char1 Char Char Char Char,Footnote Text Char Char Char Char Char Char,Footnote Text Char1 Char Char,Footnote Text Ch"/>
    <w:basedOn w:val="Normal"/>
    <w:link w:val="FootnoteTextChar"/>
    <w:uiPriority w:val="99"/>
    <w:unhideWhenUsed/>
    <w:qFormat/>
    <w:rsid w:val="00931016"/>
    <w:pPr>
      <w:spacing w:after="0" w:line="240" w:lineRule="auto"/>
    </w:pPr>
    <w:rPr>
      <w:rFonts w:ascii="Calibri" w:eastAsia="Calibri" w:hAnsi="Calibri" w:cs="Calibri"/>
      <w:lang w:val="en-AU" w:eastAsia="en-GB"/>
    </w:rPr>
  </w:style>
  <w:style w:type="character" w:customStyle="1" w:styleId="FootnoteTextChar">
    <w:name w:val="Footnote Text Char"/>
    <w:aliases w:val="Footnote Text Char Char Char,Footnote Text Char2 Char Char Char,Footnote Text Char Char Char Char Char,Footnote Text Char1 Char Char Char Char Char,Footnote Text Char Char Char Char Char Char Char,Footnote Text Char1 Char Char Char"/>
    <w:basedOn w:val="DefaultParagraphFont"/>
    <w:link w:val="FootnoteText"/>
    <w:uiPriority w:val="99"/>
    <w:rsid w:val="00931016"/>
    <w:rPr>
      <w:rFonts w:ascii="Calibri" w:eastAsia="Calibri" w:hAnsi="Calibri" w:cs="Calibri"/>
      <w:sz w:val="20"/>
      <w:szCs w:val="20"/>
      <w:lang w:val="en-AU" w:eastAsia="en-GB"/>
    </w:rPr>
  </w:style>
  <w:style w:type="character" w:customStyle="1" w:styleId="st">
    <w:name w:val="st"/>
    <w:basedOn w:val="DefaultParagraphFont"/>
    <w:rsid w:val="00D606A5"/>
  </w:style>
  <w:style w:type="paragraph" w:styleId="CommentSubject">
    <w:name w:val="annotation subject"/>
    <w:basedOn w:val="CommentText"/>
    <w:next w:val="CommentText"/>
    <w:link w:val="CommentSubjectChar"/>
    <w:uiPriority w:val="99"/>
    <w:semiHidden/>
    <w:unhideWhenUsed/>
    <w:rsid w:val="004C1642"/>
    <w:rPr>
      <w:b/>
      <w:bCs/>
    </w:rPr>
  </w:style>
  <w:style w:type="character" w:customStyle="1" w:styleId="CommentSubjectChar">
    <w:name w:val="Comment Subject Char"/>
    <w:basedOn w:val="CommentTextChar"/>
    <w:link w:val="CommentSubject"/>
    <w:uiPriority w:val="99"/>
    <w:semiHidden/>
    <w:rsid w:val="004C1642"/>
    <w:rPr>
      <w:b/>
      <w:bCs/>
      <w:sz w:val="20"/>
      <w:szCs w:val="20"/>
    </w:rPr>
  </w:style>
  <w:style w:type="character" w:styleId="UnresolvedMention">
    <w:name w:val="Unresolved Mention"/>
    <w:basedOn w:val="DefaultParagraphFont"/>
    <w:uiPriority w:val="99"/>
    <w:semiHidden/>
    <w:unhideWhenUsed/>
    <w:rsid w:val="00B20E96"/>
    <w:rPr>
      <w:color w:val="605E5C"/>
      <w:shd w:val="clear" w:color="auto" w:fill="E1DFDD"/>
    </w:rPr>
  </w:style>
  <w:style w:type="character" w:styleId="PageNumber">
    <w:name w:val="page number"/>
    <w:basedOn w:val="DefaultParagraphFont"/>
    <w:uiPriority w:val="99"/>
    <w:semiHidden/>
    <w:unhideWhenUsed/>
    <w:rsid w:val="00357EBA"/>
  </w:style>
  <w:style w:type="paragraph" w:styleId="NormalWeb">
    <w:name w:val="Normal (Web)"/>
    <w:basedOn w:val="Normal"/>
    <w:uiPriority w:val="99"/>
    <w:unhideWhenUsed/>
    <w:rsid w:val="00C9183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EndNoteBibliography">
    <w:name w:val="EndNote Bibliography"/>
    <w:basedOn w:val="Normal"/>
    <w:rsid w:val="000860B3"/>
    <w:pPr>
      <w:spacing w:after="0" w:line="240" w:lineRule="auto"/>
    </w:pPr>
    <w:rPr>
      <w:rFonts w:ascii="Times New Roman" w:eastAsia="Times New Roman" w:hAnsi="Times New Roman" w:cs="Times New Roman"/>
      <w:sz w:val="24"/>
      <w:szCs w:val="24"/>
      <w:lang w:val="en-US" w:eastAsia="en-GB"/>
    </w:rPr>
  </w:style>
  <w:style w:type="paragraph" w:styleId="TOCHeading">
    <w:name w:val="TOC Heading"/>
    <w:basedOn w:val="Heading1"/>
    <w:next w:val="Normal"/>
    <w:uiPriority w:val="39"/>
    <w:unhideWhenUsed/>
    <w:qFormat/>
    <w:rsid w:val="008C1FBE"/>
    <w:pPr>
      <w:spacing w:before="240"/>
      <w:outlineLvl w:val="9"/>
    </w:pPr>
    <w:rPr>
      <w:b w:val="0"/>
      <w:bCs w:val="0"/>
      <w:color w:val="008251" w:themeColor="accent1" w:themeShade="BF"/>
      <w:sz w:val="32"/>
      <w:szCs w:val="32"/>
      <w:lang w:val="en-US"/>
    </w:rPr>
  </w:style>
  <w:style w:type="paragraph" w:styleId="TOC1">
    <w:name w:val="toc 1"/>
    <w:basedOn w:val="Normal"/>
    <w:next w:val="Normal"/>
    <w:autoRedefine/>
    <w:uiPriority w:val="39"/>
    <w:unhideWhenUsed/>
    <w:rsid w:val="00D04562"/>
    <w:pPr>
      <w:tabs>
        <w:tab w:val="right" w:leader="dot" w:pos="9435"/>
      </w:tabs>
      <w:spacing w:after="100"/>
    </w:pPr>
  </w:style>
  <w:style w:type="paragraph" w:styleId="TOC2">
    <w:name w:val="toc 2"/>
    <w:basedOn w:val="Normal"/>
    <w:next w:val="Normal"/>
    <w:autoRedefine/>
    <w:uiPriority w:val="39"/>
    <w:unhideWhenUsed/>
    <w:rsid w:val="00D04562"/>
    <w:pPr>
      <w:tabs>
        <w:tab w:val="right" w:leader="dot" w:pos="9435"/>
      </w:tabs>
      <w:spacing w:after="100"/>
      <w:ind w:left="200"/>
    </w:pPr>
  </w:style>
  <w:style w:type="paragraph" w:styleId="TOC3">
    <w:name w:val="toc 3"/>
    <w:basedOn w:val="Normal"/>
    <w:next w:val="Normal"/>
    <w:autoRedefine/>
    <w:uiPriority w:val="39"/>
    <w:unhideWhenUsed/>
    <w:rsid w:val="008C1FBE"/>
    <w:pPr>
      <w:spacing w:after="100"/>
      <w:ind w:left="400"/>
    </w:pPr>
  </w:style>
  <w:style w:type="paragraph" w:styleId="IntenseQuote">
    <w:name w:val="Intense Quote"/>
    <w:basedOn w:val="Normal"/>
    <w:next w:val="Normal"/>
    <w:link w:val="IntenseQuoteChar"/>
    <w:uiPriority w:val="30"/>
    <w:qFormat/>
    <w:rsid w:val="00970A6D"/>
    <w:pPr>
      <w:pBdr>
        <w:top w:val="single" w:sz="4" w:space="10" w:color="00AE6D" w:themeColor="accent1"/>
        <w:bottom w:val="single" w:sz="4" w:space="10" w:color="00AE6D" w:themeColor="accent1"/>
      </w:pBdr>
      <w:spacing w:before="360" w:after="360"/>
      <w:ind w:left="864" w:right="864"/>
      <w:jc w:val="center"/>
    </w:pPr>
    <w:rPr>
      <w:i/>
      <w:iCs/>
      <w:color w:val="00AE6D" w:themeColor="accent1"/>
    </w:rPr>
  </w:style>
  <w:style w:type="character" w:customStyle="1" w:styleId="IntenseQuoteChar">
    <w:name w:val="Intense Quote Char"/>
    <w:basedOn w:val="DefaultParagraphFont"/>
    <w:link w:val="IntenseQuote"/>
    <w:uiPriority w:val="30"/>
    <w:rsid w:val="00970A6D"/>
    <w:rPr>
      <w:i/>
      <w:iCs/>
      <w:color w:val="00AE6D" w:themeColor="accent1"/>
      <w:sz w:val="20"/>
      <w:szCs w:val="20"/>
    </w:rPr>
  </w:style>
  <w:style w:type="paragraph" w:customStyle="1" w:styleId="text">
    <w:name w:val="text"/>
    <w:basedOn w:val="Normal"/>
    <w:rsid w:val="000357D3"/>
    <w:pPr>
      <w:spacing w:before="100" w:beforeAutospacing="1" w:after="100" w:afterAutospacing="1" w:line="240" w:lineRule="auto"/>
    </w:pPr>
    <w:rPr>
      <w:rFonts w:ascii="Times New Roman" w:eastAsia="Times New Roman" w:hAnsi="Times New Roman" w:cs="Times New Roman"/>
      <w:sz w:val="24"/>
      <w:szCs w:val="24"/>
      <w:lang w:val="en-NZ" w:eastAsia="en-GB"/>
    </w:rPr>
  </w:style>
  <w:style w:type="paragraph" w:customStyle="1" w:styleId="Default">
    <w:name w:val="Default"/>
    <w:rsid w:val="003A5383"/>
    <w:pPr>
      <w:autoSpaceDE w:val="0"/>
      <w:autoSpaceDN w:val="0"/>
      <w:adjustRightInd w:val="0"/>
      <w:spacing w:after="0" w:line="240" w:lineRule="auto"/>
    </w:pPr>
    <w:rPr>
      <w:rFonts w:ascii="Calibri" w:hAnsi="Calibri" w:cs="Calibri"/>
      <w:color w:val="000000"/>
      <w:sz w:val="24"/>
      <w:szCs w:val="24"/>
    </w:rPr>
  </w:style>
  <w:style w:type="paragraph" w:customStyle="1" w:styleId="xxmsonormal">
    <w:name w:val="x_xmsonormal"/>
    <w:basedOn w:val="Normal"/>
    <w:rsid w:val="009E4943"/>
    <w:pPr>
      <w:spacing w:before="100" w:beforeAutospacing="1" w:after="100" w:afterAutospacing="1" w:line="240" w:lineRule="auto"/>
    </w:pPr>
    <w:rPr>
      <w:rFonts w:ascii="Times New Roman" w:eastAsia="Times New Roman" w:hAnsi="Times New Roman" w:cs="Times New Roman"/>
      <w:sz w:val="24"/>
      <w:szCs w:val="24"/>
      <w:lang w:val="en-NZ" w:eastAsia="en-GB"/>
    </w:rPr>
  </w:style>
  <w:style w:type="character" w:customStyle="1" w:styleId="normaltextrun">
    <w:name w:val="normaltextrun"/>
    <w:basedOn w:val="DefaultParagraphFont"/>
    <w:rsid w:val="000409DC"/>
  </w:style>
  <w:style w:type="paragraph" w:styleId="EndnoteText">
    <w:name w:val="endnote text"/>
    <w:basedOn w:val="Normal"/>
    <w:link w:val="EndnoteTextChar"/>
    <w:uiPriority w:val="99"/>
    <w:unhideWhenUsed/>
    <w:rsid w:val="000409DC"/>
    <w:pPr>
      <w:spacing w:after="0" w:line="240" w:lineRule="auto"/>
    </w:pPr>
    <w:rPr>
      <w:lang w:val="en-NZ"/>
    </w:rPr>
  </w:style>
  <w:style w:type="character" w:customStyle="1" w:styleId="EndnoteTextChar">
    <w:name w:val="Endnote Text Char"/>
    <w:basedOn w:val="DefaultParagraphFont"/>
    <w:link w:val="EndnoteText"/>
    <w:uiPriority w:val="99"/>
    <w:rsid w:val="000409DC"/>
    <w:rPr>
      <w:sz w:val="20"/>
      <w:szCs w:val="20"/>
      <w:lang w:val="en-NZ"/>
    </w:rPr>
  </w:style>
  <w:style w:type="paragraph" w:customStyle="1" w:styleId="paragraph">
    <w:name w:val="paragraph"/>
    <w:basedOn w:val="Normal"/>
    <w:rsid w:val="005232C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eop">
    <w:name w:val="eop"/>
    <w:basedOn w:val="DefaultParagraphFont"/>
    <w:rsid w:val="005232C5"/>
  </w:style>
  <w:style w:type="paragraph" w:styleId="TOC4">
    <w:name w:val="toc 4"/>
    <w:basedOn w:val="Normal"/>
    <w:next w:val="Normal"/>
    <w:autoRedefine/>
    <w:uiPriority w:val="39"/>
    <w:unhideWhenUsed/>
    <w:rsid w:val="007366B8"/>
    <w:pPr>
      <w:spacing w:after="100"/>
      <w:ind w:left="660"/>
    </w:pPr>
    <w:rPr>
      <w:rFonts w:eastAsiaTheme="minorEastAsia"/>
      <w:sz w:val="22"/>
      <w:szCs w:val="22"/>
      <w:lang w:val="en-NZ" w:eastAsia="en-NZ"/>
    </w:rPr>
  </w:style>
  <w:style w:type="paragraph" w:styleId="TOC5">
    <w:name w:val="toc 5"/>
    <w:basedOn w:val="Normal"/>
    <w:next w:val="Normal"/>
    <w:autoRedefine/>
    <w:uiPriority w:val="39"/>
    <w:unhideWhenUsed/>
    <w:rsid w:val="007366B8"/>
    <w:pPr>
      <w:spacing w:after="100"/>
      <w:ind w:left="880"/>
    </w:pPr>
    <w:rPr>
      <w:rFonts w:eastAsiaTheme="minorEastAsia"/>
      <w:sz w:val="22"/>
      <w:szCs w:val="22"/>
      <w:lang w:val="en-NZ" w:eastAsia="en-NZ"/>
    </w:rPr>
  </w:style>
  <w:style w:type="paragraph" w:styleId="TOC6">
    <w:name w:val="toc 6"/>
    <w:basedOn w:val="Normal"/>
    <w:next w:val="Normal"/>
    <w:autoRedefine/>
    <w:uiPriority w:val="39"/>
    <w:unhideWhenUsed/>
    <w:rsid w:val="007366B8"/>
    <w:pPr>
      <w:spacing w:after="100"/>
      <w:ind w:left="1100"/>
    </w:pPr>
    <w:rPr>
      <w:rFonts w:eastAsiaTheme="minorEastAsia"/>
      <w:sz w:val="22"/>
      <w:szCs w:val="22"/>
      <w:lang w:val="en-NZ" w:eastAsia="en-NZ"/>
    </w:rPr>
  </w:style>
  <w:style w:type="paragraph" w:styleId="TOC7">
    <w:name w:val="toc 7"/>
    <w:basedOn w:val="Normal"/>
    <w:next w:val="Normal"/>
    <w:autoRedefine/>
    <w:uiPriority w:val="39"/>
    <w:unhideWhenUsed/>
    <w:rsid w:val="007366B8"/>
    <w:pPr>
      <w:spacing w:after="100"/>
      <w:ind w:left="1320"/>
    </w:pPr>
    <w:rPr>
      <w:rFonts w:eastAsiaTheme="minorEastAsia"/>
      <w:sz w:val="22"/>
      <w:szCs w:val="22"/>
      <w:lang w:val="en-NZ" w:eastAsia="en-NZ"/>
    </w:rPr>
  </w:style>
  <w:style w:type="paragraph" w:styleId="TOC8">
    <w:name w:val="toc 8"/>
    <w:basedOn w:val="Normal"/>
    <w:next w:val="Normal"/>
    <w:autoRedefine/>
    <w:uiPriority w:val="39"/>
    <w:unhideWhenUsed/>
    <w:rsid w:val="007366B8"/>
    <w:pPr>
      <w:spacing w:after="100"/>
      <w:ind w:left="1540"/>
    </w:pPr>
    <w:rPr>
      <w:rFonts w:eastAsiaTheme="minorEastAsia"/>
      <w:sz w:val="22"/>
      <w:szCs w:val="22"/>
      <w:lang w:val="en-NZ" w:eastAsia="en-NZ"/>
    </w:rPr>
  </w:style>
  <w:style w:type="paragraph" w:styleId="TOC9">
    <w:name w:val="toc 9"/>
    <w:basedOn w:val="Normal"/>
    <w:next w:val="Normal"/>
    <w:autoRedefine/>
    <w:uiPriority w:val="39"/>
    <w:unhideWhenUsed/>
    <w:rsid w:val="007366B8"/>
    <w:pPr>
      <w:spacing w:after="100"/>
      <w:ind w:left="1760"/>
    </w:pPr>
    <w:rPr>
      <w:rFonts w:eastAsiaTheme="minorEastAsia"/>
      <w:sz w:val="22"/>
      <w:szCs w:val="22"/>
      <w:lang w:val="en-NZ" w:eastAsia="en-NZ"/>
    </w:rPr>
  </w:style>
  <w:style w:type="character" w:styleId="FollowedHyperlink">
    <w:name w:val="FollowedHyperlink"/>
    <w:basedOn w:val="DefaultParagraphFont"/>
    <w:uiPriority w:val="99"/>
    <w:semiHidden/>
    <w:unhideWhenUsed/>
    <w:rsid w:val="00A05D47"/>
    <w:rPr>
      <w:color w:val="EE1C25" w:themeColor="followedHyperlink"/>
      <w:u w:val="single"/>
    </w:rPr>
  </w:style>
  <w:style w:type="paragraph" w:styleId="Revision">
    <w:name w:val="Revision"/>
    <w:hidden/>
    <w:uiPriority w:val="99"/>
    <w:semiHidden/>
    <w:rsid w:val="00E714C0"/>
    <w:pPr>
      <w:spacing w:after="0" w:line="240" w:lineRule="auto"/>
    </w:pPr>
    <w:rPr>
      <w:sz w:val="20"/>
      <w:szCs w:val="20"/>
    </w:rPr>
  </w:style>
  <w:style w:type="character" w:customStyle="1" w:styleId="apple-converted-space">
    <w:name w:val="apple-converted-space"/>
    <w:basedOn w:val="DefaultParagraphFont"/>
    <w:rsid w:val="00644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8100">
      <w:bodyDiv w:val="1"/>
      <w:marLeft w:val="0"/>
      <w:marRight w:val="0"/>
      <w:marTop w:val="0"/>
      <w:marBottom w:val="0"/>
      <w:divBdr>
        <w:top w:val="none" w:sz="0" w:space="0" w:color="auto"/>
        <w:left w:val="none" w:sz="0" w:space="0" w:color="auto"/>
        <w:bottom w:val="none" w:sz="0" w:space="0" w:color="auto"/>
        <w:right w:val="none" w:sz="0" w:space="0" w:color="auto"/>
      </w:divBdr>
    </w:div>
    <w:div w:id="323705405">
      <w:bodyDiv w:val="1"/>
      <w:marLeft w:val="0"/>
      <w:marRight w:val="0"/>
      <w:marTop w:val="0"/>
      <w:marBottom w:val="0"/>
      <w:divBdr>
        <w:top w:val="none" w:sz="0" w:space="0" w:color="auto"/>
        <w:left w:val="none" w:sz="0" w:space="0" w:color="auto"/>
        <w:bottom w:val="none" w:sz="0" w:space="0" w:color="auto"/>
        <w:right w:val="none" w:sz="0" w:space="0" w:color="auto"/>
      </w:divBdr>
    </w:div>
    <w:div w:id="657995797">
      <w:bodyDiv w:val="1"/>
      <w:marLeft w:val="0"/>
      <w:marRight w:val="0"/>
      <w:marTop w:val="0"/>
      <w:marBottom w:val="0"/>
      <w:divBdr>
        <w:top w:val="none" w:sz="0" w:space="0" w:color="auto"/>
        <w:left w:val="none" w:sz="0" w:space="0" w:color="auto"/>
        <w:bottom w:val="none" w:sz="0" w:space="0" w:color="auto"/>
        <w:right w:val="none" w:sz="0" w:space="0" w:color="auto"/>
      </w:divBdr>
    </w:div>
    <w:div w:id="771783375">
      <w:bodyDiv w:val="1"/>
      <w:marLeft w:val="0"/>
      <w:marRight w:val="0"/>
      <w:marTop w:val="0"/>
      <w:marBottom w:val="0"/>
      <w:divBdr>
        <w:top w:val="none" w:sz="0" w:space="0" w:color="auto"/>
        <w:left w:val="none" w:sz="0" w:space="0" w:color="auto"/>
        <w:bottom w:val="none" w:sz="0" w:space="0" w:color="auto"/>
        <w:right w:val="none" w:sz="0" w:space="0" w:color="auto"/>
      </w:divBdr>
    </w:div>
    <w:div w:id="1217351960">
      <w:bodyDiv w:val="1"/>
      <w:marLeft w:val="0"/>
      <w:marRight w:val="0"/>
      <w:marTop w:val="0"/>
      <w:marBottom w:val="0"/>
      <w:divBdr>
        <w:top w:val="none" w:sz="0" w:space="0" w:color="auto"/>
        <w:left w:val="none" w:sz="0" w:space="0" w:color="auto"/>
        <w:bottom w:val="none" w:sz="0" w:space="0" w:color="auto"/>
        <w:right w:val="none" w:sz="0" w:space="0" w:color="auto"/>
      </w:divBdr>
    </w:div>
    <w:div w:id="1247885515">
      <w:bodyDiv w:val="1"/>
      <w:marLeft w:val="0"/>
      <w:marRight w:val="0"/>
      <w:marTop w:val="0"/>
      <w:marBottom w:val="0"/>
      <w:divBdr>
        <w:top w:val="none" w:sz="0" w:space="0" w:color="auto"/>
        <w:left w:val="none" w:sz="0" w:space="0" w:color="auto"/>
        <w:bottom w:val="none" w:sz="0" w:space="0" w:color="auto"/>
        <w:right w:val="none" w:sz="0" w:space="0" w:color="auto"/>
      </w:divBdr>
    </w:div>
    <w:div w:id="1328828336">
      <w:bodyDiv w:val="1"/>
      <w:marLeft w:val="0"/>
      <w:marRight w:val="0"/>
      <w:marTop w:val="0"/>
      <w:marBottom w:val="0"/>
      <w:divBdr>
        <w:top w:val="none" w:sz="0" w:space="0" w:color="auto"/>
        <w:left w:val="none" w:sz="0" w:space="0" w:color="auto"/>
        <w:bottom w:val="none" w:sz="0" w:space="0" w:color="auto"/>
        <w:right w:val="none" w:sz="0" w:space="0" w:color="auto"/>
      </w:divBdr>
    </w:div>
    <w:div w:id="1472555628">
      <w:bodyDiv w:val="1"/>
      <w:marLeft w:val="0"/>
      <w:marRight w:val="0"/>
      <w:marTop w:val="0"/>
      <w:marBottom w:val="0"/>
      <w:divBdr>
        <w:top w:val="none" w:sz="0" w:space="0" w:color="auto"/>
        <w:left w:val="none" w:sz="0" w:space="0" w:color="auto"/>
        <w:bottom w:val="none" w:sz="0" w:space="0" w:color="auto"/>
        <w:right w:val="none" w:sz="0" w:space="0" w:color="auto"/>
      </w:divBdr>
    </w:div>
    <w:div w:id="1528445907">
      <w:bodyDiv w:val="1"/>
      <w:marLeft w:val="0"/>
      <w:marRight w:val="0"/>
      <w:marTop w:val="0"/>
      <w:marBottom w:val="0"/>
      <w:divBdr>
        <w:top w:val="none" w:sz="0" w:space="0" w:color="auto"/>
        <w:left w:val="none" w:sz="0" w:space="0" w:color="auto"/>
        <w:bottom w:val="none" w:sz="0" w:space="0" w:color="auto"/>
        <w:right w:val="none" w:sz="0" w:space="0" w:color="auto"/>
      </w:divBdr>
    </w:div>
    <w:div w:id="1539928051">
      <w:bodyDiv w:val="1"/>
      <w:marLeft w:val="0"/>
      <w:marRight w:val="0"/>
      <w:marTop w:val="0"/>
      <w:marBottom w:val="0"/>
      <w:divBdr>
        <w:top w:val="none" w:sz="0" w:space="0" w:color="auto"/>
        <w:left w:val="none" w:sz="0" w:space="0" w:color="auto"/>
        <w:bottom w:val="none" w:sz="0" w:space="0" w:color="auto"/>
        <w:right w:val="none" w:sz="0" w:space="0" w:color="auto"/>
      </w:divBdr>
    </w:div>
    <w:div w:id="1651519096">
      <w:bodyDiv w:val="1"/>
      <w:marLeft w:val="0"/>
      <w:marRight w:val="0"/>
      <w:marTop w:val="0"/>
      <w:marBottom w:val="0"/>
      <w:divBdr>
        <w:top w:val="none" w:sz="0" w:space="0" w:color="auto"/>
        <w:left w:val="none" w:sz="0" w:space="0" w:color="auto"/>
        <w:bottom w:val="none" w:sz="0" w:space="0" w:color="auto"/>
        <w:right w:val="none" w:sz="0" w:space="0" w:color="auto"/>
      </w:divBdr>
    </w:div>
    <w:div w:id="1656255832">
      <w:bodyDiv w:val="1"/>
      <w:marLeft w:val="0"/>
      <w:marRight w:val="0"/>
      <w:marTop w:val="0"/>
      <w:marBottom w:val="0"/>
      <w:divBdr>
        <w:top w:val="none" w:sz="0" w:space="0" w:color="auto"/>
        <w:left w:val="none" w:sz="0" w:space="0" w:color="auto"/>
        <w:bottom w:val="none" w:sz="0" w:space="0" w:color="auto"/>
        <w:right w:val="none" w:sz="0" w:space="0" w:color="auto"/>
      </w:divBdr>
    </w:div>
    <w:div w:id="1739207501">
      <w:bodyDiv w:val="1"/>
      <w:marLeft w:val="0"/>
      <w:marRight w:val="0"/>
      <w:marTop w:val="0"/>
      <w:marBottom w:val="0"/>
      <w:divBdr>
        <w:top w:val="none" w:sz="0" w:space="0" w:color="auto"/>
        <w:left w:val="none" w:sz="0" w:space="0" w:color="auto"/>
        <w:bottom w:val="none" w:sz="0" w:space="0" w:color="auto"/>
        <w:right w:val="none" w:sz="0" w:space="0" w:color="auto"/>
      </w:divBdr>
    </w:div>
    <w:div w:id="1860270649">
      <w:bodyDiv w:val="1"/>
      <w:marLeft w:val="0"/>
      <w:marRight w:val="0"/>
      <w:marTop w:val="0"/>
      <w:marBottom w:val="0"/>
      <w:divBdr>
        <w:top w:val="none" w:sz="0" w:space="0" w:color="auto"/>
        <w:left w:val="none" w:sz="0" w:space="0" w:color="auto"/>
        <w:bottom w:val="none" w:sz="0" w:space="0" w:color="auto"/>
        <w:right w:val="none" w:sz="0" w:space="0" w:color="auto"/>
      </w:divBdr>
    </w:div>
    <w:div w:id="1995639237">
      <w:bodyDiv w:val="1"/>
      <w:marLeft w:val="0"/>
      <w:marRight w:val="0"/>
      <w:marTop w:val="0"/>
      <w:marBottom w:val="0"/>
      <w:divBdr>
        <w:top w:val="none" w:sz="0" w:space="0" w:color="auto"/>
        <w:left w:val="none" w:sz="0" w:space="0" w:color="auto"/>
        <w:bottom w:val="none" w:sz="0" w:space="0" w:color="auto"/>
        <w:right w:val="none" w:sz="0" w:space="0" w:color="auto"/>
      </w:divBdr>
    </w:div>
    <w:div w:id="2071658881">
      <w:bodyDiv w:val="1"/>
      <w:marLeft w:val="0"/>
      <w:marRight w:val="0"/>
      <w:marTop w:val="0"/>
      <w:marBottom w:val="0"/>
      <w:divBdr>
        <w:top w:val="none" w:sz="0" w:space="0" w:color="auto"/>
        <w:left w:val="none" w:sz="0" w:space="0" w:color="auto"/>
        <w:bottom w:val="none" w:sz="0" w:space="0" w:color="auto"/>
        <w:right w:val="none" w:sz="0" w:space="0" w:color="auto"/>
      </w:divBdr>
    </w:div>
    <w:div w:id="208248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rensrightsalliance.org.nz/childrensviews"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onversation.education.govt.nz/conversations/education-conversa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nfo@childrensrightsalliance.org.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versation.education.govt.nz/conversations/education-convers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hildrensrightsalliance.org.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117" Type="http://schemas.openxmlformats.org/officeDocument/2006/relationships/hyperlink" Target="https://www.education.govt.nz/our-work/legislation/education-and-training-act-2020/enabling-a-new-dispute-resolution-panel-to-hear-complaints-about-school-board-decisions/" TargetMode="External"/><Relationship Id="rId299" Type="http://schemas.openxmlformats.org/officeDocument/2006/relationships/hyperlink" Target="https://www.stuff.co.nz/national/crime/300338000/more-than-110-teenagers-kept-in-cells-for-24-hours-or-longer" TargetMode="External"/><Relationship Id="rId21" Type="http://schemas.openxmlformats.org/officeDocument/2006/relationships/hyperlink" Target="https://www.stats.govt.nz/news/annual-inflation-reaches-30-year-high-of-6-9-percent" TargetMode="External"/><Relationship Id="rId63" Type="http://schemas.openxmlformats.org/officeDocument/2006/relationships/hyperlink" Target="https://www.refworld.org/docid/4538834e4.html" TargetMode="External"/><Relationship Id="rId159" Type="http://schemas.openxmlformats.org/officeDocument/2006/relationships/hyperlink" Target="https://www.abuseincare.org.nz/our-progress/reports/from-redress-to-puretumu/from-redress-to-puretumu-5/1-1-introduction-24/" TargetMode="External"/><Relationship Id="rId324" Type="http://schemas.openxmlformats.org/officeDocument/2006/relationships/hyperlink" Target="https://doi.org/10.1080/1177083X.2021.2012490" TargetMode="External"/><Relationship Id="rId170" Type="http://schemas.openxmlformats.org/officeDocument/2006/relationships/hyperlink" Target="https://www.beehive.govt.nz/release/adoption-laws-under-review" TargetMode="External"/><Relationship Id="rId226" Type="http://schemas.openxmlformats.org/officeDocument/2006/relationships/hyperlink" Target="https://www.childyouthwellbeing.govt.nz/resources/child-poverty-related-indicators-report-20202021" TargetMode="External"/><Relationship Id="rId268" Type="http://schemas.openxmlformats.org/officeDocument/2006/relationships/hyperlink" Target="https://ihc.org.nz/ihcs-education-complaint" TargetMode="External"/><Relationship Id="rId32" Type="http://schemas.openxmlformats.org/officeDocument/2006/relationships/hyperlink" Target="https://www.sciencemediacentre.co.nz/2022/03/21/two-years-since-nz-first-locked-down-expert-reaction/" TargetMode="External"/><Relationship Id="rId74" Type="http://schemas.openxmlformats.org/officeDocument/2006/relationships/hyperlink" Target="https://www.parliament.nz/en/pb/petitions/document/PET_124116/petition-of-layba-zubair-consent-law-reform" TargetMode="External"/><Relationship Id="rId128" Type="http://schemas.openxmlformats.org/officeDocument/2006/relationships/hyperlink" Target="https://www.rnz.co.nz/news/in-depth/437944/police-using-app-to-photograph-innocent-youth-it-s-so-wrong" TargetMode="External"/><Relationship Id="rId5" Type="http://schemas.openxmlformats.org/officeDocument/2006/relationships/hyperlink" Target="http://hdl.handle.net/10523/7390" TargetMode="External"/><Relationship Id="rId181" Type="http://schemas.openxmlformats.org/officeDocument/2006/relationships/hyperlink" Target="https://www.lawcom.govt.nz/sites/default/files/projectAvailableFormats/Surrogacy%20-%20Final%20Report%20146%20-%20%20Executive%20Summary.pdf" TargetMode="External"/><Relationship Id="rId237" Type="http://schemas.openxmlformats.org/officeDocument/2006/relationships/hyperlink" Target="https://static1.squarespace.com/static/608737f129c8f67c2c6932b2/t/6135ce260720e304de1026c3/1630916137613/Childrens+Rights+Alliance+Aotearoa+Supplementary+Report+Covid19.pdf" TargetMode="External"/><Relationship Id="rId279" Type="http://schemas.openxmlformats.org/officeDocument/2006/relationships/hyperlink" Target="https://christchurchattack.royalcommission.nz/the-report/executive-summary-2/summary-of-recommendations/" TargetMode="External"/><Relationship Id="rId43" Type="http://schemas.openxmlformats.org/officeDocument/2006/relationships/hyperlink" Target="https://www.tvnz.co.nz/one-news/new-zealand/pasifika-in-bay-plenty-forced-present-passports-get-covid-jabs" TargetMode="External"/><Relationship Id="rId139" Type="http://schemas.openxmlformats.org/officeDocument/2006/relationships/hyperlink" Target="https://tepunaaonui.govt.nz/assets/National-strategy/Finals-translations-alt-formats/Te-Aorerekura-Action-plan.pdf" TargetMode="External"/><Relationship Id="rId290" Type="http://schemas.openxmlformats.org/officeDocument/2006/relationships/hyperlink" Target="http://www.weag.govt.nz/weag-report/" TargetMode="External"/><Relationship Id="rId304" Type="http://schemas.openxmlformats.org/officeDocument/2006/relationships/hyperlink" Target="https://www.districtcourts.govt.nz/all-judgments/new-zealand-police-oranga-tamariki-v-lv-2020-nzyc-117/" TargetMode="External"/><Relationship Id="rId85" Type="http://schemas.openxmlformats.org/officeDocument/2006/relationships/hyperlink" Target="https://www.parliament.nz/en/pb/bills-and-laws/bills-proposed-laws/document/BILL_74854/births-deaths-marriages-and-relationships-registration" TargetMode="External"/><Relationship Id="rId150" Type="http://schemas.openxmlformats.org/officeDocument/2006/relationships/hyperlink" Target="https://www.newsroom.co.nz/alarm-at-physical-restraints-of-kids-in-care" TargetMode="External"/><Relationship Id="rId192" Type="http://schemas.openxmlformats.org/officeDocument/2006/relationships/hyperlink" Target="https://www.health.govt.nz/our-work/diseases-and-conditions/fetal-alcohol-spectrum-disorder/summary-progress-fetal-alcohol-spectrum-disorder-fasd-action-plan" TargetMode="External"/><Relationship Id="rId206" Type="http://schemas.openxmlformats.org/officeDocument/2006/relationships/hyperlink" Target="https://covid.immune.org.nz/news-insights/maintaining-high-immunisation-coverage-current-covid-19-disease-circulating" TargetMode="External"/><Relationship Id="rId248" Type="http://schemas.openxmlformats.org/officeDocument/2006/relationships/hyperlink" Target="https://our.actionstation.org.nz/petitions/end-youth-homelessness?fbclid=IwAR3VoxwG2XTsHxLmG_4hWjoRffcryUX0V0BMZX6NC8-KBWU1sk6a9dGlMB0" TargetMode="External"/><Relationship Id="rId12" Type="http://schemas.openxmlformats.org/officeDocument/2006/relationships/hyperlink" Target="https://teara.govt.nz/en/historic-earthquakes/page-15" TargetMode="External"/><Relationship Id="rId108" Type="http://schemas.openxmlformats.org/officeDocument/2006/relationships/hyperlink" Target="https://www.health.govt.nz/publication/every-life-matters-he-tapu-te-oranga-o-ia-tangata-suicide-prevention-strategy-2019-2029-and-suicide" TargetMode="External"/><Relationship Id="rId315" Type="http://schemas.openxmlformats.org/officeDocument/2006/relationships/hyperlink" Target="https://ero.govt.nz" TargetMode="External"/><Relationship Id="rId54" Type="http://schemas.openxmlformats.org/officeDocument/2006/relationships/hyperlink" Target="https://www.childyouthwellbeing.govt.nz/measuring-success/indicators" TargetMode="External"/><Relationship Id="rId96" Type="http://schemas.openxmlformats.org/officeDocument/2006/relationships/hyperlink" Target="https://www.youth19.ac.nz/publications/sexual-attraction-wellbeing" TargetMode="External"/><Relationship Id="rId161" Type="http://schemas.openxmlformats.org/officeDocument/2006/relationships/hyperlink" Target="https://www.stuff.co.nz/national/politics/300418466/oranga-tamariki-government-again-directs-overhaul-after-report-criticises-weak-disconnected-and-unfit-agency" TargetMode="External"/><Relationship Id="rId217" Type="http://schemas.openxmlformats.org/officeDocument/2006/relationships/hyperlink" Target="https://static1.squarespace.com/static/5bdbb75ccef37259122e59aa/t/5e7d50e5e1a6fc55dd1e6c8a/1585271016485/Youth19+Vaping+fact+sheet.pdf" TargetMode="External"/><Relationship Id="rId259" Type="http://schemas.openxmlformats.org/officeDocument/2006/relationships/hyperlink" Target="https://www.rnz.co.nz/news/national/470824/principals-urge-education-ministry-to-avoid-staff-cuts-despite-student-absences" TargetMode="External"/><Relationship Id="rId23" Type="http://schemas.openxmlformats.org/officeDocument/2006/relationships/hyperlink" Target="https://www.ohchr.org/Documents/HRBodies/CRC/30Anniversary/Pledges/NewZealand.pdf" TargetMode="External"/><Relationship Id="rId119" Type="http://schemas.openxmlformats.org/officeDocument/2006/relationships/hyperlink" Target="https://environment.govt.nz/what-government-is-doing/areas-of-work/climate-change/emissions-reduction-plan/" TargetMode="External"/><Relationship Id="rId270" Type="http://schemas.openxmlformats.org/officeDocument/2006/relationships/hyperlink" Target="https://ieag.org.nz/news-and-events/an-open-letter-on-the-plans-to-expand-enrolments-in-residential-special-schoolsnew-article-page/" TargetMode="External"/><Relationship Id="rId326" Type="http://schemas.openxmlformats.org/officeDocument/2006/relationships/hyperlink" Target="https://www.stuff.co.nz/national/300212679/timeline-oranga-tamariki-chief-executive-grainne-moss-road-to-resignation" TargetMode="External"/><Relationship Id="rId65" Type="http://schemas.openxmlformats.org/officeDocument/2006/relationships/hyperlink" Target="https://www.rnz.co.nz/news/national/424271/children-s-commissioner-wants-age-of-criminal-responsibility-raised-to-14" TargetMode="External"/><Relationship Id="rId130" Type="http://schemas.openxmlformats.org/officeDocument/2006/relationships/hyperlink" Target="https://www.privacy.org.nz/publications/commissioner-inquiries/joint-inquiry-into-police-photographing-of-members-of-the-public/" TargetMode="External"/><Relationship Id="rId172" Type="http://schemas.openxmlformats.org/officeDocument/2006/relationships/hyperlink" Target="https://www.justice.govt.nz/assets/Documents/Publications/Adoption-in-Aotearoa-NZ-Discussion-doc.pdf" TargetMode="External"/><Relationship Id="rId228" Type="http://schemas.openxmlformats.org/officeDocument/2006/relationships/hyperlink" Target="https://www.stats.govt.nz/news/child-poverty-statistics-show-all-measures-trending-downwards-over-the-last-three-years/" TargetMode="External"/><Relationship Id="rId281" Type="http://schemas.openxmlformats.org/officeDocument/2006/relationships/hyperlink" Target="https://ojs.victoria.ac.nz/LEW/article/view/1696/0" TargetMode="External"/><Relationship Id="rId34" Type="http://schemas.openxmlformats.org/officeDocument/2006/relationships/hyperlink" Target="https://www.occ.org.nz/publications/reports/life-in-lockdown/" TargetMode="External"/><Relationship Id="rId76" Type="http://schemas.openxmlformats.org/officeDocument/2006/relationships/hyperlink" Target="https://www.youth19.ac.nz/publications/transgender-and-diverse-students-brief" TargetMode="External"/><Relationship Id="rId141" Type="http://schemas.openxmlformats.org/officeDocument/2006/relationships/hyperlink" Target="https://tepunaaonui.govt.nz/assets/National-strategy/Finals-translations-alt-formats/Te-Aorerekura-National-Strategy-final.pdf" TargetMode="External"/><Relationship Id="rId7" Type="http://schemas.openxmlformats.org/officeDocument/2006/relationships/hyperlink" Target="https://waitangitribunal.govt.nz/news/tribunal-releases-report-on-oranga-tamariki/" TargetMode="External"/><Relationship Id="rId183" Type="http://schemas.openxmlformats.org/officeDocument/2006/relationships/hyperlink" Target="http://www.jstor.org/stable/j.ctt5hjm1h" TargetMode="External"/><Relationship Id="rId239" Type="http://schemas.openxmlformats.org/officeDocument/2006/relationships/hyperlink" Target="https://www.newsroom.co.nz/to-solve-our-housing-crisis-lets-learn-from-whats-already-working" TargetMode="External"/><Relationship Id="rId250" Type="http://schemas.openxmlformats.org/officeDocument/2006/relationships/hyperlink" Target="https://www.health.govt.nz/publication/annual-update-key-results-2020-21-new-zealand-health-survey" TargetMode="External"/><Relationship Id="rId292" Type="http://schemas.openxmlformats.org/officeDocument/2006/relationships/hyperlink" Target="https://www.justice.govt.nz/assets/Documents/Publications/RIS-17-yr-olds-and-traffic-offences-in-youth-justice-system.pdf" TargetMode="External"/><Relationship Id="rId306" Type="http://schemas.openxmlformats.org/officeDocument/2006/relationships/hyperlink" Target="https://www.districtcourts.govt.nz/all-judgments/new-zealand-police-v-jv-2021-nzyc-248/" TargetMode="External"/><Relationship Id="rId24" Type="http://schemas.openxmlformats.org/officeDocument/2006/relationships/hyperlink" Target="https://www.tewhatuora.govt.nz/assets/Uploads/Update-on-the-National-Operating-Model-and-High-Level-Structure.pdf" TargetMode="External"/><Relationship Id="rId45" Type="http://schemas.openxmlformats.org/officeDocument/2006/relationships/hyperlink" Target="https://www.legislation.govt.nz/act/public/2020/0038/latest/whole.html" TargetMode="External"/><Relationship Id="rId66" Type="http://schemas.openxmlformats.org/officeDocument/2006/relationships/hyperlink" Target="https://www.occ.org.nz/publications/news/some-stark-injustices-in-our-youth-justice-system-need-fixing-and-heres-how/" TargetMode="External"/><Relationship Id="rId87" Type="http://schemas.openxmlformats.org/officeDocument/2006/relationships/hyperlink" Target="https://www.dia.govt.nz/bdmreview---recognising-gender-on-birth%20certificates" TargetMode="External"/><Relationship Id="rId110" Type="http://schemas.openxmlformats.org/officeDocument/2006/relationships/hyperlink" Target="https://www.rnz.co.nz/news/national/470488/air-pollution-invercargill-revealed-as-deadliest-centre-study" TargetMode="External"/><Relationship Id="rId131" Type="http://schemas.openxmlformats.org/officeDocument/2006/relationships/hyperlink" Target="https://www.stuff.co.nz/about-stuff/300106664/stuff-editorial-code-of-practice-and-ethics" TargetMode="External"/><Relationship Id="rId327" Type="http://schemas.openxmlformats.org/officeDocument/2006/relationships/hyperlink" Target="https://www.orangatamariki.govt.nz/about-us/reports-and-releases/cabinet-papers/oranga-tamariki-ministerial-advisory-board/" TargetMode="External"/><Relationship Id="rId152" Type="http://schemas.openxmlformats.org/officeDocument/2006/relationships/hyperlink" Target="https://www.orangatamariki.govt.nz/about-us/news/media-release-closure-of-te-oranga/" TargetMode="External"/><Relationship Id="rId173" Type="http://schemas.openxmlformats.org/officeDocument/2006/relationships/hyperlink" Target="https://www.justice.govt.nz/assets/Documents/Publications/Adoption-in-Aotearoa-NZ-Discussion-doc.pdf" TargetMode="External"/><Relationship Id="rId194" Type="http://schemas.openxmlformats.org/officeDocument/2006/relationships/hyperlink" Target="https://www.health.govt.nz/our-work/disability-services/about-disability-support-services/intellectual-disability-compulsory-care-and-rehabilitation-act-2003" TargetMode="External"/><Relationship Id="rId208" Type="http://schemas.openxmlformats.org/officeDocument/2006/relationships/hyperlink" Target="https://www.1news.co.nz/2022/07/29/low-vaccination-rates-prompt-fears-of-severe-measles-outbreak/" TargetMode="External"/><Relationship Id="rId229" Type="http://schemas.openxmlformats.org/officeDocument/2006/relationships/hyperlink" Target="https://www.stats.govt.nz/information-releases/child-poverty-statistics-year-ended-june-2021" TargetMode="External"/><Relationship Id="rId240" Type="http://schemas.openxmlformats.org/officeDocument/2006/relationships/hyperlink" Target="https://www.stuff.co.nz/national/127868304/the-women-raising-their-families-in-emergency-housing" TargetMode="External"/><Relationship Id="rId261" Type="http://schemas.openxmlformats.org/officeDocument/2006/relationships/hyperlink" Target="https://conversation.education.govt.nz/conversations/education-conversation/" TargetMode="External"/><Relationship Id="rId14" Type="http://schemas.openxmlformats.org/officeDocument/2006/relationships/hyperlink" Target="https://nzhistory.govt.nz/page/51-killed-mosque-shootings" TargetMode="External"/><Relationship Id="rId35" Type="http://schemas.openxmlformats.org/officeDocument/2006/relationships/hyperlink" Target="https://ero.govt.nz/sites/default/files/2021-04/Learning%20in%20a%20Covid-19%20World%20The%20Impact%20of%20Covid-19%20on%20Early%20Childhood%20Education.pdf" TargetMode="External"/><Relationship Id="rId56" Type="http://schemas.openxmlformats.org/officeDocument/2006/relationships/hyperlink" Target="https://www.youth19.ac.nz/" TargetMode="External"/><Relationship Id="rId77" Type="http://schemas.openxmlformats.org/officeDocument/2006/relationships/hyperlink" Target="https://www.youth19.ac.nz/publications/negotiating-multiple-identities-report" TargetMode="External"/><Relationship Id="rId100" Type="http://schemas.openxmlformats.org/officeDocument/2006/relationships/hyperlink" Target="https://countingourselves.nz" TargetMode="External"/><Relationship Id="rId282" Type="http://schemas.openxmlformats.org/officeDocument/2006/relationships/hyperlink" Target="https://ojs.victoria.ac.nz/LEW/article/view/1697" TargetMode="External"/><Relationship Id="rId317" Type="http://schemas.openxmlformats.org/officeDocument/2006/relationships/hyperlink" Target="https://drive.google.com/file/d/1hh6jq9HGa1-oyva6EHV3vRBwvjtXVJvV/view" TargetMode="External"/><Relationship Id="rId8" Type="http://schemas.openxmlformats.org/officeDocument/2006/relationships/hyperlink" Target="http://www.journal.mai.ac.nz/content/oranga-mokopuna-t%C4%81ngata-whenua-rights-based-approach-health-and-wellbeing" TargetMode="External"/><Relationship Id="rId98" Type="http://schemas.openxmlformats.org/officeDocument/2006/relationships/hyperlink" Target="https://www.youth19.ac.nz/publications/negotiating-multiple-identities-report" TargetMode="External"/><Relationship Id="rId121" Type="http://schemas.openxmlformats.org/officeDocument/2006/relationships/hyperlink" Target="http://www.journal.mai.ac.nz/sites/default/files/MAIJrnl_7_2_King_FINAL.pdf" TargetMode="External"/><Relationship Id="rId142" Type="http://schemas.openxmlformats.org/officeDocument/2006/relationships/hyperlink" Target="https://tepunaaonui.govt.nz/assets/National-strategy/Finals-translations-alt-formats/Te-Aorerekura-National-Strategy-final.pdf" TargetMode="External"/><Relationship Id="rId163" Type="http://schemas.openxmlformats.org/officeDocument/2006/relationships/hyperlink" Target="https://www.gisborneherald.co.nz/frontpage-featured/20200201/iwi-vision-for-children/" TargetMode="External"/><Relationship Id="rId184" Type="http://schemas.openxmlformats.org/officeDocument/2006/relationships/hyperlink" Target="https://www.occ.org.nz/publications/reports/disabled-children-young-people-summary-report/" TargetMode="External"/><Relationship Id="rId219" Type="http://schemas.openxmlformats.org/officeDocument/2006/relationships/hyperlink" Target="https://www.parliament.nz/en/pb/petitions/document/PET_125221/petition-of-the-hashtags-require-licences-for-all-vape" TargetMode="External"/><Relationship Id="rId230" Type="http://schemas.openxmlformats.org/officeDocument/2006/relationships/hyperlink" Target="https://www.cpag.org.nz/statistics/latest-child-poverty-figures" TargetMode="External"/><Relationship Id="rId251" Type="http://schemas.openxmlformats.org/officeDocument/2006/relationships/hyperlink" Target="https://doi.org/10.3390/earth2040047" TargetMode="External"/><Relationship Id="rId25" Type="http://schemas.openxmlformats.org/officeDocument/2006/relationships/hyperlink" Target="https://www.lawcom.govt.nz/sites/default/files/projectAvailableFormats/NZLC%20-%20PRA%20Review%20Project%20-%20Final%20Report%20R143_0.pdf" TargetMode="External"/><Relationship Id="rId46" Type="http://schemas.openxmlformats.org/officeDocument/2006/relationships/hyperlink" Target="https://drive.google.com/file/d/1hh6jq9HGa1oyva6EHV3vRBwvjtXVJvV/view" TargetMode="External"/><Relationship Id="rId67" Type="http://schemas.openxmlformats.org/officeDocument/2006/relationships/hyperlink" Target="https://www.makeit16.org.nz" TargetMode="External"/><Relationship Id="rId272" Type="http://schemas.openxmlformats.org/officeDocument/2006/relationships/hyperlink" Target="https://assets.education.govt.nz/public/Documents/our-work/information-releases/Advice-Seen-by-our-Ministers/September-2021/8.-BN-1266682-Student-engagement-data-2020.pdf" TargetMode="External"/><Relationship Id="rId293" Type="http://schemas.openxmlformats.org/officeDocument/2006/relationships/hyperlink" Target="https://nzdotstat.stats.govt.nz/wbos/Index.aspx?DataSetCode=TABLECODE7361&amp;_ga=2.205511632.1556802846.1650343893-975324628.1648090815&amp;_gac=1.245706416.1648152415.EAIaIQobChMIvPP9isbf9gIVFbqWCh3XYghuEAAYASAAEgKyL_D_BwE" TargetMode="External"/><Relationship Id="rId307" Type="http://schemas.openxmlformats.org/officeDocument/2006/relationships/hyperlink" Target="https://www.rnz.co.nz/news/national/462608/child-sex-abuse-operation-level-of-offending-much-higher-than-before-investigator" TargetMode="External"/><Relationship Id="rId328" Type="http://schemas.openxmlformats.org/officeDocument/2006/relationships/hyperlink" Target="https://www.orangatamariki.govt.nz/about-us/how-we-work/new-ways-of-working/" TargetMode="External"/><Relationship Id="rId88" Type="http://schemas.openxmlformats.org/officeDocument/2006/relationships/hyperlink" Target="https://www.hrc.co.nz/our-work/sogiesc/past-projects/inquiry-discrimination-experienced-transgender-people/" TargetMode="External"/><Relationship Id="rId111" Type="http://schemas.openxmlformats.org/officeDocument/2006/relationships/hyperlink" Target="https://www.occ.org.nz/voices/mai-world/" TargetMode="External"/><Relationship Id="rId132" Type="http://schemas.openxmlformats.org/officeDocument/2006/relationships/hyperlink" Target="https://www.newsroom.co.nz/parental-oversharing-risks-nz-kids-privacy" TargetMode="External"/><Relationship Id="rId153" Type="http://schemas.openxmlformats.org/officeDocument/2006/relationships/hyperlink" Target="https://www.stuff.co.nz/national/126787533/te-oranga-to-stay-open-after-investigation-into-whistleblower-video--no-evidence-tamariki-unsafe" TargetMode="External"/><Relationship Id="rId174" Type="http://schemas.openxmlformats.org/officeDocument/2006/relationships/hyperlink" Target="https://www.beehive.govt.nz/release/adoption-laws-under-review" TargetMode="External"/><Relationship Id="rId195" Type="http://schemas.openxmlformats.org/officeDocument/2006/relationships/hyperlink" Target="https://www.mhaids.health.nz/our-services/regional-forensic-and-rehabilitation-services/national-secure-youth-forensic-inpatient-service/" TargetMode="External"/><Relationship Id="rId209" Type="http://schemas.openxmlformats.org/officeDocument/2006/relationships/hyperlink" Target="https://www.rnz.co.nz/news/national/438455/measles-vaccination-campaign-way-off-target" TargetMode="External"/><Relationship Id="rId220" Type="http://schemas.openxmlformats.org/officeDocument/2006/relationships/hyperlink" Target="https://static1.squarespace.com/static/5bdbb75ccef37259122e59aa/t/5fbac2c9b41d97178886e285/1606075090004/Youth19+Sexual+and+Reproductive+Health+Report.pdf" TargetMode="External"/><Relationship Id="rId241" Type="http://schemas.openxmlformats.org/officeDocument/2006/relationships/hyperlink" Target="https://www.nzherald.co.nz/nz/politics/govt-has-spent-1b-on-emergency-housing-grants-including-motel-accommodation/ZISPLXHMVIOIYV34HCE5KSJIVM/" TargetMode="External"/><Relationship Id="rId15" Type="http://schemas.openxmlformats.org/officeDocument/2006/relationships/hyperlink" Target="https://www.rnz.co.nz/news/national/418971/thousands-of-nzers-march-for-black-lives-matter" TargetMode="External"/><Relationship Id="rId36" Type="http://schemas.openxmlformats.org/officeDocument/2006/relationships/hyperlink" Target="https://www.theguardian.com/world/2022/jul/06/new-zealand-principals-voice-alarm-as-students-fail-return-to-school-after-covid-lockdowns" TargetMode="External"/><Relationship Id="rId57" Type="http://schemas.openxmlformats.org/officeDocument/2006/relationships/hyperlink" Target="https://www.whataboutme.nz/" TargetMode="External"/><Relationship Id="rId262" Type="http://schemas.openxmlformats.org/officeDocument/2006/relationships/hyperlink" Target="https://www.legislation.govt.nz/act/public/2020/0038/latest/LMS170680.html" TargetMode="External"/><Relationship Id="rId283" Type="http://schemas.openxmlformats.org/officeDocument/2006/relationships/hyperlink" Target="https://www.stuff.co.nz/national/education/121633328/coronavirus-fears-teens-working-to-support-families-wont-return-to-school" TargetMode="External"/><Relationship Id="rId318" Type="http://schemas.openxmlformats.org/officeDocument/2006/relationships/hyperlink" Target="https://www.orangatamariki.govt.nz/support-for-families/how-we-support-whanau/" TargetMode="External"/><Relationship Id="rId78" Type="http://schemas.openxmlformats.org/officeDocument/2006/relationships/hyperlink" Target="https://www.stuff.co.nz/pou-tiaki/125674843/national-islamic-youth-association-focused-on-empowering-muslim-youth-and-elevating-their-voices" TargetMode="External"/><Relationship Id="rId99" Type="http://schemas.openxmlformats.org/officeDocument/2006/relationships/hyperlink" Target="https://www.stuff.co.nz/national/education/129102047/institutional-homophobia-more-statefunded-christian-schools-with-antiqueer-policies-identified" TargetMode="External"/><Relationship Id="rId101" Type="http://schemas.openxmlformats.org/officeDocument/2006/relationships/hyperlink" Target="https://www.youth19.ac.nz/publications/tag/Identity" TargetMode="External"/><Relationship Id="rId122" Type="http://schemas.openxmlformats.org/officeDocument/2006/relationships/hyperlink" Target="https://www.beehive.govt.nz/speech/prime-minister%E2%80%99s-matariki-speech-2022" TargetMode="External"/><Relationship Id="rId143" Type="http://schemas.openxmlformats.org/officeDocument/2006/relationships/hyperlink" Target="https://tepunaaonui.govt.nz/assets/National-strategy/Finals-translations-alt-formats/Te-Aorerekura-Action-plan.pdf" TargetMode="External"/><Relationship Id="rId164" Type="http://schemas.openxmlformats.org/officeDocument/2006/relationships/hyperlink" Target="https://www.sspa.org.nz/images/Mana_Whaanau_Handout_October_2019.pdf" TargetMode="External"/><Relationship Id="rId185" Type="http://schemas.openxmlformats.org/officeDocument/2006/relationships/hyperlink" Target="https://static1.squarespace.com/static/5bdbb75ccef37259122e59aa/t/6184806e7f75f066263cacef/1636073585149/Youth19+Disability+Brief.pdf" TargetMode="External"/><Relationship Id="rId9" Type="http://schemas.openxmlformats.org/officeDocument/2006/relationships/hyperlink" Target="https://www.refworld.org/docid/49f6bd922.html" TargetMode="External"/><Relationship Id="rId210" Type="http://schemas.openxmlformats.org/officeDocument/2006/relationships/hyperlink" Target="https://www.nzherald.co.nz/nz/dr-gary-payinda-frightening-vaccination-rates-in-nz-children-will-lead-to-preventable-deaths/ABV7EETAO2IHKCOI7EEQKEXDVE/" TargetMode="External"/><Relationship Id="rId26" Type="http://schemas.openxmlformats.org/officeDocument/2006/relationships/hyperlink" Target="https://www.lawcom.govt.nz/sites/default/files/projectAvailableFormats/NZLC-SUL-FinalReport145.pdf" TargetMode="External"/><Relationship Id="rId231" Type="http://schemas.openxmlformats.org/officeDocument/2006/relationships/hyperlink" Target="https://fairerfuture.org.nz/what-you-need-to-know" TargetMode="External"/><Relationship Id="rId252" Type="http://schemas.openxmlformats.org/officeDocument/2006/relationships/hyperlink" Target="https://doi.org/10.1038/s41430-019-0557-z" TargetMode="External"/><Relationship Id="rId273" Type="http://schemas.openxmlformats.org/officeDocument/2006/relationships/hyperlink" Target="https://helenclark.foundation/app/uploads/2021/10/HCF_Alone-Together_Walker_June-2020_accessible.pdf" TargetMode="External"/><Relationship Id="rId294" Type="http://schemas.openxmlformats.org/officeDocument/2006/relationships/hyperlink" Target="https://www.youthcourt.govt.nz/about-youth-court/rangatahi-courts-and-pasifika-courts/" TargetMode="External"/><Relationship Id="rId308" Type="http://schemas.openxmlformats.org/officeDocument/2006/relationships/hyperlink" Target="http://www.legislation.govt.nz/act/public/2003/0028/latest/whole.html" TargetMode="External"/><Relationship Id="rId329" Type="http://schemas.openxmlformats.org/officeDocument/2006/relationships/hyperlink" Target="https://www.stuff.co.nz/pou-tiaki/126753087/govt-funds-trailblazer-ngi-tahu-programme-to-keep-mori-kids-out-of-state-care" TargetMode="External"/><Relationship Id="rId47" Type="http://schemas.openxmlformats.org/officeDocument/2006/relationships/hyperlink" Target="https://voyce.org.nz/kiatikakiapono" TargetMode="External"/><Relationship Id="rId68" Type="http://schemas.openxmlformats.org/officeDocument/2006/relationships/hyperlink" Target="https://www.renews.co.nz/fight-to-lower-voting-age-to-16-will-head-to-supreme-court" TargetMode="External"/><Relationship Id="rId89" Type="http://schemas.openxmlformats.org/officeDocument/2006/relationships/hyperlink" Target="https://www.rnz.co.nz/news/national/461599/politicians-react-as-bill-to-ban-conversion-therapy-passes" TargetMode="External"/><Relationship Id="rId112" Type="http://schemas.openxmlformats.org/officeDocument/2006/relationships/hyperlink" Target="https://www.msd.govt.nz/about-msd-and-our-work/publications-resources/monitoring/uncroc/reporting/index.html" TargetMode="External"/><Relationship Id="rId133" Type="http://schemas.openxmlformats.org/officeDocument/2006/relationships/hyperlink" Target="https://www.rnz.co.nz/national/programmes/mediawatch/audio/2018843526/more-unanswered-questions-about-public-media-plan" TargetMode="External"/><Relationship Id="rId154" Type="http://schemas.openxmlformats.org/officeDocument/2006/relationships/hyperlink" Target="https://www.facebook.com/watch/?v=5529901897042984" TargetMode="External"/><Relationship Id="rId175" Type="http://schemas.openxmlformats.org/officeDocument/2006/relationships/hyperlink" Target="http://adoptionaction.co.nz/" TargetMode="External"/><Relationship Id="rId196" Type="http://schemas.openxmlformats.org/officeDocument/2006/relationships/hyperlink" Target="https://www.newstalkzb.co.nz/on-air/wellington/wellington-mornings-with-nick-mills/audio/porirua-youth-mental-health-care-causes-concern/" TargetMode="External"/><Relationship Id="rId200" Type="http://schemas.openxmlformats.org/officeDocument/2006/relationships/hyperlink" Target="https://www.rnz.co.nz/news/national/466852/teens-to-get-dedicated-unit-under-new-health-nz-authority" TargetMode="External"/><Relationship Id="rId16" Type="http://schemas.openxmlformats.org/officeDocument/2006/relationships/hyperlink" Target="https://www.rnz.co.nz/news/national/433499/racism-is-well-and-alive-in-new-zealand-race-relations-commissioner" TargetMode="External"/><Relationship Id="rId221" Type="http://schemas.openxmlformats.org/officeDocument/2006/relationships/hyperlink" Target="https://www.savethechildren.net/born-climate-crisis" TargetMode="External"/><Relationship Id="rId242" Type="http://schemas.openxmlformats.org/officeDocument/2006/relationships/hyperlink" Target="https://www.newsroom.co.nz/to-solve-our-housing-crisis-lets-learn-from-whats-already-working" TargetMode="External"/><Relationship Id="rId263" Type="http://schemas.openxmlformats.org/officeDocument/2006/relationships/hyperlink" Target="https://www.beehive.govt.nz/release/schools-kura-and-early-learning-given-space-build-back-covid-19" TargetMode="External"/><Relationship Id="rId284" Type="http://schemas.openxmlformats.org/officeDocument/2006/relationships/hyperlink" Target="https://www.1news.co.nz/2020/08/18/childrens-commissioner-says-too-many-kiwi-kids-leaving-school-to-help-whanau-with-covid-19-financial-burdens/" TargetMode="External"/><Relationship Id="rId319" Type="http://schemas.openxmlformats.org/officeDocument/2006/relationships/hyperlink" Target="https://www.msd.govt.nz/about-msd-and-our-work/publications-resources/information-releases/cabinet-papers/2021/oversight-of-the-oranga-tamariki-system-and-children-and-young-peoples-commission-bill.html" TargetMode="External"/><Relationship Id="rId37" Type="http://schemas.openxmlformats.org/officeDocument/2006/relationships/hyperlink" Target="https://www.rnz.co.nz/news/national/453878/digital-divide-food-costs-hit-hard-for-some-families-after-long-lockdown" TargetMode="External"/><Relationship Id="rId58" Type="http://schemas.openxmlformats.org/officeDocument/2006/relationships/hyperlink" Target="https://www.stats.govt.nz/methods/2018-census-collection-response-rates-unacceptably-low" TargetMode="External"/><Relationship Id="rId79" Type="http://schemas.openxmlformats.org/officeDocument/2006/relationships/hyperlink" Target="https://www.rnz.co.nz/national/programmes/the-house/audio/2018851667/youth-mps-in-their-own-words-a-photo-essay" TargetMode="External"/><Relationship Id="rId102" Type="http://schemas.openxmlformats.org/officeDocument/2006/relationships/hyperlink" Target="https://hpe.tki.org.nz/guidelines-and-policies/relationships-and-sexuality-education/" TargetMode="External"/><Relationship Id="rId123" Type="http://schemas.openxmlformats.org/officeDocument/2006/relationships/hyperlink" Target="https://www.tepapa.govt.nz/discover-collections/read-watch-play/matariki-maori-new-year" TargetMode="External"/><Relationship Id="rId144" Type="http://schemas.openxmlformats.org/officeDocument/2006/relationships/hyperlink" Target="https://tepunaaonui.govt.nz/assets/National-strategy/Finals-translations-alt-formats/Te-Aorerekura-National-Strategy-final.pdf" TargetMode="External"/><Relationship Id="rId330" Type="http://schemas.openxmlformats.org/officeDocument/2006/relationships/hyperlink" Target="https://www.orangatamariki.govt.nz/about-us/how-we-work/strategic-partnerships-with-maori/" TargetMode="External"/><Relationship Id="rId90" Type="http://schemas.openxmlformats.org/officeDocument/2006/relationships/hyperlink" Target="https://www.tengakaukahukura.nz/banning-conversion-practices" TargetMode="External"/><Relationship Id="rId165" Type="http://schemas.openxmlformats.org/officeDocument/2006/relationships/hyperlink" Target="https://www.orangatamariki.govt.nz/about-us/performance-and-monitoring/quarterly-report/care-and-protection-statistics/" TargetMode="External"/><Relationship Id="rId186" Type="http://schemas.openxmlformats.org/officeDocument/2006/relationships/hyperlink" Target="https://www.ccsdisabilityaction.org.nz/assets/resource-files/Shared-Decision-Making-FINAL.pdf" TargetMode="External"/><Relationship Id="rId211" Type="http://schemas.openxmlformats.org/officeDocument/2006/relationships/hyperlink" Target="https://covid.immune.org.nz/news-insights/maintaining-high-immunisation-coverage-current-covid-19-disease-circulating" TargetMode="External"/><Relationship Id="rId232" Type="http://schemas.openxmlformats.org/officeDocument/2006/relationships/hyperlink" Target="https://fairerfuture.org.nz/liveable-incomes-2022" TargetMode="External"/><Relationship Id="rId253" Type="http://schemas.openxmlformats.org/officeDocument/2006/relationships/hyperlink" Target="https://www.occ.org.nz/publications/reports/childrens-rights-in-covid19/" TargetMode="External"/><Relationship Id="rId274" Type="http://schemas.openxmlformats.org/officeDocument/2006/relationships/hyperlink" Target="https://www.beehive.govt.nz/release/government-offers-formal-apology-dawn-raids" TargetMode="External"/><Relationship Id="rId295" Type="http://schemas.openxmlformats.org/officeDocument/2006/relationships/hyperlink" Target="https://www.corrections.govt.nz/resources/policy_and_legislation/Prison-Operations-Manual/Movement/M.03-Specified-gender-and-age-movements/M.03.01-Under-20-years-old-male-prisoners" TargetMode="External"/><Relationship Id="rId309" Type="http://schemas.openxmlformats.org/officeDocument/2006/relationships/hyperlink" Target="https://thespinoff.co.nz/society/09-05-2022/whos-your-daddy-the-rise-of-sugar-dating" TargetMode="External"/><Relationship Id="rId27" Type="http://schemas.openxmlformats.org/officeDocument/2006/relationships/hyperlink" Target="https://www.justice.govt.nz/justice-sector-policy/key-initiatives/family-justice-reform/" TargetMode="External"/><Relationship Id="rId48" Type="http://schemas.openxmlformats.org/officeDocument/2006/relationships/hyperlink" Target="https://www.orangatamariki.govt.nz/about-us/how-we-work/oranga-tamariki-action-plan/" TargetMode="External"/><Relationship Id="rId69" Type="http://schemas.openxmlformats.org/officeDocument/2006/relationships/hyperlink" Target="https://www.stuff.co.nz/national/129244852/voting-age-change-for-parliament-and-court-should-bow-out-crown-says" TargetMode="External"/><Relationship Id="rId113" Type="http://schemas.openxmlformats.org/officeDocument/2006/relationships/hyperlink" Target="https://voyce.org.nz/oranga-tamariki-oversight-bill-must-go/?utm_source=rss&amp;utm_medium=rss&amp;utm_campaign=oranga-tamariki-oversight-bill-must-go" TargetMode="External"/><Relationship Id="rId134" Type="http://schemas.openxmlformats.org/officeDocument/2006/relationships/hyperlink" Target="https://natlib.govt.nz/about-us/collaborative-projects/new-zealand-reading-ambassador" TargetMode="External"/><Relationship Id="rId320" Type="http://schemas.openxmlformats.org/officeDocument/2006/relationships/hyperlink" Target="https://www.orangatamariki.govt.nz/assets/Uploads/About-us/New-ways-of-working/OTAP/Oranga-Tamariki-Action-Plan.pdf" TargetMode="External"/><Relationship Id="rId80" Type="http://schemas.openxmlformats.org/officeDocument/2006/relationships/hyperlink" Target="https://tewhariki.org.nz/assets/Honour-Project-Aotearoa-Final-Report.pdf" TargetMode="External"/><Relationship Id="rId155" Type="http://schemas.openxmlformats.org/officeDocument/2006/relationships/hyperlink" Target="https://www.abuseincare.org.nz/our-progress/library/v/3/terms-of-reference" TargetMode="External"/><Relationship Id="rId176" Type="http://schemas.openxmlformats.org/officeDocument/2006/relationships/hyperlink" Target="http://adoptionaction.co.nz/wp-content/uploads/2021/05/Chronology.pdf" TargetMode="External"/><Relationship Id="rId197" Type="http://schemas.openxmlformats.org/officeDocument/2006/relationships/hyperlink" Target="https://www.odi.govt.nz/disability-action-plan-2/dap-biannual-reports/report-2-july-december-2020/" TargetMode="External"/><Relationship Id="rId201" Type="http://schemas.openxmlformats.org/officeDocument/2006/relationships/hyperlink" Target="https://static1.squarespace.com/static/5bdbb75ccef37259122e59aa/t/5f338e4cfb539d2246e9e5ce/1597214306382/Youth19+Mental+Health+Report.pdf" TargetMode="External"/><Relationship Id="rId222" Type="http://schemas.openxmlformats.org/officeDocument/2006/relationships/hyperlink" Target="https://www.stuff.co.nz/environment/climate-news/129047835/teaching-climate-hope-not-despair" TargetMode="External"/><Relationship Id="rId243" Type="http://schemas.openxmlformats.org/officeDocument/2006/relationships/hyperlink" Target="https://www.1news.co.nz/2022/02/18/exclusive-record-365-million-spent-on-emergency-housing/" TargetMode="External"/><Relationship Id="rId264" Type="http://schemas.openxmlformats.org/officeDocument/2006/relationships/hyperlink" Target="https://www.1news.co.nz/2022/03/06/calls-for-sexual-consent-education-to-be-compulsory-in-nz-schools/" TargetMode="External"/><Relationship Id="rId285" Type="http://schemas.openxmlformats.org/officeDocument/2006/relationships/hyperlink" Target="https://www.stuff.co.nz/pou-tiaki/128908703/the-ticking-timebomb-forcing-students-out-of-school-and-into-work" TargetMode="External"/><Relationship Id="rId17" Type="http://schemas.openxmlformats.org/officeDocument/2006/relationships/hyperlink" Target="https://www.abuseincare.org.nz" TargetMode="External"/><Relationship Id="rId38" Type="http://schemas.openxmlformats.org/officeDocument/2006/relationships/hyperlink" Target="https://www.occ.org.nz/publications/reports/childrens-rights-in-covid19/" TargetMode="External"/><Relationship Id="rId59" Type="http://schemas.openxmlformats.org/officeDocument/2006/relationships/hyperlink" Target="https://www.stuff.co.nz/national/politics/126720006/aotearoas-rainbow-communities-to-be-formally-quantified" TargetMode="External"/><Relationship Id="rId103" Type="http://schemas.openxmlformats.org/officeDocument/2006/relationships/hyperlink" Target="https://theconversation.com/with-their-mothers-australian-citizenship-cancelled-over-alleged-isis-links-how-will-nz-deal-with-her-children-155385" TargetMode="External"/><Relationship Id="rId124" Type="http://schemas.openxmlformats.org/officeDocument/2006/relationships/hyperlink" Target="https://www.facebook.com/watch/?v=1569284796429557" TargetMode="External"/><Relationship Id="rId310" Type="http://schemas.openxmlformats.org/officeDocument/2006/relationships/hyperlink" Target="https://www.mbie.govt.nz/business-and-employment/employment-and-skills/plan-of-action-against-forced-labour-people-trafficking-and-slavery/implementation-report/" TargetMode="External"/><Relationship Id="rId70" Type="http://schemas.openxmlformats.org/officeDocument/2006/relationships/hyperlink" Target="https://www.makeit16.org.nz/post/pr-cross-party-support-for-make-it-16-at-youth-parliament" TargetMode="External"/><Relationship Id="rId91" Type="http://schemas.openxmlformats.org/officeDocument/2006/relationships/hyperlink" Target="https://www.stuff.co.nz/national/health/128827328/finally-heard-intersex-kiwis-celebrate-historic-government-healthcare-funding" TargetMode="External"/><Relationship Id="rId145" Type="http://schemas.openxmlformats.org/officeDocument/2006/relationships/hyperlink" Target="https://www.abuseincare.org.nz/our-progress/library/v/433/witness-statement-of-associate-professor-emily-keddell-and-dr-ian-hyslop-for-the-foster-care-public-hearing" TargetMode="External"/><Relationship Id="rId166" Type="http://schemas.openxmlformats.org/officeDocument/2006/relationships/hyperlink" Target="https://www.orangatamariki.govt.nz/about-us/news/te/" TargetMode="External"/><Relationship Id="rId187" Type="http://schemas.openxmlformats.org/officeDocument/2006/relationships/hyperlink" Target="https://www.enablinggoodlives.co.nz/about-egl/" TargetMode="External"/><Relationship Id="rId331" Type="http://schemas.openxmlformats.org/officeDocument/2006/relationships/hyperlink" Target="https://www.abuseincare.org.nz/our-progress/library/v/3/terms-of-reference" TargetMode="External"/><Relationship Id="rId1" Type="http://schemas.openxmlformats.org/officeDocument/2006/relationships/hyperlink" Target="https://www.scoop.co.nz/stories/AK2005/S00043/tick-for-kids-calls-for-greater-visibility-of-children-in-governments-response-to-covid-19-crisis.htm" TargetMode="External"/><Relationship Id="rId212" Type="http://schemas.openxmlformats.org/officeDocument/2006/relationships/hyperlink" Target="https://doi.org/10.1080/03036758.2022.2060266" TargetMode="External"/><Relationship Id="rId233" Type="http://schemas.openxmlformats.org/officeDocument/2006/relationships/hyperlink" Target="https://www.cpag.org.nz/commentary/no-plan-no-budget-two-years-on-from-weag" TargetMode="External"/><Relationship Id="rId254" Type="http://schemas.openxmlformats.org/officeDocument/2006/relationships/hyperlink" Target="https://www.rnz.co.nz/news/national/457156/covid-19-wrap-for-3-december-auckland-lockdown-ends-traffic-light-system-comes-in" TargetMode="External"/><Relationship Id="rId28" Type="http://schemas.openxmlformats.org/officeDocument/2006/relationships/hyperlink" Target="https://www.tengakaukahukura.nz/banning-conversion-practices" TargetMode="External"/><Relationship Id="rId49" Type="http://schemas.openxmlformats.org/officeDocument/2006/relationships/hyperlink" Target="https://www.childyouthwellbeing.govt.nz" TargetMode="External"/><Relationship Id="rId114" Type="http://schemas.openxmlformats.org/officeDocument/2006/relationships/hyperlink" Target="https://www.aucklandcouncil.govt.nz/plans-projects-policies-reports-bylaws/our-plans-strategies/topic-based-plans-strategies/community-social-development-plans/annualreports/i-am-auckland-annual-update-2021.pdf" TargetMode="External"/><Relationship Id="rId275" Type="http://schemas.openxmlformats.org/officeDocument/2006/relationships/hyperlink" Target="https://www.rnz.co.nz/news/national/448212/recap-government-makes-apology-over-dawn-raids" TargetMode="External"/><Relationship Id="rId296" Type="http://schemas.openxmlformats.org/officeDocument/2006/relationships/hyperlink" Target="https://www.stuff.co.nz/national/129456982/rooftop-prison-standoff-by-teen-inmates-likely-a-cry-for-help" TargetMode="External"/><Relationship Id="rId300" Type="http://schemas.openxmlformats.org/officeDocument/2006/relationships/hyperlink" Target="https://www.occ.org.nz/publications/news/some-stark-injustices-in-our-youth-justice-system-need-fixing-and-heres-how/" TargetMode="External"/><Relationship Id="rId60" Type="http://schemas.openxmlformats.org/officeDocument/2006/relationships/hyperlink" Target="https://www.temanararaunga.maori.nz/" TargetMode="External"/><Relationship Id="rId81" Type="http://schemas.openxmlformats.org/officeDocument/2006/relationships/hyperlink" Target="https://researchspace.auckland.ac.nz/handle/2292/49090" TargetMode="External"/><Relationship Id="rId135" Type="http://schemas.openxmlformats.org/officeDocument/2006/relationships/hyperlink" Target="https://www.stuff.co.nz/pou-tiaki/te-reo-maori/122740039/the-best-te-reo-mori-books-for-children" TargetMode="External"/><Relationship Id="rId156" Type="http://schemas.openxmlformats.org/officeDocument/2006/relationships/hyperlink" Target="https://www.abuseincare.org.nz/our-inquiries/" TargetMode="External"/><Relationship Id="rId177" Type="http://schemas.openxmlformats.org/officeDocument/2006/relationships/hyperlink" Target="https://www.lawcom.govt.nz/our-projects/review-of-surrogacy" TargetMode="External"/><Relationship Id="rId198" Type="http://schemas.openxmlformats.org/officeDocument/2006/relationships/hyperlink" Target="https://curekids.org.nz/state-of-child-health/" TargetMode="External"/><Relationship Id="rId321" Type="http://schemas.openxmlformats.org/officeDocument/2006/relationships/hyperlink" Target="https://search.ebscohost.com/login.aspx?direct=true&amp;db=anh&amp;AN=140355429&amp;site=ehost-live&amp;scope=site" TargetMode="External"/><Relationship Id="rId202" Type="http://schemas.openxmlformats.org/officeDocument/2006/relationships/hyperlink" Target="https://static1.squarespace.com/static/57d898ef8419c2ef50f63405/t/5f29217f4f222031501a82c5/1596531111262/Victim+Survivor+Perspectives+on+Longer+Term+Support+Backbone+report+for+MSD+2020+FINAL.pdf" TargetMode="External"/><Relationship Id="rId223" Type="http://schemas.openxmlformats.org/officeDocument/2006/relationships/hyperlink" Target="https://www.climatecommission.govt.nz/our-work/advice-to-government-topic/nz-ets/our-advice-on-the-nz-ets/nz-ets-unit-limits-and-price-control-settings-for-2023-2027" TargetMode="External"/><Relationship Id="rId244" Type="http://schemas.openxmlformats.org/officeDocument/2006/relationships/hyperlink" Target="https://www.stuff.co.nz/business/129225899/half-of-kinga-ora-homes-still-not-up-to-healthy-homes-standard?cid=app-iPad" TargetMode="External"/><Relationship Id="rId18" Type="http://schemas.openxmlformats.org/officeDocument/2006/relationships/hyperlink" Target="https://www.orangatamariki.govt.nz/about-us/information-releases/cabinet-papers/oranga-tamariki-ministerial-advisory-board/" TargetMode="External"/><Relationship Id="rId39" Type="http://schemas.openxmlformats.org/officeDocument/2006/relationships/hyperlink" Target="https://www.hrc.co.nz/files/5515/9468/2462/FINAL_HRC_Submission_to_the_Special_Rapporteur_on_womens_rights.pdf" TargetMode="External"/><Relationship Id="rId265" Type="http://schemas.openxmlformats.org/officeDocument/2006/relationships/hyperlink" Target="https://i.stuff.co.nz/national/128338334/calls-to-make-consent-education-compulsory-in-the-classrooms-as-new-sex-education-resources-released" TargetMode="External"/><Relationship Id="rId286" Type="http://schemas.openxmlformats.org/officeDocument/2006/relationships/hyperlink" Target="https://www.1news.co.nz/2022/07/18/kaikoura-boss-fined-after-teen-blinded-in-one-eye/" TargetMode="External"/><Relationship Id="rId50" Type="http://schemas.openxmlformats.org/officeDocument/2006/relationships/hyperlink" Target="https://www.msd.govt.nz/about-msd-and-our-work/publications-resources/resources/child-impact-assessment.html" TargetMode="External"/><Relationship Id="rId104" Type="http://schemas.openxmlformats.org/officeDocument/2006/relationships/hyperlink" Target="https://www.hqsc.govt.nz/resources/resource-library/child-and-youth-mortality-review-committee-15th-data-report-201519-te-ropu-arotake-auau-mate-o-te-hunga-tamariki-taiohi-te-purongo-raraunga-15-201519/" TargetMode="External"/><Relationship Id="rId125" Type="http://schemas.openxmlformats.org/officeDocument/2006/relationships/hyperlink" Target="https://www.1news.co.nz/2019/09/13/former-otorohanga-college-girls-celebrating-role-they-played-in-govts-compulsory-nz-history-decision/" TargetMode="External"/><Relationship Id="rId146" Type="http://schemas.openxmlformats.org/officeDocument/2006/relationships/hyperlink" Target="https://www.orangatamariki.govt.nz/assets/Uploads/About-us/Research/Data-analytics-and-insights/At-A-Glance-Harm-to-Children-in-New-Zealand.pdf" TargetMode="External"/><Relationship Id="rId167" Type="http://schemas.openxmlformats.org/officeDocument/2006/relationships/hyperlink" Target="https://www.youth19.ac.nz/publications/the-voices-of-young-people-involved-with-oranga-tamariki" TargetMode="External"/><Relationship Id="rId188" Type="http://schemas.openxmlformats.org/officeDocument/2006/relationships/hyperlink" Target="https://www.msd.govt.nz/about-msd-and-our-work/work-programmes/disability-system-transformation/ministry-for-disabled-people-establishment-unit/creating-a-new-ministry.html" TargetMode="External"/><Relationship Id="rId311" Type="http://schemas.openxmlformats.org/officeDocument/2006/relationships/hyperlink" Target="https://static1.squarespace.com/static/608737f129c8f67c2c6932b2/t/6135c8d9ab7cdf3ad6d9a6f0/1630914782170/Childrens+Rights+Alliance+Aoteroa+New+Zealand+Written+Input+into+LOIPR+2020.pdf" TargetMode="External"/><Relationship Id="rId332" Type="http://schemas.openxmlformats.org/officeDocument/2006/relationships/hyperlink" Target="https://www.productivity.govt.nz/assets/Submission-Documents/e56565d613/Sub-109-John-Angus.pdf" TargetMode="External"/><Relationship Id="rId71" Type="http://schemas.openxmlformats.org/officeDocument/2006/relationships/hyperlink" Target="https://www.beehive.govt.nz/release/independent-panel-appointed-review-electoral-law" TargetMode="External"/><Relationship Id="rId92" Type="http://schemas.openxmlformats.org/officeDocument/2006/relationships/hyperlink" Target="https://www.1news.co.nz/2022/06/05/govt-announces-47m-to-support-intersex-transgender-people/" TargetMode="External"/><Relationship Id="rId213" Type="http://schemas.openxmlformats.org/officeDocument/2006/relationships/hyperlink" Target="https://static1.squarespace.com/static/5bdbb75ccef37259122e59aa/t/5e7d50e5e1a6fc55dd1e6c8a/1585271016485/Youth19+Vaping+fact+sheet.pdf" TargetMode="External"/><Relationship Id="rId234" Type="http://schemas.openxmlformats.org/officeDocument/2006/relationships/hyperlink" Target="https://www.stats.govt.nz/information-releases/consumers-price-index-june-2022-quarter/" TargetMode="External"/><Relationship Id="rId2" Type="http://schemas.openxmlformats.org/officeDocument/2006/relationships/hyperlink" Target="https://static1.squarespace.com/static/608737f129c8f67c2c6932b2/t/6135ce260720e304de1026c3/1630916137613/Childrens+Rights+Alliance+Aotearoa+Supplementary+Report+Covid19.pdf" TargetMode="External"/><Relationship Id="rId29" Type="http://schemas.openxmlformats.org/officeDocument/2006/relationships/hyperlink" Target="https://www.occ.org.nz/publications/reports/life-in-lockdown/" TargetMode="External"/><Relationship Id="rId255" Type="http://schemas.openxmlformats.org/officeDocument/2006/relationships/hyperlink" Target="https://ero.govt.nz/our-research/learning-in-a-covid-19-world-the-impact-of-covid-19-on-schools" TargetMode="External"/><Relationship Id="rId276" Type="http://schemas.openxmlformats.org/officeDocument/2006/relationships/hyperlink" Target="https://www.stuff.co.nz/national/125849685/dawn-raids-apology-pm-sorry-for-hurt-and-distress-of-racially-targeted-policy" TargetMode="External"/><Relationship Id="rId297" Type="http://schemas.openxmlformats.org/officeDocument/2006/relationships/hyperlink" Target="https://www.districtcourts.govt.nz/all-judgments/2021-nzyc-364-new-zealand-police-v-hn/" TargetMode="External"/><Relationship Id="rId40" Type="http://schemas.openxmlformats.org/officeDocument/2006/relationships/hyperlink" Target="https://www.stuff.co.nz/national/education/300631038/number-of-students-missing-from-school-has-almost-doubled-in-past-nine-months" TargetMode="External"/><Relationship Id="rId115" Type="http://schemas.openxmlformats.org/officeDocument/2006/relationships/hyperlink" Target="https://doi.org/10.1080/1177083X.2020.1772325" TargetMode="External"/><Relationship Id="rId136" Type="http://schemas.openxmlformats.org/officeDocument/2006/relationships/hyperlink" Target="https://www.rnz.co.nz/programmes/the-detail/story/2018845659/reading-the-signs-why-literacy-rates-are-falling" TargetMode="External"/><Relationship Id="rId157" Type="http://schemas.openxmlformats.org/officeDocument/2006/relationships/hyperlink" Target="https://www.abuseincare.org.nz/assets/Uploads/Documents/He-Purapura-Ora-he-Mara-Tipu-Vol_1_Web.pdf" TargetMode="External"/><Relationship Id="rId178" Type="http://schemas.openxmlformats.org/officeDocument/2006/relationships/hyperlink" Target="https://www.lawcom.govt.nz/sites/default/files/projectAvailableFormats/NZLC-Report146-Review-of-Surrogacy.pdf" TargetMode="External"/><Relationship Id="rId301" Type="http://schemas.openxmlformats.org/officeDocument/2006/relationships/hyperlink" Target="https://www.dropbox.com/s/80nh0beq80jlf9h/Police%20data%20obtained%20under%20the%20OIA.pdf?dl=0" TargetMode="External"/><Relationship Id="rId322" Type="http://schemas.openxmlformats.org/officeDocument/2006/relationships/hyperlink" Target="https://www.orangatamariki.govt.nz/assets/Uploads/About-us/Research/Data-analytics-and-insights/Babies-Entering-Oranga-Tamariki-Care.pdf" TargetMode="External"/><Relationship Id="rId61" Type="http://schemas.openxmlformats.org/officeDocument/2006/relationships/hyperlink" Target="https://www.stats.govt.nz/integrated-data/integrated-data-infrastructure/" TargetMode="External"/><Relationship Id="rId82" Type="http://schemas.openxmlformats.org/officeDocument/2006/relationships/hyperlink" Target="https://static1.squarespace.com/static/5bdbb75ccef37259122e59aa/t/629e7d2d64349d3b11b08919/1654553906843/Same+and+Multiple+Sex+Attracted_030622.pdf" TargetMode="External"/><Relationship Id="rId199" Type="http://schemas.openxmlformats.org/officeDocument/2006/relationships/hyperlink" Target="https://www.rnz.co.nz/news/on-the-inside/438919/battling-anorexia-there-must-be-so-many-suffering-in-silence" TargetMode="External"/><Relationship Id="rId203" Type="http://schemas.openxmlformats.org/officeDocument/2006/relationships/hyperlink" Target="https://whatsup.co.nz" TargetMode="External"/><Relationship Id="rId19" Type="http://schemas.openxmlformats.org/officeDocument/2006/relationships/hyperlink" Target="https://www.tengakaukahukura.nz/banning-conversion-practices" TargetMode="External"/><Relationship Id="rId224" Type="http://schemas.openxmlformats.org/officeDocument/2006/relationships/hyperlink" Target="https://350.org.nz/governments-increase-to-decarbonisation-fund-a-disappointment/" TargetMode="External"/><Relationship Id="rId245" Type="http://schemas.openxmlformats.org/officeDocument/2006/relationships/hyperlink" Target="https://www.hud.govt.nz/community-and-public-housing/increasing-public-housing/public-housing-plan/" TargetMode="External"/><Relationship Id="rId266" Type="http://schemas.openxmlformats.org/officeDocument/2006/relationships/hyperlink" Target="https://www.education.govt.nz/school/student-support/youth-advisory-group/" TargetMode="External"/><Relationship Id="rId287" Type="http://schemas.openxmlformats.org/officeDocument/2006/relationships/hyperlink" Target="https://www.stuff.co.nz/national/crime/129550765/can-a-10yearold-really-be-a-criminal-advocates-call-for-law-change?cid=app-iPhone" TargetMode="External"/><Relationship Id="rId30" Type="http://schemas.openxmlformats.org/officeDocument/2006/relationships/hyperlink" Target="https://www.stuff.co.nz/national/300583894/ghosts-in-the-system-the-price-of-lockdown-for-vulnerable-children-and-families" TargetMode="External"/><Relationship Id="rId105" Type="http://schemas.openxmlformats.org/officeDocument/2006/relationships/hyperlink" Target="https://static1.squarespace.com/static/5bdbb75ccef37259122e59aa/t/60ca75d00a6a3a028b086ce0/1623881172777/Youth19+Brief_Rainbow+rangatahi.pdf" TargetMode="External"/><Relationship Id="rId126" Type="http://schemas.openxmlformats.org/officeDocument/2006/relationships/hyperlink" Target="https://www.education.govt.nz/our-work/changes-in-education/aotearoa-new-zealands-histories-and-te-takanga-o-te-wa/" TargetMode="External"/><Relationship Id="rId147" Type="http://schemas.openxmlformats.org/officeDocument/2006/relationships/hyperlink" Target="https://tepunaaonui.govt.nz/assets/National-strategy/Finals-translations-alt-formats/Te-Aorerekura-National-Strategy-final.pdf" TargetMode="External"/><Relationship Id="rId168" Type="http://schemas.openxmlformats.org/officeDocument/2006/relationships/hyperlink" Target="https://www.youtube.com/watch?v=Mp7V5FCEtTQ" TargetMode="External"/><Relationship Id="rId312" Type="http://schemas.openxmlformats.org/officeDocument/2006/relationships/hyperlink" Target="https://www.msd.govt.nz/about-msd-and-our-work/work-programmes/policy-development/oversight-for-children/index.html" TargetMode="External"/><Relationship Id="rId333" Type="http://schemas.openxmlformats.org/officeDocument/2006/relationships/hyperlink" Target="https://www.hqsc.govt.nz/assets/Our-work/Mortality-review-committee/FVDRC/Publications-resources/Seventh-report-transcripts/FVDRC-seventh-report-exec-summary-web.pdf" TargetMode="External"/><Relationship Id="rId51" Type="http://schemas.openxmlformats.org/officeDocument/2006/relationships/hyperlink" Target="https://www.treasury.govt.nz/publications/budget-policy-statement/budget-policy-statement-2022-html" TargetMode="External"/><Relationship Id="rId72" Type="http://schemas.openxmlformats.org/officeDocument/2006/relationships/hyperlink" Target="https://www.nzherald.co.nz/nz/horrifying-laws-allowing-consent-as-a-court-defence-for-sex-with-a-minor-need-reform/4Y6DOFVSK3BXZUT5FGJ4DZTVDY/" TargetMode="External"/><Relationship Id="rId93" Type="http://schemas.openxmlformats.org/officeDocument/2006/relationships/hyperlink" Target="https://www.youth19.ac.nz/publications/sexual-attraction-wellbeing" TargetMode="External"/><Relationship Id="rId189" Type="http://schemas.openxmlformats.org/officeDocument/2006/relationships/hyperlink" Target="https://www.mckenziecentre.org.nz/life-with-us/" TargetMode="External"/><Relationship Id="rId3" Type="http://schemas.openxmlformats.org/officeDocument/2006/relationships/hyperlink" Target="https://www.rnz.co.nz/news/national/453509/need-for-food-parcels-doubled-in-level-4-auckland-city-mission" TargetMode="External"/><Relationship Id="rId214" Type="http://schemas.openxmlformats.org/officeDocument/2006/relationships/hyperlink" Target="https://www.tandfonline.com/doi/full/10.1080/03036758.2022.2060266" TargetMode="External"/><Relationship Id="rId235" Type="http://schemas.openxmlformats.org/officeDocument/2006/relationships/hyperlink" Target="https://www.rnz.co.nz/news/national/469459/whanau-are-at-breaking-point-2000-children-on-kidscan-waiting-list" TargetMode="External"/><Relationship Id="rId256" Type="http://schemas.openxmlformats.org/officeDocument/2006/relationships/hyperlink" Target="https://www.rnz.co.nz/national/programmes/ninetonoon/audio/2018811494/students-call-for-more-help" TargetMode="External"/><Relationship Id="rId277" Type="http://schemas.openxmlformats.org/officeDocument/2006/relationships/hyperlink" Target="https://nzhistory.govt.nz/te-akomanga/contexts-activties/government-apologies-to-teach-learn-history" TargetMode="External"/><Relationship Id="rId298" Type="http://schemas.openxmlformats.org/officeDocument/2006/relationships/hyperlink" Target="https://www.dropbox.com/s/80nh0beq80jlf9h/Police%20data%20obtained%20under%20the%20OIA.pdf?dl=0" TargetMode="External"/><Relationship Id="rId116" Type="http://schemas.openxmlformats.org/officeDocument/2006/relationships/hyperlink" Target="https://talkingtroublenz.org" TargetMode="External"/><Relationship Id="rId137" Type="http://schemas.openxmlformats.org/officeDocument/2006/relationships/hyperlink" Target="https://www.stuff.co.nz/national/129045624/how-books-rescued-kate-de-goldi-and-how-reading-can-save-society" TargetMode="External"/><Relationship Id="rId158" Type="http://schemas.openxmlformats.org/officeDocument/2006/relationships/hyperlink" Target="https://www.abuseincare.org.nz/assets/Uploads/Documents/He-Purapura-Ora-he-Mara-Tipu-Volume-Two-Web.pdf" TargetMode="External"/><Relationship Id="rId302" Type="http://schemas.openxmlformats.org/officeDocument/2006/relationships/hyperlink" Target="https://www.1news.co.nz/2020/08/03/spit-hoods-police-in-nz-breach-own-policy-on-controversial-restraint/" TargetMode="External"/><Relationship Id="rId323" Type="http://schemas.openxmlformats.org/officeDocument/2006/relationships/hyperlink" Target="https://doi.org/10.11157/anzswj-vol31iss4id668" TargetMode="External"/><Relationship Id="rId20" Type="http://schemas.openxmlformats.org/officeDocument/2006/relationships/hyperlink" Target="https://www.tengakaukahukura.nz/birth-certificate-law-reform" TargetMode="External"/><Relationship Id="rId41" Type="http://schemas.openxmlformats.org/officeDocument/2006/relationships/hyperlink" Target="https://www.sciencemediacentre.co.nz/2022/03/21/two-years-since-nz-first-locked-down-expert-reaction/" TargetMode="External"/><Relationship Id="rId62" Type="http://schemas.openxmlformats.org/officeDocument/2006/relationships/hyperlink" Target="https://www.parliament.nz/en/pb/bills-and-laws/bills-proposed-laws/document/BILL_116701/oversight-of-oranga-tamariki-system-and-children-and-young" TargetMode="External"/><Relationship Id="rId83" Type="http://schemas.openxmlformats.org/officeDocument/2006/relationships/hyperlink" Target="https://www.youth19.ac.nz/publications/negotiating-multiple-identities-report" TargetMode="External"/><Relationship Id="rId179" Type="http://schemas.openxmlformats.org/officeDocument/2006/relationships/hyperlink" Target="https://www.lawcom.govt.nz/sites/default/files/projectAvailableFormats/Surrogacy%20-%20Final%20Report%20146%20-%20%20Executive%20Summary.pdf" TargetMode="External"/><Relationship Id="rId190" Type="http://schemas.openxmlformats.org/officeDocument/2006/relationships/hyperlink" Target="https://ourarchive.otago.ac.nz/bitstream/handle/10523/9948/SherwoodKesiaN2020PhD.pdf?sequence=1&amp;isAllowed=y" TargetMode="External"/><Relationship Id="rId204" Type="http://schemas.openxmlformats.org/officeDocument/2006/relationships/hyperlink" Target="https://curekids.org.nz/state-of-child-health/" TargetMode="External"/><Relationship Id="rId225" Type="http://schemas.openxmlformats.org/officeDocument/2006/relationships/hyperlink" Target="https://bit.ly/3DsF8bh" TargetMode="External"/><Relationship Id="rId246" Type="http://schemas.openxmlformats.org/officeDocument/2006/relationships/hyperlink" Target="https://www.rnz.co.nz/news/national/471881/rainbow-community-face-high-rates-of-homelessness" TargetMode="External"/><Relationship Id="rId267" Type="http://schemas.openxmlformats.org/officeDocument/2006/relationships/hyperlink" Target="https://ihc.org.nz/&#8216;broken&#8217;-system-leaves-disabled-students-without-support" TargetMode="External"/><Relationship Id="rId288" Type="http://schemas.openxmlformats.org/officeDocument/2006/relationships/hyperlink" Target="https://www.lawfoundation.org.nz/wp-content/uploads/2022/04/2018-45-28.Children-Who-Offend.Final-research-report-March2022.pdf" TargetMode="External"/><Relationship Id="rId106" Type="http://schemas.openxmlformats.org/officeDocument/2006/relationships/hyperlink" Target="https://www.mhwc.govt.nz" TargetMode="External"/><Relationship Id="rId127" Type="http://schemas.openxmlformats.org/officeDocument/2006/relationships/hyperlink" Target="https://www.privacy.org.nz/privacy-act-2020/privacy-principles/4/" TargetMode="External"/><Relationship Id="rId313" Type="http://schemas.openxmlformats.org/officeDocument/2006/relationships/hyperlink" Target="https://www.parliament.nz/en/pb/bills-and-laws/bills-proposed-laws/document/BILL_116701/oversight-of-oranga-tamariki-system-and-children-and-young" TargetMode="External"/><Relationship Id="rId10" Type="http://schemas.openxmlformats.org/officeDocument/2006/relationships/hyperlink" Target="https://whanauora.nz/assets/62879b6bdf/OT-REVIEW-REPORT.pdf" TargetMode="External"/><Relationship Id="rId31" Type="http://schemas.openxmlformats.org/officeDocument/2006/relationships/hyperlink" Target="https://researcharchive.vuw.ac.nz/xmlui/bitstream/handle/10063/9022/WP-20-03-covid-19-life-in-lockdown.pdf?sequence=1" TargetMode="External"/><Relationship Id="rId52" Type="http://schemas.openxmlformats.org/officeDocument/2006/relationships/hyperlink" Target="https://budget.govt.nz/budget/2022/wellbeing/approach/index.htm" TargetMode="External"/><Relationship Id="rId73" Type="http://schemas.openxmlformats.org/officeDocument/2006/relationships/hyperlink" Target="https://www.nzherald.co.nz/nz/verdict-in-man-guilty-on-33-charges-of-sexually-abusing-underage-girls/AULVYUJWJKZ5HCATAWIUZ75VDA/" TargetMode="External"/><Relationship Id="rId94" Type="http://schemas.openxmlformats.org/officeDocument/2006/relationships/hyperlink" Target="https://www.youth19.ac.nz/publications/transgender-and-diverse-students-brief" TargetMode="External"/><Relationship Id="rId148" Type="http://schemas.openxmlformats.org/officeDocument/2006/relationships/hyperlink" Target="https://www.orangatamariki.govt.nz/about-us/performance-and-monitoring/safety-of-children-in-care/" TargetMode="External"/><Relationship Id="rId169" Type="http://schemas.openxmlformats.org/officeDocument/2006/relationships/hyperlink" Target="https://www.rnz.co.nz/programmes/the-detail/story/2018849156/growing-pains-our-outdated-adoption-laws" TargetMode="External"/><Relationship Id="rId334" Type="http://schemas.openxmlformats.org/officeDocument/2006/relationships/hyperlink" Target="https://www.refworld.org/docid/4538834e4.html" TargetMode="External"/><Relationship Id="rId4" Type="http://schemas.openxmlformats.org/officeDocument/2006/relationships/hyperlink" Target="http://hdl.handle.net/10523/12111" TargetMode="External"/><Relationship Id="rId180" Type="http://schemas.openxmlformats.org/officeDocument/2006/relationships/hyperlink" Target="https://www.lawcom.govt.nz/sites/default/files/projectAvailableFormats/Surrogacy%20-%20Final%20Report%20146%20-%20%20Executive%20Summary.pdf" TargetMode="External"/><Relationship Id="rId215" Type="http://schemas.openxmlformats.org/officeDocument/2006/relationships/hyperlink" Target="https://www.rnz.co.nz/news/national/468855/vaping-imposing-terrible-burden-on-young-people-researcher" TargetMode="External"/><Relationship Id="rId236" Type="http://schemas.openxmlformats.org/officeDocument/2006/relationships/hyperlink" Target="https://www.cpag.org.nz/our-campaigns/fix-working-for-families" TargetMode="External"/><Relationship Id="rId257" Type="http://schemas.openxmlformats.org/officeDocument/2006/relationships/hyperlink" Target="https://www.educationcounts.govt.nz/publications/schooling/he-whakaaro-how-covid-19-is-affecting-school-attendance" TargetMode="External"/><Relationship Id="rId278" Type="http://schemas.openxmlformats.org/officeDocument/2006/relationships/hyperlink" Target="https://christchurchattack.royalcommission.nz/the-report/part-9-social-cohesion-and-embracing-diversity/leadership-and-oversight-in-building-social-cohesion/" TargetMode="External"/><Relationship Id="rId303" Type="http://schemas.openxmlformats.org/officeDocument/2006/relationships/hyperlink" Target="https://www.justice.govt.nz/assets/Documents/Publications/Youth-Justice-Indicators-Summary-Report-December-2021-FINAL.pdf" TargetMode="External"/><Relationship Id="rId42" Type="http://schemas.openxmlformats.org/officeDocument/2006/relationships/hyperlink" Target="https://www.rnz.co.nz/news/national/471864/experts-warn-teachers-and-parents-to-look-out-for-long-covid-in-children" TargetMode="External"/><Relationship Id="rId84" Type="http://schemas.openxmlformats.org/officeDocument/2006/relationships/hyperlink" Target="https://www.youth19.ac.nz/publications/takatapui-rainbow-young-people-involved-with-oranga-tamariki" TargetMode="External"/><Relationship Id="rId138" Type="http://schemas.openxmlformats.org/officeDocument/2006/relationships/hyperlink" Target="https://tepunaaonui.govt.nz/assets/National-strategy/Finals-translations-alt-formats/Te-Aorerekura-National-Strategy-final.pdf" TargetMode="External"/><Relationship Id="rId191" Type="http://schemas.openxmlformats.org/officeDocument/2006/relationships/hyperlink" Target="https://www.fasd-can.org.nz/fasd_and_justice_in_the_news" TargetMode="External"/><Relationship Id="rId205" Type="http://schemas.openxmlformats.org/officeDocument/2006/relationships/hyperlink" Target="https://www.rnz.co.nz/news/national/470427/healthy-homes-vital-in-cutting-risk-of-childhood-rheumatic-fever-study-finds" TargetMode="External"/><Relationship Id="rId247" Type="http://schemas.openxmlformats.org/officeDocument/2006/relationships/hyperlink" Target="https://doi.org/10.1371/journal.pone.0259799" TargetMode="External"/><Relationship Id="rId107" Type="http://schemas.openxmlformats.org/officeDocument/2006/relationships/hyperlink" Target="https://www.health.govt.nz/news-media/media-releases/new-director-suicide-prevention-office-puts-people-heart-mahi" TargetMode="External"/><Relationship Id="rId289" Type="http://schemas.openxmlformats.org/officeDocument/2006/relationships/hyperlink" Target="https://www.borrinfoundation.nz/summary-of-research-how-we-fail-children-who-offend-and-what-to-do-about-it-a-breakdown-across-the-whole-system/" TargetMode="External"/><Relationship Id="rId11" Type="http://schemas.openxmlformats.org/officeDocument/2006/relationships/hyperlink" Target="http://www.weag.govt.nz/weag-report/" TargetMode="External"/><Relationship Id="rId53" Type="http://schemas.openxmlformats.org/officeDocument/2006/relationships/hyperlink" Target="https://www.treasury.govt.nz/information-and-services/nz-economy/higher-living-standards/our-living-standards-framework" TargetMode="External"/><Relationship Id="rId149" Type="http://schemas.openxmlformats.org/officeDocument/2006/relationships/hyperlink" Target="https://www.orangatamariki.govt.nz/assets/Uploads/About-us/Performance-and-monitoring/safety-of-children-in-care/2020-21/SOCiC-AR-2021-FA.pdf" TargetMode="External"/><Relationship Id="rId314" Type="http://schemas.openxmlformats.org/officeDocument/2006/relationships/hyperlink" Target="https://www.legislation.govt.nz/regulation/public/2018/0111/latest/whole.html" TargetMode="External"/><Relationship Id="rId95" Type="http://schemas.openxmlformats.org/officeDocument/2006/relationships/hyperlink" Target="https://www.youth19.ac.nz/publications/negotiating-multiple-identities-report" TargetMode="External"/><Relationship Id="rId160" Type="http://schemas.openxmlformats.org/officeDocument/2006/relationships/hyperlink" Target="https://www.nzherald.co.nz/lifestyle/paul-spoonley-book-how-new-zealand-families-have-changed/IEGBVEQE4TOB2EBUHQ4KX5ZFTU/" TargetMode="External"/><Relationship Id="rId216" Type="http://schemas.openxmlformats.org/officeDocument/2006/relationships/hyperlink" Target="https://www.rnz.co.nz/news/national/469012/worries-over-teen-vaping-rise-in-new-plymouth" TargetMode="External"/><Relationship Id="rId258" Type="http://schemas.openxmlformats.org/officeDocument/2006/relationships/hyperlink" Target="https://www.theguardian.com/world/2022/jul/06/new-zealand-principals-voice-alarm-as-students-fail-return-to-school-after-covid-lockdowns" TargetMode="External"/><Relationship Id="rId22" Type="http://schemas.openxmlformats.org/officeDocument/2006/relationships/hyperlink" Target="https://www.stats.govt.nz/information-releases/consumers-price-index-june-2022-quarter/" TargetMode="External"/><Relationship Id="rId64" Type="http://schemas.openxmlformats.org/officeDocument/2006/relationships/hyperlink" Target="https://www.wgtn.ac.nz/news/2021/10/youth-justice-experts-call-for-urgent-law-changes-to-reduce-harm-in-the-youth-justice-system" TargetMode="External"/><Relationship Id="rId118" Type="http://schemas.openxmlformats.org/officeDocument/2006/relationships/hyperlink" Target="https://www.rnz.co.nz/news/political/431942/climate-emergency-declaration-by-new-zealand-government-includes-commitment-to-2025-targets" TargetMode="External"/><Relationship Id="rId325" Type="http://schemas.openxmlformats.org/officeDocument/2006/relationships/hyperlink" Target="https://www.waitangitribunal.govt.nz/news/tribunal-releases-report-on-oranga-tamariki/" TargetMode="External"/><Relationship Id="rId171" Type="http://schemas.openxmlformats.org/officeDocument/2006/relationships/hyperlink" Target="https://consultations.justice.govt.nz/policy/adoption-law-reform/" TargetMode="External"/><Relationship Id="rId227" Type="http://schemas.openxmlformats.org/officeDocument/2006/relationships/hyperlink" Target="https://www.childyouthwellbeing.govt.nz/our-aspirations/context/reducing-child-poverty/child-poverty-measures-targets-and-indicators" TargetMode="External"/><Relationship Id="rId269" Type="http://schemas.openxmlformats.org/officeDocument/2006/relationships/hyperlink" Target="https://ihc.org.nz/getting-it-right-disabled-students-school" TargetMode="External"/><Relationship Id="rId33" Type="http://schemas.openxmlformats.org/officeDocument/2006/relationships/hyperlink" Target="https://www.nzcer.org.nz/research/publications/learning-during-lockdown" TargetMode="External"/><Relationship Id="rId129" Type="http://schemas.openxmlformats.org/officeDocument/2006/relationships/hyperlink" Target="https://www.rnz.co.nz/news/national/459415/police-to-no-longer-photograph-youth-unless-in-custody-barrister-concerned-arrests-of-maori-could-increase" TargetMode="External"/><Relationship Id="rId280" Type="http://schemas.openxmlformats.org/officeDocument/2006/relationships/hyperlink" Target="https://www.justice.govt.nz/justice-sector-policy/constitutional-issues-and-human-rights/human-rights/international-human-rights/crc/" TargetMode="External"/><Relationship Id="rId75" Type="http://schemas.openxmlformats.org/officeDocument/2006/relationships/hyperlink" Target="https://www.youth19.ac.nz/publications/sexual-attraction-wellbeing" TargetMode="External"/><Relationship Id="rId140" Type="http://schemas.openxmlformats.org/officeDocument/2006/relationships/hyperlink" Target="https://tepunaaonui.govt.nz/assets/National-strategy/Finals-translations-alt-formats/Te-Aorerekura-National-Strategy-final.pdf" TargetMode="External"/><Relationship Id="rId182" Type="http://schemas.openxmlformats.org/officeDocument/2006/relationships/hyperlink" Target="https://www.parliament.nz/en/pb/bills-and-laws/bills-proposed-laws/document/BILL_115955/improving-arrangements-for-surrogacy-bill" TargetMode="External"/><Relationship Id="rId6" Type="http://schemas.openxmlformats.org/officeDocument/2006/relationships/hyperlink" Target="http://hdl.handle.net/10523/6384" TargetMode="External"/><Relationship Id="rId238" Type="http://schemas.openxmlformats.org/officeDocument/2006/relationships/hyperlink" Target="https://www.1news.co.nz/2021/11/04/govt-doesnt-know-how-many-kids-caught-up-in-benefit-sanctions/" TargetMode="External"/><Relationship Id="rId291" Type="http://schemas.openxmlformats.org/officeDocument/2006/relationships/hyperlink" Target="https://www.beehive.govt.nz/release/lower-risk-17-year-olds-included-youth-jurisdiction" TargetMode="External"/><Relationship Id="rId305" Type="http://schemas.openxmlformats.org/officeDocument/2006/relationships/hyperlink" Target="https://www.districtcourts.govt.nz/all-judgments/new-zealand-police-oranga-tamariki-v-lv-2020-nzyc-117/" TargetMode="External"/><Relationship Id="rId44" Type="http://schemas.openxmlformats.org/officeDocument/2006/relationships/hyperlink" Target="https://www.1news.co.nz/2021/08/29/pasifika-in-bay-of-plenty-forced-to-present-passports-to-get-covid-jabs/" TargetMode="External"/><Relationship Id="rId86" Type="http://schemas.openxmlformats.org/officeDocument/2006/relationships/hyperlink" Target="https://www.parliament.nz/resource/enNZ/52SCGA_EVI_74854_817/bd87133e395ea5621c5fa55e7306657c4c290822" TargetMode="External"/><Relationship Id="rId151" Type="http://schemas.openxmlformats.org/officeDocument/2006/relationships/hyperlink" Target="https://www.stuff.co.nz/national/politics/125593928/childrens-minister-orders-investigation-into-restraint-of-children-at-care-facilities-after-whistleblower-video" TargetMode="External"/><Relationship Id="rId193" Type="http://schemas.openxmlformats.org/officeDocument/2006/relationships/hyperlink" Target="https://www.fasd-can.org.nz/about_us" TargetMode="External"/><Relationship Id="rId207" Type="http://schemas.openxmlformats.org/officeDocument/2006/relationships/hyperlink" Target="https://www.newshub.co.nz/home/new-zealand/2021/01/fears-of-measles-resurgence-as-covid-19-disrupts-childhood-immunisation-programmes.html" TargetMode="External"/><Relationship Id="rId249" Type="http://schemas.openxmlformats.org/officeDocument/2006/relationships/hyperlink" Target="https://www.health.govt.nz/publication/annual-update-key-results-2020-21-new-zealand-health-survey" TargetMode="External"/><Relationship Id="rId13" Type="http://schemas.openxmlformats.org/officeDocument/2006/relationships/hyperlink" Target="https://nzhistory.govt.nz/page/whakaari-white-island-eruption-kills-22" TargetMode="External"/><Relationship Id="rId109" Type="http://schemas.openxmlformats.org/officeDocument/2006/relationships/hyperlink" Target="https://www.orangatamariki.govt.nz/assets/Uploads/About-us/Research/Data-analytics-and-insights/At-A-Glance-Harm-to-Children-in-New-Zealand.pdf" TargetMode="External"/><Relationship Id="rId260" Type="http://schemas.openxmlformats.org/officeDocument/2006/relationships/hyperlink" Target="https://www.rnz.co.nz/news/national/471826/high-employment-covid-19-see-high-rates-of-teens-leave-school-early-principals" TargetMode="External"/><Relationship Id="rId316" Type="http://schemas.openxmlformats.org/officeDocument/2006/relationships/hyperlink" Target="https://www.beehive.govt.nz/release/long-term-home-independent-children&#8217;s-monitor-identified" TargetMode="External"/><Relationship Id="rId55" Type="http://schemas.openxmlformats.org/officeDocument/2006/relationships/hyperlink" Target="https://ccsdisabilityaction.org.nz/assets/resource-files/The-State-of-wellbeing-and-equality-FINAL-ONLINE.pdf" TargetMode="External"/><Relationship Id="rId97" Type="http://schemas.openxmlformats.org/officeDocument/2006/relationships/hyperlink" Target="https://www.youth19.ac.nz/publications/transgender-and-diverse-students-brief" TargetMode="External"/><Relationship Id="rId120" Type="http://schemas.openxmlformats.org/officeDocument/2006/relationships/hyperlink" Target="https://epub.sub.uni-hamburg.de/epub/volltexte/2009/1029/pdf/ISGReport.pdf" TargetMode="External"/><Relationship Id="rId162" Type="http://schemas.openxmlformats.org/officeDocument/2006/relationships/hyperlink" Target="https://www.stuff.co.nz/pou-tiaki/126753087/govt-funds-trailblazer-ngi-tahu-programme-to-keep-mori-kids-out-of-state-care" TargetMode="External"/><Relationship Id="rId218" Type="http://schemas.openxmlformats.org/officeDocument/2006/relationships/hyperlink" Target="https://www.rph.org.nz/news-and-events/news-and-media-releases/2021-11-30-community-minded-youth-play-vital-role-to-achieve-smokefree-law-change/" TargetMode="External"/><Relationship Id="rId271" Type="http://schemas.openxmlformats.org/officeDocument/2006/relationships/hyperlink" Target="https://assets.education.govt.nz/public/Documents/our-work/information-releases/Advice-Seen-by-our-Ministers/September-2021/8.-BN-1266682-Student-engagement-data-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hildrens">
      <a:dk1>
        <a:sysClr val="windowText" lastClr="000000"/>
      </a:dk1>
      <a:lt1>
        <a:sysClr val="window" lastClr="FFFFFF"/>
      </a:lt1>
      <a:dk2>
        <a:srgbClr val="25409A"/>
      </a:dk2>
      <a:lt2>
        <a:srgbClr val="E7E6E6"/>
      </a:lt2>
      <a:accent1>
        <a:srgbClr val="00AE6D"/>
      </a:accent1>
      <a:accent2>
        <a:srgbClr val="FD97BD"/>
      </a:accent2>
      <a:accent3>
        <a:srgbClr val="FDB813"/>
      </a:accent3>
      <a:accent4>
        <a:srgbClr val="EE1C25"/>
      </a:accent4>
      <a:accent5>
        <a:srgbClr val="FD97BD"/>
      </a:accent5>
      <a:accent6>
        <a:srgbClr val="00AE6D"/>
      </a:accent6>
      <a:hlink>
        <a:srgbClr val="25409A"/>
      </a:hlink>
      <a:folHlink>
        <a:srgbClr val="EE1C25"/>
      </a:folHlink>
    </a:clrScheme>
    <a:fontScheme name="Children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5DA69A0710E44DAAB91C2A0AA0D4F6" ma:contentTypeVersion="13" ma:contentTypeDescription="Create a new document." ma:contentTypeScope="" ma:versionID="f78a4f2874b873b963aadad9b941e4aa">
  <xsd:schema xmlns:xsd="http://www.w3.org/2001/XMLSchema" xmlns:xs="http://www.w3.org/2001/XMLSchema" xmlns:p="http://schemas.microsoft.com/office/2006/metadata/properties" xmlns:ns3="54b36751-417c-4a15-9cc9-d977a9c4fa49" xmlns:ns4="a6421e76-5d7f-491c-bcd3-3786bb7f128f" targetNamespace="http://schemas.microsoft.com/office/2006/metadata/properties" ma:root="true" ma:fieldsID="92b20febe0a3de0e1b4f432ad33408c4" ns3:_="" ns4:_="">
    <xsd:import namespace="54b36751-417c-4a15-9cc9-d977a9c4fa49"/>
    <xsd:import namespace="a6421e76-5d7f-491c-bcd3-3786bb7f12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36751-417c-4a15-9cc9-d977a9c4f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421e76-5d7f-491c-bcd3-3786bb7f12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E2A75-BCEE-44AA-89FE-5F4F31D7C3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40FA25-5D7A-4397-8BEF-7EDFDF783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36751-417c-4a15-9cc9-d977a9c4fa49"/>
    <ds:schemaRef ds:uri="a6421e76-5d7f-491c-bcd3-3786bb7f1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CCA6C-D9A2-4952-B892-DAD5783333FC}">
  <ds:schemaRefs>
    <ds:schemaRef ds:uri="http://schemas.microsoft.com/sharepoint/v3/contenttype/forms"/>
  </ds:schemaRefs>
</ds:datastoreItem>
</file>

<file path=customXml/itemProps4.xml><?xml version="1.0" encoding="utf-8"?>
<ds:datastoreItem xmlns:ds="http://schemas.openxmlformats.org/officeDocument/2006/customXml" ds:itemID="{24596D57-676B-C441-81B7-B60F1B6A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127</Pages>
  <Words>26763</Words>
  <Characters>152554</Characters>
  <Application>Microsoft Office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Andrea Jamison</cp:lastModifiedBy>
  <cp:revision>4</cp:revision>
  <dcterms:created xsi:type="dcterms:W3CDTF">2022-08-15T08:01:00Z</dcterms:created>
  <dcterms:modified xsi:type="dcterms:W3CDTF">2022-08-24T02:55:00Z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0x0101002C5DA69A0710E44DAAB91C2A0AA0D4F6</vt:lpwstr>
  </property>
</Properties>
</file>